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1552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3"/>
        <w:numPr>
          <w:ilvl w:val="0"/>
          <w:numId w:val="6"/>
        </w:numPr>
        <w:spacing w:line="320" w:lineRule="exact"/>
        <w:ind w:right="-93"/>
        <w:outlineLvl w:val="0"/>
        <w:rPr>
          <w:rFonts w:ascii="Arial" w:eastAsia="方正黑体简体;微软雅黑" w:hAnsi="Arial" w:cs="Arial"/>
          <w:b/>
          <w:bCs/>
          <w:sz w:val="21"/>
          <w:szCs w:val="21"/>
        </w:rPr>
      </w:pPr>
      <w:r>
        <w:rPr>
          <w:rFonts w:ascii="Arial" w:eastAsia="方正黑体简体;微软雅黑" w:hAnsi="Arial" w:cs="Arial"/>
          <w:b/>
          <w:bCs/>
          <w:sz w:val="21"/>
          <w:szCs w:val="21"/>
        </w:rPr>
        <w:t>项目名称：</w:t>
      </w:r>
    </w:p>
    <w:p w14:paraId="1F175E21" w14:textId="77777777" w:rsidR="00E70101" w:rsidRDefault="0060680B">
      <w:pPr>
        <w:pStyle w:val="aff3"/>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北京市昌平区北七家镇八仙庄村仓储用地划拨国有建设用地使用权收购补偿价格咨询</w:t>
      </w:r>
    </w:p>
    <w:p w14:paraId="5E82E157"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3"/>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3"/>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r>
        <w:commentReference w:id="0"/>
      </w:r>
    </w:p>
    <w:p w14:paraId="67D0A821" w14:textId="77777777" w:rsidR="00E70101" w:rsidRDefault="00E70101">
      <w:pPr>
        <w:pStyle w:val="aff3"/>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3"/>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3"/>
        <w:tabs>
          <w:tab w:val="left" w:pos="6912"/>
        </w:tabs>
        <w:spacing w:line="320" w:lineRule="exact"/>
        <w:ind w:left="360" w:firstLine="0"/>
        <w:rPr>
          <w:rFonts w:ascii="Arial" w:eastAsia="Adobe 黑体 Std R;微软雅黑" w:hAnsi="Arial" w:cs="Arial"/>
          <w:sz w:val="21"/>
          <w:szCs w:val="21"/>
        </w:rPr>
      </w:pPr>
      <w:proofErr w:type="gramStart"/>
      <w:r>
        <w:rPr>
          <w:rFonts w:ascii="Arial" w:eastAsia="Adobe 黑体 Std R;微软雅黑" w:hAnsi="Arial" w:cs="Arial"/>
          <w:sz w:val="21"/>
          <w:szCs w:val="21"/>
        </w:rPr>
        <w:t>北京康正宏</w:t>
      </w:r>
      <w:proofErr w:type="gramEnd"/>
      <w:r>
        <w:rPr>
          <w:rFonts w:ascii="Arial" w:eastAsia="Adobe 黑体 Std R;微软雅黑" w:hAnsi="Arial" w:cs="Arial"/>
          <w:sz w:val="21"/>
          <w:szCs w:val="21"/>
        </w:rPr>
        <w:t>基房地产评估有限公司</w:t>
      </w:r>
      <w:r>
        <w:rPr>
          <w:rFonts w:ascii="Arial" w:eastAsia="Adobe 黑体 Std R;微软雅黑" w:hAnsi="Arial" w:cs="Arial"/>
          <w:sz w:val="21"/>
          <w:szCs w:val="21"/>
        </w:rPr>
        <w:tab/>
      </w:r>
    </w:p>
    <w:p w14:paraId="1867C3F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3"/>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7777777" w:rsidR="00E70101" w:rsidRDefault="0060680B">
      <w:pPr>
        <w:pStyle w:val="aff3"/>
        <w:spacing w:line="320" w:lineRule="exact"/>
        <w:ind w:left="360" w:firstLine="0"/>
      </w:pPr>
      <w:proofErr w:type="gramStart"/>
      <w:r>
        <w:rPr>
          <w:rFonts w:ascii="Arial" w:eastAsia="Adobe 黑体 Std R;微软雅黑" w:hAnsi="Arial" w:cs="Arial"/>
          <w:sz w:val="21"/>
          <w:szCs w:val="21"/>
        </w:rPr>
        <w:t>康正评</w:t>
      </w:r>
      <w:proofErr w:type="gramEnd"/>
      <w:r>
        <w:rPr>
          <w:rFonts w:ascii="Arial" w:eastAsia="Adobe 黑体 Std R;微软雅黑" w:hAnsi="Arial" w:cs="Arial"/>
          <w:sz w:val="21"/>
          <w:szCs w:val="21"/>
        </w:rPr>
        <w:t>字</w:t>
      </w:r>
      <w:r>
        <w:rPr>
          <w:rFonts w:ascii="Arial" w:eastAsia="方正黑体简体;微软雅黑" w:hAnsi="Arial" w:cs="Arial"/>
          <w:sz w:val="21"/>
          <w:szCs w:val="21"/>
        </w:rPr>
        <w:t>2024-1-0271-F01SGCB6</w:t>
      </w:r>
      <w:r>
        <w:rPr>
          <w:rFonts w:ascii="Arial" w:eastAsia="Adobe 黑体 Std R;微软雅黑" w:hAnsi="Arial" w:cs="Arial"/>
          <w:sz w:val="21"/>
          <w:szCs w:val="21"/>
        </w:rPr>
        <w:t>号</w:t>
      </w:r>
    </w:p>
    <w:p w14:paraId="3C03BFD2"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3"/>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77777777" w:rsidR="00E70101" w:rsidRDefault="0060680B">
      <w:pPr>
        <w:pStyle w:val="aff3"/>
        <w:spacing w:line="320" w:lineRule="exact"/>
        <w:ind w:left="360" w:firstLine="0"/>
      </w:pPr>
      <w:r>
        <w:rPr>
          <w:rFonts w:ascii="Arial" w:eastAsia="Adobe 黑体 Std R;微软雅黑" w:hAnsi="Arial" w:cs="Arial"/>
          <w:sz w:val="21"/>
          <w:szCs w:val="21"/>
        </w:rPr>
        <w:t>2024</w:t>
      </w:r>
      <w:r>
        <w:rPr>
          <w:rFonts w:ascii="Arial" w:eastAsia="Adobe 黑体 Std R;微软雅黑" w:hAnsi="Arial" w:cs="Arial"/>
          <w:sz w:val="21"/>
          <w:szCs w:val="21"/>
        </w:rPr>
        <w:t>年</w:t>
      </w:r>
      <w:r>
        <w:rPr>
          <w:rFonts w:ascii="Arial" w:eastAsia="Adobe 黑体 Std R;微软雅黑" w:hAnsi="Arial" w:cs="Arial"/>
          <w:sz w:val="21"/>
          <w:szCs w:val="21"/>
        </w:rPr>
        <w:t>4</w:t>
      </w:r>
      <w:r>
        <w:rPr>
          <w:rFonts w:ascii="Arial" w:eastAsia="Adobe 黑体 Std R;微软雅黑" w:hAnsi="Arial" w:cs="Arial"/>
          <w:sz w:val="21"/>
          <w:szCs w:val="21"/>
        </w:rPr>
        <w:t>月</w:t>
      </w:r>
      <w:r>
        <w:rPr>
          <w:rFonts w:ascii="Arial" w:eastAsia="Adobe 黑体 Std R;微软雅黑" w:hAnsi="Arial" w:cs="Arial"/>
          <w:sz w:val="21"/>
          <w:szCs w:val="21"/>
        </w:rPr>
        <w:t>2</w:t>
      </w:r>
      <w:r>
        <w:rPr>
          <w:rFonts w:ascii="Arial" w:eastAsia="Adobe 黑体 Std R;微软雅黑" w:hAnsi="Arial" w:cs="Arial"/>
          <w:sz w:val="21"/>
          <w:szCs w:val="21"/>
        </w:rPr>
        <w:t>日</w:t>
      </w:r>
    </w:p>
    <w:p w14:paraId="7F35DC29" w14:textId="77777777" w:rsidR="00E70101" w:rsidRDefault="00E70101">
      <w:pPr>
        <w:pStyle w:val="aff3"/>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63"/>
      </w:tblGrid>
      <w:tr w:rsidR="00E70101" w14:paraId="0EA39B94" w14:textId="77777777">
        <w:tc>
          <w:tcPr>
            <w:tcW w:w="8663" w:type="dxa"/>
            <w:shd w:val="clear" w:color="auto" w:fill="auto"/>
            <w:vAlign w:val="center"/>
          </w:tcPr>
          <w:p w14:paraId="504BFFDD" w14:textId="77777777" w:rsidR="00E70101" w:rsidRDefault="00E70101">
            <w:pPr>
              <w:widowControl/>
              <w:snapToGrid w:val="0"/>
              <w:rPr>
                <w:szCs w:val="24"/>
              </w:rPr>
            </w:pPr>
          </w:p>
        </w:tc>
      </w:tr>
      <w:tr w:rsidR="00E70101" w14:paraId="10567459" w14:textId="77777777">
        <w:tc>
          <w:tcPr>
            <w:tcW w:w="8663" w:type="dxa"/>
            <w:shd w:val="clear" w:color="auto" w:fill="auto"/>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proofErr w:type="gramStart"/>
      <w:r>
        <w:rPr>
          <w:rFonts w:ascii="Arial" w:hAnsi="Arial" w:cs="Arial"/>
          <w:b/>
          <w:sz w:val="44"/>
        </w:rPr>
        <w:t>咨</w:t>
      </w:r>
      <w:proofErr w:type="gramEnd"/>
      <w:r>
        <w:rPr>
          <w:rFonts w:ascii="Arial" w:eastAsia="Arial" w:hAnsi="Arial" w:cs="Arial"/>
          <w:b/>
          <w:sz w:val="44"/>
        </w:rPr>
        <w:t xml:space="preserve"> </w:t>
      </w:r>
      <w:proofErr w:type="gramStart"/>
      <w:r>
        <w:rPr>
          <w:rFonts w:ascii="Arial" w:hAnsi="Arial" w:cs="Arial"/>
          <w:b/>
          <w:sz w:val="44"/>
        </w:rPr>
        <w:t>询</w:t>
      </w:r>
      <w:proofErr w:type="gramEnd"/>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77777777"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称：北京市昌平区北七家镇八仙庄村仓储用地划拨国有建设用地使用权收购补偿价格咨询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77777777"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Pr>
          <w:rFonts w:ascii="Arial" w:eastAsia="楷体_GB2312;楷体" w:hAnsi="Arial" w:cs="Arial"/>
          <w:b/>
          <w:sz w:val="32"/>
        </w:rPr>
        <w:t>2024-1-0271-F01SGCB6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7777777" w:rsidR="00E70101" w:rsidRDefault="0060680B">
      <w:pPr>
        <w:spacing w:line="360" w:lineRule="auto"/>
        <w:jc w:val="both"/>
        <w:rPr>
          <w:rFonts w:ascii="Arial" w:eastAsia="楷体_GB2312;楷体" w:hAnsi="Arial" w:cs="Arial"/>
          <w:b/>
          <w:spacing w:val="-20"/>
          <w:sz w:val="32"/>
        </w:rPr>
        <w:sectPr w:rsidR="00E70101">
          <w:headerReference w:type="default" r:id="rId9"/>
          <w:footerReference w:type="default" r:id="rId10"/>
          <w:headerReference w:type="first" r:id="rId11"/>
          <w:footerReference w:type="first" r:id="rId12"/>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Pr>
          <w:rFonts w:ascii="Arial" w:eastAsia="楷体_GB2312;楷体" w:hAnsi="Arial" w:cs="Arial"/>
          <w:b/>
          <w:sz w:val="32"/>
        </w:rPr>
        <w:t>2024</w:t>
      </w:r>
      <w:r>
        <w:rPr>
          <w:rFonts w:ascii="Arial" w:eastAsia="楷体_GB2312;楷体" w:hAnsi="Arial" w:cs="Arial"/>
          <w:b/>
          <w:sz w:val="32"/>
        </w:rPr>
        <w:t>年</w:t>
      </w:r>
      <w:r>
        <w:rPr>
          <w:rFonts w:ascii="Arial" w:eastAsia="楷体_GB2312;楷体" w:hAnsi="Arial" w:cs="Arial"/>
          <w:b/>
          <w:sz w:val="32"/>
        </w:rPr>
        <w:t>4</w:t>
      </w:r>
      <w:r>
        <w:rPr>
          <w:rFonts w:ascii="Arial" w:eastAsia="楷体_GB2312;楷体" w:hAnsi="Arial" w:cs="Arial"/>
          <w:b/>
          <w:sz w:val="32"/>
        </w:rPr>
        <w:t>月</w:t>
      </w:r>
      <w:r>
        <w:rPr>
          <w:rFonts w:ascii="Arial" w:eastAsia="楷体_GB2312;楷体" w:hAnsi="Arial" w:cs="Arial"/>
          <w:b/>
          <w:sz w:val="32"/>
        </w:rPr>
        <w:t>2</w:t>
      </w:r>
      <w:r>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t>目录</w:t>
      </w:r>
    </w:p>
    <w:sdt>
      <w:sdtPr>
        <w:id w:val="-1277254362"/>
        <w:docPartObj>
          <w:docPartGallery w:val="Table of Contents"/>
          <w:docPartUnique/>
        </w:docPartObj>
      </w:sdtPr>
      <w:sdtContent>
        <w:p w14:paraId="479D3CA5" w14:textId="77777777" w:rsidR="00E70101" w:rsidRDefault="0060680B">
          <w:pPr>
            <w:pStyle w:val="11"/>
            <w:rPr>
              <w:rFonts w:ascii="Arial" w:hAnsi="Arial"/>
              <w:kern w:val="2"/>
            </w:rPr>
          </w:pPr>
          <w:r>
            <w:fldChar w:fldCharType="begin"/>
          </w:r>
          <w:r>
            <w:rPr>
              <w:rFonts w:ascii="Arial" w:hAnsi="Arial"/>
            </w:rPr>
            <w:instrText>TOC \o "1-2" \h \z \u</w:instrText>
          </w:r>
          <w:r>
            <w:rPr>
              <w:rFonts w:ascii="Arial" w:hAnsi="Arial"/>
            </w:rPr>
            <w:fldChar w:fldCharType="separate"/>
          </w:r>
          <w:hyperlink w:anchor="__RefHeading___Toc469066127">
            <w:r>
              <w:rPr>
                <w:rFonts w:ascii="Arial" w:hAnsi="Arial"/>
                <w:color w:val="000000"/>
              </w:rPr>
              <w:t>第一部分</w:t>
            </w:r>
            <w:r>
              <w:rPr>
                <w:rFonts w:ascii="Arial" w:eastAsia="Arial" w:hAnsi="Arial"/>
                <w:color w:val="000000"/>
              </w:rPr>
              <w:t xml:space="preserve">  </w:t>
            </w:r>
            <w:r>
              <w:rPr>
                <w:rFonts w:ascii="Arial" w:hAnsi="Arial"/>
                <w:color w:val="000000"/>
              </w:rPr>
              <w:t>摘</w:t>
            </w:r>
            <w:r>
              <w:rPr>
                <w:rFonts w:ascii="Arial" w:eastAsia="Arial" w:hAnsi="Arial"/>
                <w:color w:val="000000"/>
              </w:rPr>
              <w:t xml:space="preserve">  </w:t>
            </w:r>
            <w:r>
              <w:rPr>
                <w:rFonts w:ascii="Arial" w:hAnsi="Arial"/>
                <w:color w:val="000000"/>
              </w:rPr>
              <w:t>要</w:t>
            </w:r>
            <w:r>
              <w:rPr>
                <w:rFonts w:ascii="Arial" w:hAnsi="Arial"/>
              </w:rPr>
              <w:tab/>
              <w:t>1</w:t>
            </w:r>
          </w:hyperlink>
        </w:p>
        <w:p w14:paraId="762C5D74" w14:textId="77777777" w:rsidR="00E70101" w:rsidRDefault="0060680B">
          <w:pPr>
            <w:pStyle w:val="26"/>
            <w:rPr>
              <w:rFonts w:ascii="Arial" w:hAnsi="Arial" w:cs="Arial"/>
              <w:kern w:val="2"/>
              <w:lang w:val="zh-CN"/>
            </w:rPr>
          </w:pPr>
          <w:hyperlink w:anchor="__RefHeading___Toc469066128">
            <w:r>
              <w:rPr>
                <w:rFonts w:ascii="Arial" w:eastAsia="仿宋_GB2312;仿宋" w:hAnsi="Arial" w:cs="Arial"/>
                <w:bCs/>
                <w:color w:val="000000"/>
                <w:szCs w:val="24"/>
                <w:lang w:val="zh-CN"/>
              </w:rPr>
              <w:t>一、项目名称</w:t>
            </w:r>
            <w:r>
              <w:rPr>
                <w:rFonts w:ascii="Arial" w:hAnsi="Arial" w:cs="Arial"/>
                <w:lang w:val="zh-CN"/>
              </w:rPr>
              <w:tab/>
              <w:t>1</w:t>
            </w:r>
          </w:hyperlink>
        </w:p>
        <w:p w14:paraId="1F0A3157" w14:textId="77777777" w:rsidR="00E70101" w:rsidRDefault="0060680B">
          <w:pPr>
            <w:pStyle w:val="26"/>
            <w:rPr>
              <w:rFonts w:ascii="Arial" w:hAnsi="Arial" w:cs="Arial"/>
              <w:kern w:val="2"/>
              <w:lang w:val="zh-CN"/>
            </w:rPr>
          </w:pPr>
          <w:hyperlink w:anchor="__RefHeading___Toc469066129">
            <w:r>
              <w:rPr>
                <w:rFonts w:ascii="Arial" w:eastAsia="仿宋_GB2312;仿宋" w:hAnsi="Arial" w:cs="Arial"/>
                <w:bCs/>
                <w:color w:val="000000"/>
                <w:szCs w:val="24"/>
                <w:lang w:val="zh-CN"/>
              </w:rPr>
              <w:t>二、委托方</w:t>
            </w:r>
            <w:r>
              <w:rPr>
                <w:rFonts w:ascii="Arial" w:hAnsi="Arial" w:cs="Arial"/>
                <w:lang w:val="zh-CN"/>
              </w:rPr>
              <w:tab/>
              <w:t>1</w:t>
            </w:r>
          </w:hyperlink>
        </w:p>
        <w:p w14:paraId="6513965E" w14:textId="77777777" w:rsidR="00E70101" w:rsidRDefault="0060680B">
          <w:pPr>
            <w:pStyle w:val="26"/>
            <w:rPr>
              <w:rFonts w:ascii="Arial" w:hAnsi="Arial" w:cs="Arial"/>
              <w:kern w:val="2"/>
              <w:lang w:val="zh-CN"/>
            </w:rPr>
          </w:pPr>
          <w:hyperlink w:anchor="__RefHeading___Toc469066130">
            <w:r>
              <w:rPr>
                <w:rFonts w:ascii="Arial" w:eastAsia="仿宋_GB2312;仿宋" w:hAnsi="Arial" w:cs="Arial"/>
                <w:bCs/>
                <w:color w:val="000000"/>
                <w:szCs w:val="24"/>
                <w:lang w:val="zh-CN"/>
              </w:rPr>
              <w:t>三、咨询目的</w:t>
            </w:r>
            <w:r>
              <w:rPr>
                <w:rFonts w:ascii="Arial" w:hAnsi="Arial" w:cs="Arial"/>
                <w:lang w:val="zh-CN"/>
              </w:rPr>
              <w:tab/>
              <w:t>1</w:t>
            </w:r>
          </w:hyperlink>
        </w:p>
        <w:p w14:paraId="3B7C8418" w14:textId="77777777" w:rsidR="00E70101" w:rsidRDefault="0060680B">
          <w:pPr>
            <w:pStyle w:val="26"/>
            <w:rPr>
              <w:rFonts w:ascii="Arial" w:hAnsi="Arial" w:cs="Arial"/>
              <w:kern w:val="2"/>
              <w:lang w:val="zh-CN"/>
            </w:rPr>
          </w:pPr>
          <w:hyperlink w:anchor="__RefHeading___Toc469066131">
            <w:r>
              <w:rPr>
                <w:rFonts w:ascii="Arial" w:eastAsia="仿宋_GB2312;仿宋" w:hAnsi="Arial" w:cs="Arial"/>
                <w:bCs/>
                <w:color w:val="000000"/>
                <w:szCs w:val="24"/>
                <w:lang w:val="zh-CN"/>
              </w:rPr>
              <w:t>四、咨询期日</w:t>
            </w:r>
            <w:r>
              <w:rPr>
                <w:rFonts w:ascii="Arial" w:hAnsi="Arial" w:cs="Arial"/>
                <w:lang w:val="zh-CN"/>
              </w:rPr>
              <w:tab/>
              <w:t>1</w:t>
            </w:r>
          </w:hyperlink>
        </w:p>
        <w:p w14:paraId="32E44E6F" w14:textId="77777777" w:rsidR="00E70101" w:rsidRDefault="0060680B">
          <w:pPr>
            <w:pStyle w:val="26"/>
            <w:rPr>
              <w:rFonts w:ascii="Arial" w:hAnsi="Arial" w:cs="Arial"/>
              <w:kern w:val="2"/>
              <w:lang w:val="zh-CN"/>
            </w:rPr>
          </w:pPr>
          <w:hyperlink w:anchor="__RefHeading___Toc469066132">
            <w:r>
              <w:rPr>
                <w:rFonts w:ascii="Arial" w:eastAsia="仿宋_GB2312;仿宋" w:hAnsi="Arial" w:cs="Arial"/>
                <w:bCs/>
                <w:color w:val="000000"/>
                <w:szCs w:val="24"/>
                <w:lang w:val="zh-CN"/>
              </w:rPr>
              <w:t>五、咨询日期</w:t>
            </w:r>
            <w:r>
              <w:rPr>
                <w:rFonts w:ascii="Arial" w:hAnsi="Arial" w:cs="Arial"/>
                <w:lang w:val="zh-CN"/>
              </w:rPr>
              <w:tab/>
              <w:t>1</w:t>
            </w:r>
          </w:hyperlink>
        </w:p>
        <w:p w14:paraId="7BA1B743" w14:textId="77777777" w:rsidR="00E70101" w:rsidRDefault="0060680B">
          <w:pPr>
            <w:pStyle w:val="26"/>
            <w:rPr>
              <w:rFonts w:ascii="Arial" w:hAnsi="Arial" w:cs="Arial"/>
              <w:kern w:val="2"/>
              <w:lang w:val="zh-CN"/>
            </w:rPr>
          </w:pPr>
          <w:hyperlink w:anchor="__RefHeading___Toc469066133">
            <w:r>
              <w:rPr>
                <w:rFonts w:ascii="Arial" w:eastAsia="仿宋_GB2312;仿宋" w:hAnsi="Arial" w:cs="Arial"/>
                <w:bCs/>
                <w:color w:val="000000"/>
                <w:szCs w:val="24"/>
                <w:lang w:val="zh-CN"/>
              </w:rPr>
              <w:t>六、地价定义</w:t>
            </w:r>
            <w:r>
              <w:rPr>
                <w:rFonts w:ascii="Arial" w:hAnsi="Arial" w:cs="Arial"/>
                <w:lang w:val="zh-CN"/>
              </w:rPr>
              <w:tab/>
              <w:t>1</w:t>
            </w:r>
          </w:hyperlink>
        </w:p>
        <w:p w14:paraId="0600755D" w14:textId="77777777" w:rsidR="00E70101" w:rsidRDefault="0060680B">
          <w:pPr>
            <w:pStyle w:val="26"/>
            <w:rPr>
              <w:rFonts w:ascii="Arial" w:hAnsi="Arial" w:cs="Arial"/>
              <w:kern w:val="2"/>
              <w:lang w:val="zh-CN"/>
            </w:rPr>
          </w:pPr>
          <w:hyperlink w:anchor="__RefHeading___Toc469066134">
            <w:r>
              <w:rPr>
                <w:rFonts w:ascii="Arial" w:eastAsia="仿宋_GB2312;仿宋" w:hAnsi="Arial" w:cs="Arial"/>
                <w:color w:val="000000"/>
                <w:szCs w:val="24"/>
                <w:lang w:val="zh-CN"/>
              </w:rPr>
              <w:t>七、咨询结果</w:t>
            </w:r>
            <w:r>
              <w:rPr>
                <w:rFonts w:ascii="Arial" w:hAnsi="Arial" w:cs="Arial"/>
                <w:lang w:val="zh-CN"/>
              </w:rPr>
              <w:tab/>
              <w:t>6</w:t>
            </w:r>
          </w:hyperlink>
        </w:p>
        <w:p w14:paraId="5AA3132D" w14:textId="77777777" w:rsidR="00E70101" w:rsidRDefault="0060680B">
          <w:pPr>
            <w:pStyle w:val="26"/>
            <w:rPr>
              <w:rFonts w:ascii="Arial" w:hAnsi="Arial" w:cs="Arial"/>
              <w:kern w:val="2"/>
              <w:lang w:val="zh-CN"/>
            </w:rPr>
          </w:pPr>
          <w:hyperlink w:anchor="__RefHeading___Toc469066136">
            <w:r>
              <w:rPr>
                <w:rFonts w:ascii="Arial" w:eastAsia="仿宋_GB2312;仿宋" w:hAnsi="Arial" w:cs="Arial"/>
                <w:color w:val="000000"/>
                <w:szCs w:val="24"/>
                <w:lang w:val="zh-CN"/>
              </w:rPr>
              <w:t>八、受托单位</w:t>
            </w:r>
            <w:r>
              <w:rPr>
                <w:rFonts w:ascii="Arial" w:hAnsi="Arial" w:cs="Arial"/>
                <w:lang w:val="zh-CN"/>
              </w:rPr>
              <w:tab/>
              <w:t>8</w:t>
            </w:r>
          </w:hyperlink>
        </w:p>
        <w:p w14:paraId="3D238D80" w14:textId="77777777" w:rsidR="00E70101" w:rsidRDefault="0060680B">
          <w:pPr>
            <w:pStyle w:val="26"/>
            <w:rPr>
              <w:rFonts w:ascii="Arial" w:hAnsi="Arial" w:cs="Arial"/>
              <w:kern w:val="2"/>
              <w:lang w:val="zh-CN"/>
            </w:rPr>
          </w:pPr>
          <w:hyperlink w:anchor="__RefHeading___Toc469066137">
            <w:r>
              <w:rPr>
                <w:rFonts w:ascii="Arial" w:eastAsia="仿宋_GB2312;仿宋" w:hAnsi="Arial" w:cs="Arial"/>
                <w:bCs/>
                <w:color w:val="000000"/>
                <w:szCs w:val="24"/>
                <w:lang w:val="zh-CN"/>
              </w:rPr>
              <w:t>附</w:t>
            </w:r>
            <w:r>
              <w:rPr>
                <w:rFonts w:ascii="Arial" w:eastAsia="仿宋_GB2312;仿宋" w:hAnsi="Arial" w:cs="Arial"/>
                <w:color w:val="000000"/>
                <w:szCs w:val="24"/>
                <w:lang w:val="zh-CN"/>
              </w:rPr>
              <w:t>：咨询结果一览表</w:t>
            </w:r>
            <w:r>
              <w:rPr>
                <w:rFonts w:ascii="Arial" w:hAnsi="Arial" w:cs="Arial"/>
                <w:lang w:val="zh-CN"/>
              </w:rPr>
              <w:tab/>
              <w:t>9</w:t>
            </w:r>
          </w:hyperlink>
        </w:p>
        <w:p w14:paraId="17F82D69" w14:textId="77777777" w:rsidR="00E70101" w:rsidRDefault="0060680B">
          <w:pPr>
            <w:pStyle w:val="11"/>
            <w:rPr>
              <w:rFonts w:ascii="Arial" w:hAnsi="Arial"/>
              <w:kern w:val="2"/>
            </w:rPr>
          </w:pPr>
          <w:hyperlink w:anchor="__RefHeading___Toc469066138">
            <w:r>
              <w:rPr>
                <w:rFonts w:ascii="Arial" w:hAnsi="Arial"/>
                <w:color w:val="000000"/>
              </w:rPr>
              <w:t>第二部分</w:t>
            </w:r>
            <w:r>
              <w:rPr>
                <w:rFonts w:ascii="Arial" w:eastAsia="Arial" w:hAnsi="Arial"/>
                <w:color w:val="000000"/>
              </w:rPr>
              <w:t xml:space="preserve">  </w:t>
            </w:r>
            <w:r>
              <w:rPr>
                <w:rFonts w:ascii="Arial" w:hAnsi="Arial"/>
                <w:color w:val="000000"/>
              </w:rPr>
              <w:t>咨询对象界定</w:t>
            </w:r>
            <w:r>
              <w:rPr>
                <w:rFonts w:ascii="Arial" w:hAnsi="Arial"/>
              </w:rPr>
              <w:tab/>
              <w:t>8</w:t>
            </w:r>
          </w:hyperlink>
        </w:p>
        <w:p w14:paraId="26F2DAAE" w14:textId="77777777" w:rsidR="00E70101" w:rsidRDefault="0060680B">
          <w:pPr>
            <w:pStyle w:val="26"/>
            <w:rPr>
              <w:rFonts w:ascii="Arial" w:hAnsi="Arial" w:cs="Arial"/>
              <w:kern w:val="2"/>
              <w:lang w:val="zh-CN"/>
            </w:rPr>
          </w:pPr>
          <w:hyperlink w:anchor="__RefHeading___Toc469066139">
            <w:r>
              <w:rPr>
                <w:rFonts w:ascii="Arial" w:eastAsia="仿宋_GB2312;仿宋" w:hAnsi="Arial" w:cs="Arial"/>
                <w:color w:val="000000"/>
                <w:szCs w:val="24"/>
                <w:lang w:val="zh-CN"/>
              </w:rPr>
              <w:t>一、委托方</w:t>
            </w:r>
            <w:r>
              <w:rPr>
                <w:rFonts w:ascii="Arial" w:hAnsi="Arial" w:cs="Arial"/>
                <w:lang w:val="zh-CN"/>
              </w:rPr>
              <w:tab/>
              <w:t>8</w:t>
            </w:r>
          </w:hyperlink>
        </w:p>
        <w:p w14:paraId="4DBC0E44" w14:textId="77777777" w:rsidR="00E70101" w:rsidRDefault="0060680B">
          <w:pPr>
            <w:pStyle w:val="26"/>
            <w:rPr>
              <w:rFonts w:ascii="Arial" w:hAnsi="Arial" w:cs="Arial"/>
              <w:kern w:val="2"/>
              <w:lang w:val="zh-CN"/>
            </w:rPr>
          </w:pPr>
          <w:hyperlink w:anchor="__RefHeading___Toc469066140">
            <w:r>
              <w:rPr>
                <w:rFonts w:ascii="Arial" w:eastAsia="仿宋_GB2312;仿宋" w:hAnsi="Arial" w:cs="Arial"/>
                <w:color w:val="000000"/>
                <w:szCs w:val="24"/>
                <w:lang w:val="zh-CN"/>
              </w:rPr>
              <w:t>二、咨询对象</w:t>
            </w:r>
            <w:r>
              <w:rPr>
                <w:rFonts w:ascii="Arial" w:hAnsi="Arial" w:cs="Arial"/>
                <w:lang w:val="zh-CN"/>
              </w:rPr>
              <w:tab/>
              <w:t>8</w:t>
            </w:r>
          </w:hyperlink>
        </w:p>
        <w:p w14:paraId="427C245D" w14:textId="77777777" w:rsidR="00E70101" w:rsidRDefault="0060680B">
          <w:pPr>
            <w:pStyle w:val="26"/>
            <w:rPr>
              <w:rFonts w:ascii="Arial" w:hAnsi="Arial" w:cs="Arial"/>
              <w:kern w:val="2"/>
              <w:lang w:val="zh-CN"/>
            </w:rPr>
          </w:pPr>
          <w:hyperlink w:anchor="__RefHeading___Toc469066141">
            <w:r>
              <w:rPr>
                <w:rFonts w:ascii="Arial" w:eastAsia="仿宋_GB2312;仿宋" w:hAnsi="Arial" w:cs="Arial"/>
                <w:color w:val="000000"/>
                <w:szCs w:val="24"/>
                <w:lang w:val="zh-CN"/>
              </w:rPr>
              <w:t>三、咨询对象概况</w:t>
            </w:r>
            <w:r>
              <w:rPr>
                <w:rFonts w:ascii="Arial" w:hAnsi="Arial" w:cs="Arial"/>
                <w:lang w:val="zh-CN"/>
              </w:rPr>
              <w:tab/>
              <w:t>8</w:t>
            </w:r>
          </w:hyperlink>
        </w:p>
        <w:p w14:paraId="2F8BDF93" w14:textId="77777777" w:rsidR="00E70101" w:rsidRDefault="0060680B">
          <w:pPr>
            <w:pStyle w:val="26"/>
            <w:rPr>
              <w:rFonts w:ascii="Arial" w:hAnsi="Arial" w:cs="Arial"/>
              <w:kern w:val="2"/>
              <w:lang w:val="zh-CN"/>
            </w:rPr>
          </w:pPr>
          <w:hyperlink w:anchor="__RefHeading___Toc469066142">
            <w:r>
              <w:rPr>
                <w:rFonts w:ascii="Arial" w:eastAsia="仿宋_GB2312;仿宋" w:hAnsi="Arial" w:cs="Arial"/>
                <w:color w:val="000000"/>
                <w:szCs w:val="24"/>
                <w:lang w:val="zh-CN"/>
              </w:rPr>
              <w:t>四、影响地价的因素说明</w:t>
            </w:r>
            <w:r>
              <w:rPr>
                <w:rFonts w:ascii="Arial" w:hAnsi="Arial" w:cs="Arial"/>
                <w:lang w:val="zh-CN"/>
              </w:rPr>
              <w:tab/>
              <w:t>10</w:t>
            </w:r>
          </w:hyperlink>
        </w:p>
        <w:p w14:paraId="240CD170" w14:textId="77777777" w:rsidR="00E70101" w:rsidRDefault="0060680B">
          <w:pPr>
            <w:pStyle w:val="11"/>
            <w:rPr>
              <w:rFonts w:ascii="Arial" w:hAnsi="Arial"/>
              <w:kern w:val="2"/>
            </w:rPr>
          </w:pPr>
          <w:hyperlink w:anchor="__RefHeading___Toc469066144">
            <w:r>
              <w:rPr>
                <w:rFonts w:ascii="Arial" w:hAnsi="Arial"/>
                <w:color w:val="000000"/>
              </w:rPr>
              <w:t>第三部分</w:t>
            </w:r>
            <w:r>
              <w:rPr>
                <w:rFonts w:ascii="Arial" w:eastAsia="Arial" w:hAnsi="Arial"/>
                <w:color w:val="000000"/>
              </w:rPr>
              <w:t xml:space="preserve">  </w:t>
            </w:r>
            <w:r>
              <w:rPr>
                <w:rFonts w:ascii="Arial" w:hAnsi="Arial"/>
                <w:color w:val="000000"/>
              </w:rPr>
              <w:t>土地咨询结果及其使用</w:t>
            </w:r>
            <w:r>
              <w:rPr>
                <w:rFonts w:ascii="Arial" w:hAnsi="Arial"/>
              </w:rPr>
              <w:tab/>
              <w:t>30</w:t>
            </w:r>
          </w:hyperlink>
        </w:p>
        <w:p w14:paraId="1ACB70A9" w14:textId="77777777" w:rsidR="00E70101" w:rsidRDefault="0060680B">
          <w:pPr>
            <w:pStyle w:val="26"/>
            <w:rPr>
              <w:rFonts w:ascii="Arial" w:hAnsi="Arial" w:cs="Arial"/>
              <w:kern w:val="2"/>
              <w:lang w:val="zh-CN"/>
            </w:rPr>
          </w:pPr>
          <w:hyperlink w:anchor="__RefHeading___Toc469066145">
            <w:r>
              <w:rPr>
                <w:rFonts w:ascii="Arial" w:eastAsia="仿宋_GB2312;仿宋" w:hAnsi="Arial" w:cs="Arial"/>
                <w:color w:val="000000"/>
                <w:szCs w:val="24"/>
                <w:lang w:val="zh-CN"/>
              </w:rPr>
              <w:t>一、咨询依据</w:t>
            </w:r>
            <w:r>
              <w:rPr>
                <w:rFonts w:ascii="Arial" w:hAnsi="Arial" w:cs="Arial"/>
                <w:lang w:val="zh-CN"/>
              </w:rPr>
              <w:tab/>
              <w:t>30</w:t>
            </w:r>
          </w:hyperlink>
        </w:p>
        <w:p w14:paraId="09ADB500" w14:textId="77777777" w:rsidR="00E70101" w:rsidRDefault="0060680B">
          <w:pPr>
            <w:pStyle w:val="26"/>
            <w:rPr>
              <w:rFonts w:ascii="Arial" w:hAnsi="Arial" w:cs="Arial"/>
              <w:kern w:val="2"/>
              <w:lang w:val="zh-CN"/>
            </w:rPr>
          </w:pPr>
          <w:hyperlink w:anchor="__RefHeading___Toc469066146">
            <w:r>
              <w:rPr>
                <w:rFonts w:ascii="Arial" w:eastAsia="仿宋_GB2312;仿宋" w:hAnsi="Arial" w:cs="Arial"/>
                <w:color w:val="000000"/>
                <w:szCs w:val="24"/>
                <w:lang w:val="zh-CN"/>
              </w:rPr>
              <w:t>二、土地咨询</w:t>
            </w:r>
            <w:r>
              <w:rPr>
                <w:rFonts w:ascii="Arial" w:hAnsi="Arial" w:cs="Arial"/>
                <w:lang w:val="zh-CN"/>
              </w:rPr>
              <w:tab/>
              <w:t>33</w:t>
            </w:r>
          </w:hyperlink>
        </w:p>
        <w:p w14:paraId="68057DEA" w14:textId="77777777" w:rsidR="00E70101" w:rsidRDefault="0060680B">
          <w:pPr>
            <w:pStyle w:val="26"/>
            <w:rPr>
              <w:rFonts w:ascii="Arial" w:hAnsi="Arial" w:cs="Arial"/>
              <w:kern w:val="2"/>
              <w:lang w:val="zh-CN"/>
            </w:rPr>
          </w:pPr>
          <w:hyperlink w:anchor="__RefHeading___Toc469066147">
            <w:r>
              <w:rPr>
                <w:rFonts w:ascii="Arial" w:eastAsia="仿宋_GB2312;仿宋" w:hAnsi="Arial" w:cs="Arial"/>
                <w:color w:val="000000"/>
                <w:szCs w:val="24"/>
                <w:lang w:val="zh-CN"/>
              </w:rPr>
              <w:t>三、咨询结果和咨询报告的使用</w:t>
            </w:r>
            <w:r>
              <w:rPr>
                <w:rFonts w:ascii="Arial" w:hAnsi="Arial" w:cs="Arial"/>
                <w:lang w:val="zh-CN"/>
              </w:rPr>
              <w:tab/>
              <w:t>42</w:t>
            </w:r>
          </w:hyperlink>
        </w:p>
        <w:p w14:paraId="35BC6DB3" w14:textId="77777777" w:rsidR="00E70101" w:rsidRDefault="0060680B">
          <w:pPr>
            <w:pStyle w:val="11"/>
            <w:rPr>
              <w:rFonts w:ascii="Arial" w:hAnsi="Arial"/>
              <w:kern w:val="2"/>
            </w:rPr>
          </w:pPr>
          <w:hyperlink w:anchor="__RefHeading___Toc469066148">
            <w:r>
              <w:rPr>
                <w:rFonts w:ascii="Arial" w:hAnsi="Arial"/>
                <w:color w:val="000000"/>
              </w:rPr>
              <w:t>第四部分</w:t>
            </w:r>
            <w:r>
              <w:rPr>
                <w:rFonts w:ascii="Arial" w:eastAsia="Arial" w:hAnsi="Arial"/>
                <w:color w:val="000000"/>
              </w:rPr>
              <w:t xml:space="preserve">  </w:t>
            </w:r>
            <w:r>
              <w:rPr>
                <w:rFonts w:ascii="Arial" w:hAnsi="Arial"/>
                <w:color w:val="000000"/>
              </w:rPr>
              <w:t>附</w:t>
            </w:r>
            <w:r>
              <w:rPr>
                <w:rFonts w:ascii="Arial" w:eastAsia="Arial" w:hAnsi="Arial"/>
                <w:color w:val="000000"/>
              </w:rPr>
              <w:t xml:space="preserve">  </w:t>
            </w:r>
            <w:r>
              <w:rPr>
                <w:rFonts w:ascii="Arial" w:hAnsi="Arial"/>
                <w:color w:val="000000"/>
              </w:rPr>
              <w:t>件</w:t>
            </w:r>
            <w:r>
              <w:rPr>
                <w:rFonts w:ascii="Arial" w:hAnsi="Arial"/>
              </w:rPr>
              <w:tab/>
              <w:t>46</w:t>
            </w:r>
          </w:hyperlink>
          <w:r>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3"/>
          <w:footerReference w:type="default" r:id="rId14"/>
          <w:headerReference w:type="first" r:id="rId15"/>
          <w:footerReference w:type="first" r:id="rId16"/>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proofErr w:type="gramStart"/>
      <w:r>
        <w:rPr>
          <w:rFonts w:ascii="Arial" w:hAnsi="Arial" w:cs="Arial"/>
          <w:b/>
          <w:sz w:val="32"/>
        </w:rPr>
        <w:t>咨</w:t>
      </w:r>
      <w:proofErr w:type="gramEnd"/>
      <w:r>
        <w:rPr>
          <w:rFonts w:ascii="Arial" w:eastAsia="Arial" w:hAnsi="Arial" w:cs="Arial"/>
          <w:b/>
          <w:sz w:val="32"/>
        </w:rPr>
        <w:t xml:space="preserve"> </w:t>
      </w:r>
      <w:proofErr w:type="gramStart"/>
      <w:r>
        <w:rPr>
          <w:rFonts w:ascii="Arial" w:hAnsi="Arial" w:cs="Arial"/>
          <w:b/>
          <w:sz w:val="32"/>
        </w:rPr>
        <w:t>询</w:t>
      </w:r>
      <w:proofErr w:type="gramEnd"/>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r>
      <w:bookmarkStart w:id="1" w:name="__RefHeading___Toc469066127"/>
      <w:r>
        <w:rPr>
          <w:rFonts w:ascii="Arial" w:hAnsi="Arial" w:cs="Arial"/>
          <w:b/>
          <w:sz w:val="32"/>
        </w:rPr>
        <w:t xml:space="preserve">    </w:t>
      </w:r>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1"/>
      <w:r>
        <w:rPr>
          <w:rFonts w:ascii="Arial" w:hAnsi="Arial" w:cs="Arial"/>
          <w:b/>
          <w:sz w:val="32"/>
        </w:rPr>
        <w:tab/>
      </w:r>
    </w:p>
    <w:p w14:paraId="392F5FE1" w14:textId="77777777" w:rsidR="00E70101" w:rsidRDefault="0060680B">
      <w:pPr>
        <w:spacing w:line="360" w:lineRule="auto"/>
        <w:jc w:val="both"/>
        <w:outlineLvl w:val="1"/>
      </w:pPr>
      <w:bookmarkStart w:id="2" w:name="__RefHeading___Toc469066128"/>
      <w:bookmarkEnd w:id="2"/>
      <w:r>
        <w:rPr>
          <w:rFonts w:ascii="Arial" w:eastAsia="仿宋_GB2312;仿宋" w:hAnsi="Arial" w:cs="Arial"/>
          <w:b/>
          <w:bCs/>
          <w:sz w:val="28"/>
        </w:rPr>
        <w:t>一、项目名称</w:t>
      </w:r>
    </w:p>
    <w:p w14:paraId="697E1F84" w14:textId="77777777"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北京市昌平区北七家镇八仙庄村仓储用地划拨国有建设用地使用权收购补偿价格咨询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3" w:name="__RefHeading___Toc469066129"/>
      <w:r>
        <w:rPr>
          <w:rFonts w:ascii="Arial" w:eastAsia="仿宋_GB2312;仿宋" w:hAnsi="Arial" w:cs="Arial"/>
          <w:b/>
          <w:bCs/>
          <w:sz w:val="28"/>
        </w:rPr>
        <w:t>二、</w:t>
      </w:r>
      <w:bookmarkEnd w:id="3"/>
      <w:r>
        <w:rPr>
          <w:rFonts w:ascii="Arial" w:eastAsia="仿宋_GB2312;仿宋" w:hAnsi="Arial" w:cs="Arial"/>
          <w:b/>
          <w:bCs/>
          <w:sz w:val="28"/>
        </w:rPr>
        <w:t>委托方</w:t>
      </w:r>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r>
        <w:commentReference w:id="4"/>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proofErr w:type="gramStart"/>
      <w:r>
        <w:rPr>
          <w:rFonts w:ascii="Arial" w:eastAsia="仿宋_GB2312;仿宋" w:hAnsi="Arial" w:cs="Arial"/>
          <w:sz w:val="28"/>
        </w:rPr>
        <w:t>岳翠兰</w:t>
      </w:r>
      <w:proofErr w:type="gramEnd"/>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5" w:name="__RefHeading___Toc469066130"/>
      <w:bookmarkEnd w:id="5"/>
      <w:r>
        <w:rPr>
          <w:rFonts w:ascii="Arial" w:eastAsia="仿宋_GB2312;仿宋" w:hAnsi="Arial" w:cs="Arial"/>
          <w:b/>
          <w:bCs/>
          <w:sz w:val="28"/>
        </w:rPr>
        <w:t>三、咨询目的</w:t>
      </w:r>
    </w:p>
    <w:p w14:paraId="202483D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6" w:name="__RefHeading___Toc469066131"/>
      <w:bookmarkEnd w:id="6"/>
      <w:r>
        <w:rPr>
          <w:rFonts w:ascii="Arial" w:eastAsia="仿宋_GB2312;仿宋" w:hAnsi="Arial" w:cs="Arial"/>
          <w:b/>
          <w:bCs/>
          <w:sz w:val="28"/>
        </w:rPr>
        <w:t>四、咨询期日</w:t>
      </w:r>
    </w:p>
    <w:p w14:paraId="7CD7406E" w14:textId="77777777" w:rsidR="00E70101" w:rsidRDefault="0060680B">
      <w:pPr>
        <w:spacing w:line="360" w:lineRule="auto"/>
        <w:ind w:firstLine="560"/>
        <w:jc w:val="both"/>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7" w:name="__RefHeading___Toc469066132"/>
      <w:r>
        <w:rPr>
          <w:rFonts w:ascii="Arial" w:eastAsia="仿宋_GB2312;仿宋" w:hAnsi="Arial" w:cs="Arial"/>
          <w:b/>
          <w:bCs/>
          <w:sz w:val="28"/>
        </w:rPr>
        <w:t>五、</w:t>
      </w:r>
      <w:bookmarkEnd w:id="7"/>
      <w:r>
        <w:rPr>
          <w:rFonts w:ascii="Arial" w:eastAsia="仿宋_GB2312;仿宋" w:hAnsi="Arial" w:cs="Arial"/>
          <w:b/>
          <w:bCs/>
          <w:sz w:val="28"/>
        </w:rPr>
        <w:t>咨询日期</w:t>
      </w:r>
      <w:r>
        <w:rPr>
          <w:rFonts w:ascii="Arial" w:eastAsia="仿宋_GB2312;仿宋" w:hAnsi="Arial" w:cs="Arial"/>
          <w:b/>
          <w:bCs/>
          <w:sz w:val="28"/>
        </w:rPr>
        <w:tab/>
      </w:r>
    </w:p>
    <w:p w14:paraId="620577E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日至</w:t>
      </w:r>
      <w:bookmarkStart w:id="8" w:name="__RefHeading___Toc469066133"/>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sz w:val="28"/>
        </w:rPr>
      </w:pPr>
    </w:p>
    <w:p w14:paraId="2B7175A5" w14:textId="77777777" w:rsidR="00E70101" w:rsidRDefault="0060680B">
      <w:pPr>
        <w:spacing w:line="360" w:lineRule="auto"/>
        <w:jc w:val="both"/>
      </w:pPr>
      <w:r>
        <w:rPr>
          <w:rFonts w:ascii="Arial" w:eastAsia="仿宋_GB2312;仿宋" w:hAnsi="Arial" w:cs="Arial"/>
          <w:b/>
          <w:bCs/>
          <w:sz w:val="28"/>
        </w:rPr>
        <w:t>六、地价定义</w:t>
      </w:r>
      <w:bookmarkEnd w:id="8"/>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7777777" w:rsidR="00E70101" w:rsidRDefault="0060680B">
      <w:pPr>
        <w:spacing w:line="360" w:lineRule="auto"/>
        <w:ind w:firstLine="560"/>
        <w:jc w:val="both"/>
      </w:pPr>
      <w:r>
        <w:rPr>
          <w:rFonts w:ascii="Arial" w:eastAsia="仿宋_GB2312;仿宋" w:hAnsi="Arial" w:cs="Arial"/>
          <w:sz w:val="28"/>
        </w:rPr>
        <w:t>咨询对象位于北京市昌平区北七家镇八仙庄村仓储用地，根据咨询目的及估算依据，结合委托方提供的资料及专业人员现场勘查，在咨询期日的地价定义如下。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77777777" w:rsidR="00E70101" w:rsidRDefault="0060680B">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日对咨询对象进行实地查勘，本次评估设定咨询期日即为</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根据委托方介绍，本次评估咨询对象用途为仓储用地，故本次评估设定用途为仓储用地。</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根据委托方介绍，咨询对象土地使用权类型为划拨，故本次评估的是其划拨国有建设用地使用权价格。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77777777" w:rsidR="00E70101" w:rsidRDefault="0060680B">
      <w:pPr>
        <w:spacing w:line="360" w:lineRule="auto"/>
        <w:ind w:firstLine="560"/>
        <w:jc w:val="both"/>
        <w:rPr>
          <w:rFonts w:eastAsia="仿宋_GB2312;仿宋"/>
        </w:rPr>
      </w:pPr>
      <w:r>
        <w:rPr>
          <w:rFonts w:ascii="Arial" w:eastAsia="仿宋_GB2312;仿宋" w:hAnsi="Arial" w:cs="Arial"/>
          <w:sz w:val="28"/>
        </w:rPr>
        <w:t>本次咨询对象为划拨国有建设用地使用权，根据委托方提供的资料及其介绍，咨询对象使用权类型为划拨，故土地使用权年期为无年期限制。</w:t>
      </w:r>
      <w:r>
        <w:rPr>
          <w:rFonts w:ascii="Arial" w:eastAsia="Arial" w:hAnsi="Arial" w:cs="Arial"/>
          <w:sz w:val="28"/>
        </w:rPr>
        <w:t xml:space="preserve">     </w:t>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4A1B0FC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commentRangeStart w:id="9"/>
      <w:r>
        <w:rPr>
          <w:rFonts w:ascii="Arial" w:eastAsia="仿宋_GB2312;仿宋" w:hAnsi="Arial" w:cs="Arial"/>
          <w:sz w:val="28"/>
        </w:rPr>
        <w:t>容积率设定</w:t>
      </w:r>
      <w:commentRangeEnd w:id="9"/>
      <w:r>
        <w:commentReference w:id="9"/>
      </w:r>
      <w:r>
        <w:rPr>
          <w:rFonts w:ascii="Arial" w:eastAsia="仿宋_GB2312;仿宋" w:hAnsi="Arial" w:cs="Arial"/>
          <w:sz w:val="28"/>
        </w:rPr>
        <w:t>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77777777" w:rsidR="00E70101" w:rsidRDefault="0060680B">
      <w:pPr>
        <w:spacing w:line="360" w:lineRule="auto"/>
        <w:ind w:firstLine="560"/>
        <w:jc w:val="both"/>
      </w:pPr>
      <w:r>
        <w:rPr>
          <w:rFonts w:ascii="Arial" w:eastAsia="仿宋_GB2312;仿宋" w:hAnsi="Arial" w:cs="Arial"/>
          <w:sz w:val="28"/>
        </w:rPr>
        <w:t>本次评估咨询目的：为委托方了解收购国有建设用地使用权可能形成的补偿价格提供参考依据。故本次估算咨询结果为特定条件下的土地使用权价格，即土地使用权收购补偿价格。</w:t>
      </w:r>
    </w:p>
    <w:p w14:paraId="7B3C51E8" w14:textId="7777777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日，设定土地用途为仓储、土地使用权类型为划拨、土地开发程度为宗地红线外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日发布）进行评估。经委托方介绍，设定咨询对象宗地现状不存在建（构）筑物。</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日发布）进行评估。经委托方介绍，设定咨询对象宗地现状不存在附属物。</w:t>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A9C4F5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10" w:name="__RefHeading___Toc469066134"/>
      <w:bookmarkEnd w:id="10"/>
      <w:r>
        <w:rPr>
          <w:rFonts w:ascii="Arial" w:eastAsia="仿宋_GB2312;仿宋" w:hAnsi="Arial" w:cs="Arial"/>
          <w:b/>
          <w:sz w:val="28"/>
        </w:rPr>
        <w:t>七、咨询结果</w:t>
      </w:r>
    </w:p>
    <w:p w14:paraId="5AE1CCA6"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w:t>
      </w:r>
      <w:proofErr w:type="gramStart"/>
      <w:r>
        <w:rPr>
          <w:rFonts w:ascii="Arial" w:eastAsia="仿宋_GB2312;仿宋" w:hAnsi="Arial" w:cs="Arial"/>
          <w:b/>
          <w:kern w:val="2"/>
          <w:sz w:val="28"/>
        </w:rPr>
        <w:t>壹拾伍亿陆仟陆佰伍拾肆万</w:t>
      </w:r>
      <w:proofErr w:type="gramEnd"/>
      <w:r>
        <w:rPr>
          <w:rFonts w:ascii="Arial" w:eastAsia="仿宋_GB2312;仿宋" w:hAnsi="Arial" w:cs="Arial"/>
          <w:b/>
          <w:kern w:val="2"/>
          <w:sz w:val="28"/>
        </w:rPr>
        <w:t>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9"/>
        <w:gridCol w:w="3069"/>
        <w:gridCol w:w="2106"/>
        <w:gridCol w:w="3224"/>
      </w:tblGrid>
      <w:tr w:rsidR="00E70101" w14:paraId="3781C63E"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1DABBF1C" w14:textId="77777777">
        <w:trPr>
          <w:trHeight w:val="454"/>
          <w:jc w:val="center"/>
        </w:trPr>
        <w:tc>
          <w:tcPr>
            <w:tcW w:w="890" w:type="dxa"/>
            <w:tcBorders>
              <w:left w:val="single" w:sz="4" w:space="0" w:color="000000"/>
              <w:bottom w:val="single" w:sz="4" w:space="0" w:color="000000"/>
            </w:tcBorders>
            <w:shd w:val="clear" w:color="auto" w:fill="auto"/>
            <w:vAlign w:val="center"/>
          </w:tcPr>
          <w:p w14:paraId="089F0614"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57B8E0A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6A8FCAD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2964DE2A"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22A1861F" w14:textId="77777777">
        <w:trPr>
          <w:trHeight w:val="454"/>
          <w:jc w:val="center"/>
        </w:trPr>
        <w:tc>
          <w:tcPr>
            <w:tcW w:w="890" w:type="dxa"/>
            <w:tcBorders>
              <w:left w:val="single" w:sz="4" w:space="0" w:color="000000"/>
              <w:bottom w:val="single" w:sz="4" w:space="0" w:color="000000"/>
            </w:tcBorders>
            <w:shd w:val="clear" w:color="auto" w:fill="auto"/>
            <w:vAlign w:val="center"/>
          </w:tcPr>
          <w:p w14:paraId="60CF647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0F4D4A00"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231C9AA6"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B659212"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0FA5920F" w14:textId="77777777">
        <w:trPr>
          <w:trHeight w:val="454"/>
          <w:jc w:val="center"/>
        </w:trPr>
        <w:tc>
          <w:tcPr>
            <w:tcW w:w="890" w:type="dxa"/>
            <w:tcBorders>
              <w:left w:val="single" w:sz="4" w:space="0" w:color="000000"/>
              <w:bottom w:val="single" w:sz="4" w:space="0" w:color="000000"/>
            </w:tcBorders>
            <w:shd w:val="clear" w:color="auto" w:fill="auto"/>
            <w:vAlign w:val="center"/>
          </w:tcPr>
          <w:p w14:paraId="29A314FA"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706879C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7313F77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00A8BE4"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C349C6D" w14:textId="77777777">
        <w:trPr>
          <w:trHeight w:val="454"/>
          <w:jc w:val="center"/>
        </w:trPr>
        <w:tc>
          <w:tcPr>
            <w:tcW w:w="890" w:type="dxa"/>
            <w:tcBorders>
              <w:left w:val="single" w:sz="4" w:space="0" w:color="000000"/>
              <w:bottom w:val="single" w:sz="4" w:space="0" w:color="000000"/>
            </w:tcBorders>
            <w:shd w:val="clear" w:color="auto" w:fill="auto"/>
            <w:vAlign w:val="center"/>
          </w:tcPr>
          <w:p w14:paraId="5DE0EFF6"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1962982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76738CD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9F02126"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7CF2A10E" w14:textId="77777777">
        <w:trPr>
          <w:trHeight w:val="454"/>
          <w:jc w:val="center"/>
        </w:trPr>
        <w:tc>
          <w:tcPr>
            <w:tcW w:w="890" w:type="dxa"/>
            <w:tcBorders>
              <w:left w:val="single" w:sz="4" w:space="0" w:color="000000"/>
              <w:bottom w:val="single" w:sz="4" w:space="0" w:color="000000"/>
            </w:tcBorders>
            <w:shd w:val="clear" w:color="auto" w:fill="auto"/>
            <w:vAlign w:val="center"/>
          </w:tcPr>
          <w:p w14:paraId="2961D179"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28ADDA90"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30A6845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F3059D1"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61CFDA82" w14:textId="77777777">
        <w:trPr>
          <w:trHeight w:val="454"/>
          <w:jc w:val="center"/>
        </w:trPr>
        <w:tc>
          <w:tcPr>
            <w:tcW w:w="890" w:type="dxa"/>
            <w:tcBorders>
              <w:left w:val="single" w:sz="4" w:space="0" w:color="000000"/>
              <w:bottom w:val="single" w:sz="4" w:space="0" w:color="000000"/>
            </w:tcBorders>
            <w:shd w:val="clear" w:color="auto" w:fill="auto"/>
            <w:vAlign w:val="center"/>
          </w:tcPr>
          <w:p w14:paraId="0319994A"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081A6176"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77199A79"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C48040B"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0AA7EDA4" w14:textId="77777777">
        <w:trPr>
          <w:trHeight w:val="454"/>
          <w:jc w:val="center"/>
        </w:trPr>
        <w:tc>
          <w:tcPr>
            <w:tcW w:w="890" w:type="dxa"/>
            <w:tcBorders>
              <w:left w:val="single" w:sz="4" w:space="0" w:color="000000"/>
              <w:bottom w:val="single" w:sz="4" w:space="0" w:color="000000"/>
            </w:tcBorders>
            <w:shd w:val="clear" w:color="auto" w:fill="auto"/>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5C5C4A5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11" w:name="__RefHeading___Toc469066136"/>
      <w:r>
        <w:rPr>
          <w:rFonts w:ascii="Arial" w:eastAsia="仿宋_GB2312;仿宋" w:hAnsi="Arial" w:cs="Arial"/>
          <w:b/>
          <w:sz w:val="28"/>
        </w:rPr>
        <w:t>八、</w:t>
      </w:r>
      <w:bookmarkEnd w:id="11"/>
      <w:r>
        <w:rPr>
          <w:rFonts w:ascii="Arial" w:eastAsia="仿宋_GB2312;仿宋" w:hAnsi="Arial" w:cs="Arial"/>
          <w:b/>
          <w:sz w:val="28"/>
        </w:rPr>
        <w:t>受托单位</w:t>
      </w:r>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shd w:val="clear" w:color="auto" w:fill="auto"/>
          </w:tcPr>
          <w:p w14:paraId="10524374" w14:textId="77777777" w:rsidR="00E70101" w:rsidRDefault="0060680B">
            <w:pPr>
              <w:spacing w:line="360" w:lineRule="auto"/>
              <w:rPr>
                <w:rFonts w:ascii="Arial" w:eastAsia="仿宋_GB2312;仿宋" w:hAnsi="Arial" w:cs="Arial"/>
                <w:sz w:val="28"/>
                <w:szCs w:val="21"/>
              </w:rPr>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1F37EE22" w14:textId="77777777">
        <w:trPr>
          <w:trHeight w:val="1431"/>
          <w:jc w:val="right"/>
        </w:trPr>
        <w:tc>
          <w:tcPr>
            <w:tcW w:w="4445" w:type="dxa"/>
            <w:shd w:val="clear" w:color="auto" w:fill="auto"/>
          </w:tcPr>
          <w:p w14:paraId="751E1C7D" w14:textId="77777777" w:rsidR="00E70101" w:rsidRDefault="0060680B">
            <w:pPr>
              <w:spacing w:line="480" w:lineRule="auto"/>
              <w:rPr>
                <w:rFonts w:ascii="Arial" w:eastAsia="仿宋_GB2312;仿宋" w:hAnsi="Arial" w:cs="Arial"/>
                <w:sz w:val="28"/>
                <w:szCs w:val="21"/>
              </w:rPr>
            </w:pPr>
            <w:r>
              <w:rPr>
                <w:rFonts w:ascii="Arial" w:eastAsia="仿宋_GB2312;仿宋" w:hAnsi="Arial" w:cs="Arial"/>
                <w:sz w:val="28"/>
                <w:szCs w:val="21"/>
              </w:rPr>
              <w:t>法定代表人：</w:t>
            </w:r>
          </w:p>
        </w:tc>
      </w:tr>
      <w:tr w:rsidR="00E70101" w14:paraId="77CF0C5F" w14:textId="77777777">
        <w:trPr>
          <w:cantSplit/>
          <w:jc w:val="right"/>
        </w:trPr>
        <w:tc>
          <w:tcPr>
            <w:tcW w:w="4445" w:type="dxa"/>
            <w:shd w:val="clear" w:color="auto" w:fill="auto"/>
          </w:tcPr>
          <w:p w14:paraId="3FB7589B" w14:textId="77777777" w:rsidR="00E70101" w:rsidRDefault="0060680B">
            <w:pPr>
              <w:spacing w:line="240" w:lineRule="auto"/>
              <w:jc w:val="right"/>
              <w:rPr>
                <w:rFonts w:ascii="Arial" w:eastAsia="仿宋_GB2312;仿宋" w:hAnsi="Arial" w:cs="Arial"/>
                <w:sz w:val="28"/>
                <w:szCs w:val="21"/>
              </w:rPr>
            </w:pPr>
            <w:r>
              <w:rPr>
                <w:rFonts w:ascii="Arial" w:eastAsia="仿宋_GB2312;仿宋" w:hAnsi="Arial" w:cs="Arial"/>
                <w:sz w:val="28"/>
                <w:szCs w:val="21"/>
              </w:rPr>
              <w:t>二〇二四年四月二日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7"/>
          <w:footerReference w:type="default" r:id="rId18"/>
          <w:headerReference w:type="first" r:id="rId19"/>
          <w:footerReference w:type="first" r:id="rId20"/>
          <w:pgSz w:w="11906" w:h="16838"/>
          <w:pgMar w:top="1843" w:right="1134" w:bottom="1134" w:left="1474" w:header="1134" w:footer="907" w:gutter="0"/>
          <w:pgNumType w:start="1"/>
          <w:cols w:space="720"/>
          <w:formProt w:val="0"/>
          <w:titlePg/>
          <w:docGrid w:linePitch="326"/>
        </w:sectPr>
      </w:pPr>
    </w:p>
    <w:p w14:paraId="43EFF8D2" w14:textId="77777777" w:rsidR="00E70101" w:rsidRDefault="0060680B">
      <w:pPr>
        <w:spacing w:line="240" w:lineRule="auto"/>
        <w:outlineLvl w:val="1"/>
      </w:pPr>
      <w:bookmarkStart w:id="12" w:name="__RefHeading___Toc469066137"/>
      <w:bookmarkEnd w:id="12"/>
      <w:r>
        <w:rPr>
          <w:rFonts w:ascii="Arial" w:eastAsia="仿宋_GB2312;仿宋" w:hAnsi="Arial" w:cs="Arial"/>
          <w:bCs/>
          <w:sz w:val="28"/>
        </w:rPr>
        <w:t>附</w:t>
      </w:r>
      <w:r>
        <w:rPr>
          <w:rFonts w:ascii="Arial" w:eastAsia="Arial" w:hAnsi="Arial" w:cs="Arial"/>
          <w:b/>
          <w:sz w:val="28"/>
        </w:rPr>
        <w:t xml:space="preserve">                                           </w:t>
      </w:r>
      <w:r>
        <w:rPr>
          <w:rFonts w:ascii="Arial" w:eastAsia="仿宋_GB2312;仿宋" w:hAnsi="Arial" w:cs="Arial"/>
          <w:b/>
          <w:sz w:val="28"/>
        </w:rPr>
        <w:t>咨询结果一览表</w:t>
      </w:r>
    </w:p>
    <w:p w14:paraId="682973B7" w14:textId="77777777" w:rsidR="00E70101" w:rsidRDefault="0060680B">
      <w:pPr>
        <w:spacing w:line="240" w:lineRule="auto"/>
        <w:rPr>
          <w:rFonts w:cs="Arial"/>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Pr>
          <w:rFonts w:ascii="Arial" w:eastAsia="仿宋_GB2312;仿宋" w:hAnsi="Arial" w:cs="Arial"/>
          <w:bCs/>
          <w:sz w:val="18"/>
        </w:rPr>
        <w:t>2024-1-0271-F01SGCB6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Pr>
          <w:rFonts w:ascii="Arial" w:eastAsia="仿宋_GB2312;仿宋" w:hAnsi="Arial" w:cs="Arial"/>
          <w:bCs/>
          <w:sz w:val="18"/>
        </w:rPr>
        <w:t>2023</w:t>
      </w:r>
      <w:r>
        <w:rPr>
          <w:rFonts w:ascii="Arial" w:eastAsia="仿宋_GB2312;仿宋" w:hAnsi="Arial" w:cs="Arial"/>
          <w:bCs/>
          <w:sz w:val="18"/>
        </w:rPr>
        <w:t>年</w:t>
      </w:r>
      <w:r>
        <w:rPr>
          <w:rFonts w:ascii="Arial" w:eastAsia="仿宋_GB2312;仿宋" w:hAnsi="Arial" w:cs="Arial"/>
          <w:bCs/>
          <w:sz w:val="18"/>
        </w:rPr>
        <w:t>9</w:t>
      </w:r>
      <w:r>
        <w:rPr>
          <w:rFonts w:ascii="Arial" w:eastAsia="仿宋_GB2312;仿宋" w:hAnsi="Arial" w:cs="Arial"/>
          <w:bCs/>
          <w:sz w:val="18"/>
        </w:rPr>
        <w:t>月</w:t>
      </w:r>
      <w:r>
        <w:rPr>
          <w:rFonts w:ascii="Arial" w:eastAsia="仿宋_GB2312;仿宋" w:hAnsi="Arial" w:cs="Arial"/>
          <w:bCs/>
          <w:sz w:val="18"/>
        </w:rPr>
        <w:t>4</w:t>
      </w:r>
      <w:r>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14479" w:type="dxa"/>
        <w:tblLook w:val="0000" w:firstRow="0" w:lastRow="0" w:firstColumn="0" w:lastColumn="0" w:noHBand="0" w:noVBand="0"/>
      </w:tblPr>
      <w:tblGrid>
        <w:gridCol w:w="709"/>
        <w:gridCol w:w="567"/>
        <w:gridCol w:w="709"/>
        <w:gridCol w:w="567"/>
        <w:gridCol w:w="425"/>
        <w:gridCol w:w="425"/>
        <w:gridCol w:w="426"/>
        <w:gridCol w:w="425"/>
        <w:gridCol w:w="567"/>
        <w:gridCol w:w="425"/>
        <w:gridCol w:w="1843"/>
        <w:gridCol w:w="1843"/>
        <w:gridCol w:w="1275"/>
        <w:gridCol w:w="993"/>
        <w:gridCol w:w="1275"/>
        <w:gridCol w:w="2005"/>
      </w:tblGrid>
      <w:tr w:rsidR="00E70101" w14:paraId="0537EA0C" w14:textId="77777777">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1949351C" w14:textId="77777777" w:rsidR="00E70101" w:rsidRDefault="0060680B">
            <w:pPr>
              <w:spacing w:line="240" w:lineRule="auto"/>
              <w:jc w:val="center"/>
            </w:pPr>
            <w:r>
              <w:rPr>
                <w:rFonts w:ascii="Arial" w:eastAsia="仿宋_GB2312;仿宋" w:hAnsi="Arial" w:cs="Arial"/>
                <w:sz w:val="18"/>
                <w:szCs w:val="18"/>
              </w:rPr>
              <w:t>咨询期日的土地使用者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28872FC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65413032"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E70101" w14:paraId="101D1958" w14:textId="77777777">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tcBorders>
              <w:top w:val="single" w:sz="6" w:space="0" w:color="000000"/>
              <w:left w:val="single" w:sz="6" w:space="0" w:color="000000"/>
              <w:bottom w:val="single" w:sz="6" w:space="0" w:color="000000"/>
            </w:tcBorders>
            <w:shd w:val="clear" w:color="auto" w:fill="auto"/>
            <w:vAlign w:val="center"/>
          </w:tcPr>
          <w:p w14:paraId="43D1E30B" w14:textId="77777777" w:rsidR="00E70101" w:rsidRDefault="0060680B">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425" w:type="dxa"/>
            <w:tcBorders>
              <w:top w:val="single" w:sz="6" w:space="0" w:color="000000"/>
              <w:left w:val="single" w:sz="6" w:space="0" w:color="000000"/>
              <w:bottom w:val="single" w:sz="6" w:space="0" w:color="000000"/>
            </w:tcBorders>
            <w:shd w:val="clear" w:color="auto" w:fill="auto"/>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E70101" w14:paraId="0C1A750A" w14:textId="77777777">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4761F37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北京对外经贸控股有限责任公司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13C5D7B0" w14:textId="77777777" w:rsidR="00E70101" w:rsidRDefault="0060680B">
            <w:pPr>
              <w:widowControl/>
              <w:spacing w:line="240" w:lineRule="auto"/>
              <w:rPr>
                <w:rFonts w:ascii="Arial" w:eastAsia="仿宋_GB2312;仿宋" w:hAnsi="Arial" w:cs="Arial"/>
                <w:sz w:val="18"/>
                <w:szCs w:val="18"/>
              </w:rPr>
            </w:pPr>
            <w:r>
              <w:rPr>
                <w:rFonts w:ascii="Arial" w:eastAsia="仿宋_GB2312;仿宋" w:hAnsi="Arial" w:cs="Arial"/>
                <w:sz w:val="18"/>
                <w:szCs w:val="18"/>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27F0469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北京市昌平区北七家镇八仙庄村仓储用地</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47D1E06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599ADAC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24C8252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2D46956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07DF2FE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shd w:val="clear" w:color="auto" w:fill="auto"/>
            <w:vAlign w:val="center"/>
          </w:tcPr>
          <w:p w14:paraId="183E227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425" w:type="dxa"/>
            <w:tcBorders>
              <w:top w:val="single" w:sz="6" w:space="0" w:color="000000"/>
              <w:left w:val="single" w:sz="6" w:space="0" w:color="000000"/>
              <w:bottom w:val="single" w:sz="6" w:space="0" w:color="000000"/>
            </w:tcBorders>
            <w:shd w:val="clear" w:color="auto" w:fill="auto"/>
            <w:vAlign w:val="center"/>
          </w:tcPr>
          <w:p w14:paraId="22BDE04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843" w:type="dxa"/>
            <w:tcBorders>
              <w:top w:val="single" w:sz="6" w:space="0" w:color="000000"/>
              <w:left w:val="single" w:sz="6" w:space="0" w:color="000000"/>
              <w:bottom w:val="single" w:sz="6" w:space="0" w:color="000000"/>
            </w:tcBorders>
            <w:shd w:val="clear" w:color="auto" w:fill="auto"/>
            <w:vAlign w:val="center"/>
          </w:tcPr>
          <w:p w14:paraId="695155C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054EBFD" w14:textId="77777777" w:rsidR="00E70101" w:rsidRDefault="0060680B">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4EE3F4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370379.14</w:t>
            </w:r>
          </w:p>
        </w:tc>
        <w:tc>
          <w:tcPr>
            <w:tcW w:w="993" w:type="dxa"/>
            <w:tcBorders>
              <w:top w:val="single" w:sz="6" w:space="0" w:color="000000"/>
              <w:left w:val="single" w:sz="6" w:space="0" w:color="000000"/>
              <w:bottom w:val="single" w:sz="6" w:space="0" w:color="000000"/>
            </w:tcBorders>
            <w:shd w:val="clear" w:color="auto" w:fill="auto"/>
            <w:vAlign w:val="center"/>
          </w:tcPr>
          <w:p w14:paraId="42FF20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4230</w:t>
            </w:r>
          </w:p>
        </w:tc>
        <w:tc>
          <w:tcPr>
            <w:tcW w:w="1275" w:type="dxa"/>
            <w:tcBorders>
              <w:top w:val="single" w:sz="6" w:space="0" w:color="000000"/>
              <w:left w:val="single" w:sz="6" w:space="0" w:color="000000"/>
              <w:bottom w:val="single" w:sz="6" w:space="0" w:color="000000"/>
            </w:tcBorders>
            <w:shd w:val="clear" w:color="auto" w:fill="auto"/>
            <w:vAlign w:val="center"/>
          </w:tcPr>
          <w:p w14:paraId="50812DF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6CD469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E70101" w14:paraId="428ADF36"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E08B41B"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EF267D8"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486A303"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0C285FE4"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3F37158"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D4FE355"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CD10DB7"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B081D84"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71612A7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37A7FFF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3125DD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32A7287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1C961B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35B73BB8"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17AD43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02B272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E70101" w14:paraId="7FDE484F"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4A1E9D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293D08B"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6BB42143"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86CED17"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5D07EF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AA3D46D"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A191563"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F567538"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12DBC1A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13A11B7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6A8022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668063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2FC3103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6953176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3B6A8E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17BA7B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E70101" w14:paraId="630EF399"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0D88F25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9C4D6EE"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6F764991"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7F1291A"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9C293CC"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8ACF2A4"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4DE56F3E"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5E98C6A"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1BBCB81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31F0293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656B214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9E7FD3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3E98304"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2054031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207BD5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DF74B43"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E70101" w14:paraId="3A7F7F52"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FA41F8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6659796B"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193EAB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2A151F0"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1D15900"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75035BB"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B2A33E1"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D151C9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3DF7F08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BD3530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525AB5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312AA9B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4CBE3A3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38CBE3D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0F067C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1C916E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E70101" w14:paraId="115A61BE"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8443A0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C7205FC"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3D5C9BA5"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4CBCF9A"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9E80570"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5255FE6"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55DCB59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F2F8D85"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2E54E01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0926863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5F8938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C3F57F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51E56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67EE254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619A10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1043BA9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E70101" w14:paraId="7FE9867B" w14:textId="77777777">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shd w:val="clear" w:color="auto" w:fill="auto"/>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shd w:val="clear" w:color="auto" w:fill="auto"/>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shd w:val="clear" w:color="auto" w:fill="auto"/>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5A8775E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21"/>
          <w:footerReference w:type="default" r:id="rId22"/>
          <w:headerReference w:type="first" r:id="rId23"/>
          <w:footerReference w:type="first" r:id="rId24"/>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Default="0060680B">
      <w:pPr>
        <w:spacing w:line="240" w:lineRule="auto"/>
        <w:ind w:left="1"/>
        <w:jc w:val="both"/>
      </w:pPr>
      <w:r>
        <w:rPr>
          <w:rFonts w:ascii="Arial" w:eastAsia="仿宋_GB2312;仿宋" w:hAnsi="Arial" w:cs="Arial"/>
          <w:b/>
        </w:rPr>
        <w:t>一、上述咨询结果的限定条件</w:t>
      </w:r>
    </w:p>
    <w:p w14:paraId="6D09D8E2" w14:textId="77777777" w:rsidR="00E70101" w:rsidRDefault="0060680B">
      <w:pPr>
        <w:spacing w:line="240" w:lineRule="auto"/>
        <w:jc w:val="both"/>
        <w:rPr>
          <w:rFonts w:ascii="Arial" w:eastAsia="仿宋_GB2312;仿宋" w:hAnsi="Arial" w:cs="Arial"/>
          <w:bCs/>
        </w:rPr>
      </w:pPr>
      <w:r>
        <w:rPr>
          <w:rFonts w:ascii="Arial" w:eastAsia="仿宋_GB2312;仿宋" w:hAnsi="Arial" w:cs="Arial"/>
          <w:bCs/>
        </w:rPr>
        <w:t>（一）土地权利限制：截至咨询期日，咨询对象未设定抵押、租赁等他项权利；</w:t>
      </w:r>
      <w:r>
        <w:rPr>
          <w:rFonts w:ascii="Arial" w:eastAsia="Arial" w:hAnsi="Arial" w:cs="Arial"/>
          <w:bCs/>
        </w:rPr>
        <w:t xml:space="preserve"> </w:t>
      </w:r>
    </w:p>
    <w:p w14:paraId="2DD23E8E" w14:textId="77777777" w:rsidR="00E70101" w:rsidRDefault="0060680B">
      <w:pPr>
        <w:spacing w:line="240" w:lineRule="auto"/>
        <w:jc w:val="both"/>
      </w:pPr>
      <w:r>
        <w:rPr>
          <w:rFonts w:ascii="Arial" w:eastAsia="仿宋_GB2312;仿宋" w:hAnsi="Arial" w:cs="Arial"/>
          <w:bCs/>
        </w:rPr>
        <w:t>（二）基础设施条件：根据委托方介绍及评估专业人员现场勘查，本次评估咨询对象实际土地开发程度为宗地红线外</w:t>
      </w:r>
      <w:proofErr w:type="gramStart"/>
      <w:r>
        <w:rPr>
          <w:rFonts w:ascii="Arial" w:eastAsia="仿宋_GB2312;仿宋" w:hAnsi="Arial" w:cs="Arial"/>
          <w:bCs/>
        </w:rPr>
        <w:t>”</w:t>
      </w:r>
      <w:proofErr w:type="gramEnd"/>
      <w:r>
        <w:rPr>
          <w:rFonts w:ascii="Arial" w:eastAsia="仿宋_GB2312;仿宋" w:hAnsi="Arial" w:cs="Arial"/>
          <w:bCs/>
        </w:rPr>
        <w:t>七通</w:t>
      </w:r>
      <w:proofErr w:type="gramStart"/>
      <w:r>
        <w:rPr>
          <w:rFonts w:ascii="Arial" w:eastAsia="仿宋_GB2312;仿宋" w:hAnsi="Arial" w:cs="Arial"/>
          <w:bCs/>
        </w:rPr>
        <w:t>”</w:t>
      </w:r>
      <w:proofErr w:type="gramEnd"/>
      <w:r>
        <w:rPr>
          <w:rFonts w:ascii="Arial" w:eastAsia="仿宋_GB2312;仿宋" w:hAnsi="Arial" w:cs="Arial"/>
          <w:bCs/>
        </w:rPr>
        <w:t>（通路、通电、通讯、通上水、通下水、通燃气、通热）、宗地红线内</w:t>
      </w:r>
      <w:r>
        <w:rPr>
          <w:rFonts w:ascii="Arial" w:eastAsia="仿宋_GB2312;仿宋" w:hAnsi="Arial" w:cs="Arial"/>
          <w:bCs/>
        </w:rPr>
        <w:t>“</w:t>
      </w:r>
      <w:r>
        <w:rPr>
          <w:rFonts w:ascii="Arial" w:eastAsia="仿宋_GB2312;仿宋" w:hAnsi="Arial" w:cs="Arial"/>
          <w:bCs/>
        </w:rPr>
        <w:t>场地平整</w:t>
      </w:r>
      <w:r>
        <w:rPr>
          <w:rFonts w:ascii="Arial" w:eastAsia="仿宋_GB2312;仿宋" w:hAnsi="Arial" w:cs="Arial"/>
          <w:bCs/>
        </w:rPr>
        <w:t>”</w:t>
      </w:r>
      <w:r>
        <w:rPr>
          <w:rFonts w:ascii="Arial" w:eastAsia="仿宋_GB2312;仿宋" w:hAnsi="Arial" w:cs="Arial"/>
          <w:bCs/>
        </w:rPr>
        <w:t>。本次评估设定土地开发程度即为实际开发程度红线外市政基础设施达</w:t>
      </w:r>
      <w:proofErr w:type="gramStart"/>
      <w:r>
        <w:rPr>
          <w:rFonts w:ascii="Arial" w:eastAsia="仿宋_GB2312;仿宋" w:hAnsi="Arial" w:cs="Arial"/>
          <w:bCs/>
        </w:rPr>
        <w:t>”</w:t>
      </w:r>
      <w:proofErr w:type="gramEnd"/>
      <w:r>
        <w:rPr>
          <w:rFonts w:ascii="Arial" w:eastAsia="仿宋_GB2312;仿宋" w:hAnsi="Arial" w:cs="Arial"/>
          <w:bCs/>
        </w:rPr>
        <w:t>七通</w:t>
      </w:r>
      <w:proofErr w:type="gramStart"/>
      <w:r>
        <w:rPr>
          <w:rFonts w:ascii="Arial" w:eastAsia="仿宋_GB2312;仿宋" w:hAnsi="Arial" w:cs="Arial"/>
          <w:bCs/>
        </w:rPr>
        <w:t>”</w:t>
      </w:r>
      <w:proofErr w:type="gramEnd"/>
      <w:r>
        <w:rPr>
          <w:rFonts w:ascii="Arial" w:eastAsia="仿宋_GB2312;仿宋" w:hAnsi="Arial" w:cs="Arial"/>
          <w:bCs/>
        </w:rPr>
        <w:t>（通路、通电、通讯、通上水、通下水、通燃气、通热）、宗地红线内</w:t>
      </w:r>
      <w:r>
        <w:rPr>
          <w:rFonts w:ascii="Arial" w:eastAsia="仿宋_GB2312;仿宋" w:hAnsi="Arial" w:cs="Arial"/>
          <w:bCs/>
        </w:rPr>
        <w:t>“</w:t>
      </w:r>
      <w:r>
        <w:rPr>
          <w:rFonts w:ascii="Arial" w:eastAsia="仿宋_GB2312;仿宋" w:hAnsi="Arial" w:cs="Arial"/>
          <w:bCs/>
        </w:rPr>
        <w:t>场地平整</w:t>
      </w:r>
      <w:r>
        <w:rPr>
          <w:rFonts w:ascii="Arial" w:eastAsia="仿宋_GB2312;仿宋" w:hAnsi="Arial" w:cs="Arial"/>
          <w:bCs/>
        </w:rPr>
        <w:t>”</w:t>
      </w:r>
      <w:r>
        <w:rPr>
          <w:rFonts w:ascii="Arial" w:eastAsia="仿宋_GB2312;仿宋" w:hAnsi="Arial" w:cs="Arial"/>
          <w:bCs/>
        </w:rPr>
        <w:t>；</w:t>
      </w:r>
    </w:p>
    <w:p w14:paraId="75B68927" w14:textId="77777777" w:rsidR="00E70101" w:rsidRDefault="0060680B">
      <w:pPr>
        <w:spacing w:line="240" w:lineRule="auto"/>
        <w:ind w:left="2"/>
        <w:jc w:val="both"/>
        <w:rPr>
          <w:rFonts w:ascii="Arial" w:eastAsia="仿宋_GB2312;仿宋" w:hAnsi="Arial" w:cs="Arial"/>
          <w:bCs/>
        </w:rPr>
      </w:pPr>
      <w:r>
        <w:rPr>
          <w:rFonts w:ascii="Arial" w:eastAsia="仿宋_GB2312;仿宋" w:hAnsi="Arial" w:cs="Arial"/>
          <w:bCs/>
        </w:rPr>
        <w:t>（三）规划限制条件：委托方及不动产权利人未提供咨询对象的规划资料；</w:t>
      </w:r>
      <w:r>
        <w:rPr>
          <w:rFonts w:ascii="Arial" w:eastAsia="Arial" w:hAnsi="Arial" w:cs="Arial"/>
          <w:bCs/>
        </w:rPr>
        <w:t xml:space="preserve"> </w:t>
      </w:r>
    </w:p>
    <w:p w14:paraId="76B88684" w14:textId="77777777" w:rsidR="00E70101" w:rsidRDefault="0060680B">
      <w:pPr>
        <w:spacing w:line="240" w:lineRule="auto"/>
        <w:ind w:left="2"/>
        <w:jc w:val="both"/>
        <w:rPr>
          <w:rFonts w:ascii="Arial" w:eastAsia="仿宋_GB2312;仿宋" w:hAnsi="Arial" w:cs="Arial"/>
          <w:bCs/>
        </w:rPr>
      </w:pPr>
      <w:r>
        <w:rPr>
          <w:rFonts w:ascii="Arial" w:eastAsia="仿宋_GB2312;仿宋" w:hAnsi="Arial" w:cs="Arial"/>
          <w:bCs/>
        </w:rPr>
        <w:t>（四）影响土地价格的其他限定条件：无。</w:t>
      </w:r>
    </w:p>
    <w:p w14:paraId="200D5EC8" w14:textId="77777777" w:rsidR="00E70101" w:rsidRDefault="0060680B">
      <w:pPr>
        <w:spacing w:line="240" w:lineRule="auto"/>
        <w:jc w:val="both"/>
        <w:rPr>
          <w:rFonts w:ascii="Arial" w:eastAsia="仿宋_GB2312;仿宋" w:hAnsi="Arial" w:cs="Arial"/>
          <w:bCs/>
        </w:rPr>
      </w:pPr>
      <w:r>
        <w:rPr>
          <w:rFonts w:ascii="Arial" w:eastAsia="仿宋_GB2312;仿宋" w:hAnsi="Arial" w:cs="Arial"/>
          <w:b/>
        </w:rPr>
        <w:t>二、其他需要说明的事项</w:t>
      </w:r>
      <w:r>
        <w:rPr>
          <w:rFonts w:ascii="Arial" w:eastAsia="仿宋_GB2312;仿宋" w:hAnsi="Arial" w:cs="Arial"/>
          <w:bCs/>
        </w:rPr>
        <w:t>：详见报告中的特殊事项说明及假设和限制条件。</w:t>
      </w:r>
    </w:p>
    <w:p w14:paraId="3BF9D6A1" w14:textId="77777777" w:rsidR="00E70101" w:rsidRDefault="0060680B">
      <w:pPr>
        <w:spacing w:line="240" w:lineRule="auto"/>
        <w:rPr>
          <w:rFonts w:eastAsia="仿宋_GB2312;仿宋"/>
        </w:rPr>
      </w:pPr>
      <w:r>
        <w:rPr>
          <w:rFonts w:ascii="Arial" w:eastAsia="Arial" w:hAnsi="Arial" w:cs="Arial"/>
          <w:bCs/>
        </w:rPr>
        <w:t xml:space="preserve"> </w:t>
      </w:r>
    </w:p>
    <w:p w14:paraId="7AABAC43" w14:textId="77777777" w:rsidR="00E70101" w:rsidRDefault="00E70101">
      <w:pPr>
        <w:spacing w:line="240" w:lineRule="auto"/>
        <w:rPr>
          <w:rFonts w:ascii="Arial" w:eastAsia="仿宋_GB2312;仿宋" w:hAnsi="Arial" w:cs="Arial"/>
          <w:bCs/>
        </w:rPr>
      </w:pPr>
    </w:p>
    <w:p w14:paraId="26FC7503" w14:textId="77777777" w:rsidR="00E70101" w:rsidRDefault="00E70101">
      <w:pPr>
        <w:spacing w:line="240" w:lineRule="auto"/>
        <w:ind w:firstLine="7500"/>
        <w:jc w:val="right"/>
        <w:rPr>
          <w:rFonts w:ascii="Arial" w:eastAsia="仿宋_GB2312;仿宋" w:hAnsi="Arial" w:cs="Arial"/>
          <w:bCs/>
        </w:rPr>
      </w:pPr>
    </w:p>
    <w:p w14:paraId="3E21B281" w14:textId="77777777" w:rsidR="00E70101" w:rsidRDefault="00E70101">
      <w:pPr>
        <w:spacing w:line="240" w:lineRule="auto"/>
        <w:ind w:firstLine="7500"/>
        <w:jc w:val="right"/>
        <w:rPr>
          <w:rFonts w:ascii="Arial" w:eastAsia="仿宋_GB2312;仿宋" w:hAnsi="Arial" w:cs="Arial"/>
          <w:bCs/>
        </w:rPr>
      </w:pPr>
    </w:p>
    <w:p w14:paraId="2DC9E478" w14:textId="77777777" w:rsidR="00E70101" w:rsidRDefault="00E70101">
      <w:pPr>
        <w:spacing w:line="240" w:lineRule="auto"/>
        <w:ind w:firstLine="7500"/>
        <w:jc w:val="right"/>
        <w:rPr>
          <w:rFonts w:ascii="Arial" w:eastAsia="仿宋_GB2312;仿宋" w:hAnsi="Arial" w:cs="Arial"/>
          <w:bCs/>
        </w:rPr>
      </w:pPr>
    </w:p>
    <w:p w14:paraId="354E8EC2" w14:textId="77777777" w:rsidR="00E70101" w:rsidRDefault="00E70101">
      <w:pPr>
        <w:spacing w:line="240" w:lineRule="auto"/>
        <w:ind w:firstLine="7500"/>
        <w:jc w:val="right"/>
        <w:rPr>
          <w:rFonts w:ascii="Arial" w:eastAsia="仿宋_GB2312;仿宋" w:hAnsi="Arial" w:cs="Arial"/>
          <w:bCs/>
        </w:rPr>
      </w:pPr>
    </w:p>
    <w:p w14:paraId="21C7870A" w14:textId="77777777" w:rsidR="00E70101" w:rsidRDefault="00E70101">
      <w:pPr>
        <w:spacing w:line="240" w:lineRule="auto"/>
        <w:ind w:firstLine="7500"/>
        <w:jc w:val="right"/>
        <w:rPr>
          <w:rFonts w:ascii="Arial" w:eastAsia="仿宋_GB2312;仿宋" w:hAnsi="Arial" w:cs="Arial"/>
          <w:bCs/>
        </w:rPr>
      </w:pPr>
    </w:p>
    <w:p w14:paraId="7E9446F2" w14:textId="77777777" w:rsidR="00E70101" w:rsidRDefault="0060680B">
      <w:pPr>
        <w:spacing w:line="240" w:lineRule="auto"/>
        <w:ind w:firstLine="3828"/>
        <w:jc w:val="right"/>
      </w:pPr>
      <w:r>
        <w:rPr>
          <w:rFonts w:ascii="Arial" w:eastAsia="仿宋_GB2312;仿宋" w:hAnsi="Arial" w:cs="Arial"/>
          <w:bCs/>
        </w:rPr>
        <w:t>受托单位：</w:t>
      </w:r>
      <w:proofErr w:type="gramStart"/>
      <w:r>
        <w:rPr>
          <w:rFonts w:ascii="Arial" w:eastAsia="仿宋_GB2312;仿宋" w:hAnsi="Arial" w:cs="Arial"/>
          <w:bCs/>
        </w:rPr>
        <w:t>北京康正宏</w:t>
      </w:r>
      <w:proofErr w:type="gramEnd"/>
      <w:r>
        <w:rPr>
          <w:rFonts w:ascii="Arial" w:eastAsia="仿宋_GB2312;仿宋" w:hAnsi="Arial" w:cs="Arial"/>
          <w:bCs/>
        </w:rPr>
        <w:t>基房地产评估有限公司</w:t>
      </w:r>
    </w:p>
    <w:p w14:paraId="1972BA96" w14:textId="77777777" w:rsidR="00E70101" w:rsidRDefault="0060680B">
      <w:pPr>
        <w:spacing w:line="240" w:lineRule="auto"/>
        <w:ind w:firstLine="7385"/>
        <w:jc w:val="right"/>
        <w:rPr>
          <w:rFonts w:ascii="Arial" w:eastAsia="仿宋_GB2312;仿宋" w:hAnsi="Arial" w:cs="Arial"/>
          <w:sz w:val="28"/>
        </w:rPr>
        <w:sectPr w:rsidR="00E70101">
          <w:headerReference w:type="default" r:id="rId25"/>
          <w:footerReference w:type="default" r:id="rId26"/>
          <w:headerReference w:type="first" r:id="rId27"/>
          <w:footerReference w:type="first" r:id="rId28"/>
          <w:pgSz w:w="11906" w:h="16838"/>
          <w:pgMar w:top="1843" w:right="1134" w:bottom="1134" w:left="1474" w:header="1134" w:footer="850" w:gutter="0"/>
          <w:cols w:space="720"/>
          <w:formProt w:val="0"/>
          <w:titlePg/>
          <w:docGrid w:linePitch="326"/>
        </w:sectPr>
      </w:pPr>
      <w:r>
        <w:rPr>
          <w:rFonts w:ascii="Arial" w:eastAsia="Arial" w:hAnsi="Arial" w:cs="Arial"/>
          <w:bCs/>
        </w:rPr>
        <w:t xml:space="preserve">                </w:t>
      </w:r>
      <w:r>
        <w:rPr>
          <w:rFonts w:ascii="Arial" w:eastAsia="仿宋_GB2312;仿宋" w:hAnsi="Arial" w:cs="Arial"/>
          <w:bCs/>
        </w:rPr>
        <w:t>2024</w:t>
      </w:r>
      <w:r>
        <w:rPr>
          <w:rFonts w:ascii="Arial" w:eastAsia="仿宋_GB2312;仿宋" w:hAnsi="Arial" w:cs="Arial"/>
          <w:bCs/>
        </w:rPr>
        <w:t>年</w:t>
      </w:r>
      <w:r>
        <w:rPr>
          <w:rFonts w:ascii="Arial" w:eastAsia="仿宋_GB2312;仿宋" w:hAnsi="Arial" w:cs="Arial"/>
          <w:bCs/>
        </w:rPr>
        <w:t>4</w:t>
      </w:r>
      <w:r>
        <w:rPr>
          <w:rFonts w:ascii="Arial" w:eastAsia="仿宋_GB2312;仿宋" w:hAnsi="Arial" w:cs="Arial"/>
          <w:bCs/>
        </w:rPr>
        <w:t>月</w:t>
      </w:r>
      <w:r>
        <w:rPr>
          <w:rFonts w:ascii="Arial" w:eastAsia="仿宋_GB2312;仿宋" w:hAnsi="Arial" w:cs="Arial"/>
          <w:bCs/>
        </w:rPr>
        <w:t>2</w:t>
      </w:r>
      <w:r>
        <w:rPr>
          <w:rFonts w:ascii="Arial" w:eastAsia="仿宋_GB2312;仿宋" w:hAnsi="Arial" w:cs="Arial"/>
          <w:bCs/>
        </w:rPr>
        <w:t>日</w:t>
      </w:r>
    </w:p>
    <w:p w14:paraId="616CCBF4" w14:textId="77777777" w:rsidR="00E70101" w:rsidRDefault="0060680B">
      <w:pPr>
        <w:spacing w:line="360" w:lineRule="auto"/>
        <w:jc w:val="center"/>
        <w:outlineLvl w:val="0"/>
      </w:pPr>
      <w:bookmarkStart w:id="13" w:name="__RefHeading___Toc469066138"/>
      <w:bookmarkEnd w:id="13"/>
      <w:r>
        <w:rPr>
          <w:rFonts w:ascii="Arial" w:hAnsi="Arial" w:cs="Arial"/>
          <w:b/>
          <w:sz w:val="32"/>
        </w:rPr>
        <w:t>第二部分</w:t>
      </w:r>
      <w:r>
        <w:rPr>
          <w:rFonts w:ascii="Arial" w:eastAsia="Arial" w:hAnsi="Arial" w:cs="Arial"/>
          <w:b/>
          <w:sz w:val="32"/>
        </w:rPr>
        <w:t xml:space="preserve">  </w:t>
      </w:r>
      <w:r>
        <w:rPr>
          <w:rFonts w:ascii="Arial" w:hAnsi="Arial" w:cs="Arial"/>
          <w:b/>
          <w:sz w:val="32"/>
        </w:rPr>
        <w:t>咨询对象界定</w:t>
      </w:r>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14" w:name="__RefHeading___Toc469066139"/>
      <w:r>
        <w:rPr>
          <w:rFonts w:ascii="Arial" w:eastAsia="仿宋_GB2312;仿宋" w:hAnsi="Arial" w:cs="Arial"/>
          <w:b/>
          <w:sz w:val="28"/>
        </w:rPr>
        <w:t>一、</w:t>
      </w:r>
      <w:bookmarkEnd w:id="14"/>
      <w:r>
        <w:rPr>
          <w:rFonts w:ascii="Arial" w:eastAsia="仿宋_GB2312;仿宋" w:hAnsi="Arial" w:cs="Arial"/>
          <w:b/>
          <w:sz w:val="28"/>
        </w:rPr>
        <w:t>委托方</w:t>
      </w:r>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r>
        <w:commentReference w:id="15"/>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w:t>
      </w:r>
      <w:proofErr w:type="gramStart"/>
      <w:r>
        <w:rPr>
          <w:rFonts w:ascii="Arial" w:eastAsia="仿宋_GB2312;仿宋" w:hAnsi="Arial" w:cs="Arial"/>
          <w:sz w:val="28"/>
        </w:rPr>
        <w:t>岳翠兰</w:t>
      </w:r>
      <w:proofErr w:type="gramEnd"/>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16" w:name="__RefHeading___Toc469066140"/>
      <w:bookmarkEnd w:id="16"/>
      <w:r>
        <w:rPr>
          <w:rFonts w:ascii="Arial" w:eastAsia="仿宋_GB2312;仿宋" w:hAnsi="Arial" w:cs="Arial"/>
          <w:b/>
          <w:sz w:val="28"/>
        </w:rPr>
        <w:t>二、咨询对象</w:t>
      </w:r>
    </w:p>
    <w:p w14:paraId="74B05F0B" w14:textId="77777777" w:rsidR="00E70101" w:rsidRDefault="0060680B">
      <w:pPr>
        <w:tabs>
          <w:tab w:val="left" w:pos="9027"/>
        </w:tabs>
        <w:spacing w:line="360" w:lineRule="auto"/>
        <w:ind w:firstLine="560"/>
        <w:jc w:val="both"/>
      </w:pPr>
      <w:r>
        <w:rPr>
          <w:rFonts w:ascii="Arial" w:eastAsia="仿宋_GB2312;仿宋" w:hAnsi="Arial" w:cs="Arial"/>
          <w:sz w:val="28"/>
        </w:rPr>
        <w:t>咨询对象为北京市昌平区北七家镇八仙庄村仓储用地</w:t>
      </w:r>
      <w:r>
        <w:rPr>
          <w:rFonts w:ascii="Arial" w:eastAsia="仿宋_GB2312;仿宋" w:hAnsi="Arial" w:cs="Arial"/>
          <w:sz w:val="28"/>
        </w:rPr>
        <w:t>370379.14</w:t>
      </w:r>
      <w:r>
        <w:rPr>
          <w:rFonts w:ascii="Arial" w:eastAsia="仿宋_GB2312;仿宋" w:hAnsi="Arial" w:cs="Arial"/>
          <w:sz w:val="28"/>
        </w:rPr>
        <w:t>平方米国有建设用地使用权，属国有划拨仓储用地，根据咨询目的，咨询对象宗地内建（构）筑物、附属物（详见建筑物、附属物清单）、搬迁补偿费用、因土地收购造成的无法恢复使用的设施设备补偿、停产停业损失补偿等内容暂未评估。</w:t>
      </w:r>
    </w:p>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17" w:name="__RefHeading___Toc469066141"/>
      <w:bookmarkEnd w:id="17"/>
      <w:r>
        <w:rPr>
          <w:rFonts w:ascii="Arial" w:eastAsia="仿宋_GB2312;仿宋" w:hAnsi="Arial" w:cs="Arial"/>
          <w:b/>
          <w:sz w:val="28"/>
        </w:rPr>
        <w:t>三、咨询对象概况</w:t>
      </w:r>
    </w:p>
    <w:p w14:paraId="2F630CB3"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（一）土地登记状况</w:t>
      </w:r>
    </w:p>
    <w:p w14:paraId="05EB03ED" w14:textId="77777777"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根据委托方介绍，咨询对象土地使用权类型为划拨，北京对外经贸控股有限责任公司拥有咨询对象划拨国有建设用地使用权，咨询对象土地面积为</w:t>
      </w:r>
      <w:r>
        <w:rPr>
          <w:rFonts w:ascii="Arial" w:eastAsia="仿宋_GB2312;仿宋" w:hAnsi="Arial" w:cs="Arial"/>
          <w:bCs/>
          <w:sz w:val="28"/>
        </w:rPr>
        <w:t>370379.14</w:t>
      </w:r>
      <w:r>
        <w:rPr>
          <w:rFonts w:ascii="Arial" w:eastAsia="仿宋_GB2312;仿宋" w:hAnsi="Arial" w:cs="Arial"/>
          <w:bCs/>
          <w:sz w:val="28"/>
        </w:rPr>
        <w:t>平方米。</w:t>
      </w:r>
    </w:p>
    <w:p w14:paraId="240246DC" w14:textId="77777777"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土地使用权人：北京对外经贸控股有限责任公司</w:t>
      </w:r>
      <w:r>
        <w:rPr>
          <w:rFonts w:ascii="Arial" w:eastAsia="Arial" w:hAnsi="Arial" w:cs="Arial"/>
          <w:sz w:val="28"/>
        </w:rPr>
        <w:t xml:space="preserve"> </w:t>
      </w:r>
    </w:p>
    <w:p w14:paraId="06651C6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bCs/>
          <w:sz w:val="28"/>
        </w:rPr>
        <w:t>坐落：北京市昌平区北七家镇八仙庄村仓储用地</w:t>
      </w:r>
    </w:p>
    <w:p w14:paraId="6FFF2A8D" w14:textId="77777777" w:rsidR="00E70101" w:rsidRDefault="0060680B">
      <w:pPr>
        <w:tabs>
          <w:tab w:val="left" w:pos="2112"/>
        </w:tabs>
        <w:spacing w:line="360" w:lineRule="auto"/>
        <w:ind w:firstLine="560"/>
        <w:jc w:val="both"/>
        <w:rPr>
          <w:rFonts w:ascii="Arial" w:eastAsia="仿宋_GB2312;仿宋" w:hAnsi="Arial" w:cs="Arial"/>
          <w:sz w:val="28"/>
        </w:rPr>
      </w:pPr>
      <w:r>
        <w:rPr>
          <w:rFonts w:ascii="Arial" w:eastAsia="仿宋_GB2312;仿宋" w:hAnsi="Arial" w:cs="Arial"/>
          <w:sz w:val="28"/>
        </w:rPr>
        <w:t>地号：</w:t>
      </w:r>
      <w:r>
        <w:rPr>
          <w:rFonts w:ascii="Arial" w:eastAsia="仿宋_GB2312;仿宋" w:hAnsi="Arial" w:cs="Arial"/>
          <w:sz w:val="28"/>
        </w:rPr>
        <w:t>-</w:t>
      </w:r>
      <w:r>
        <w:rPr>
          <w:rFonts w:ascii="Arial" w:eastAsia="仿宋_GB2312;仿宋" w:hAnsi="Arial" w:cs="Arial"/>
          <w:sz w:val="28"/>
        </w:rPr>
        <w:tab/>
      </w:r>
    </w:p>
    <w:p w14:paraId="2B1057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图号：</w:t>
      </w:r>
      <w:r>
        <w:rPr>
          <w:rFonts w:ascii="Arial" w:eastAsia="仿宋_GB2312;仿宋" w:hAnsi="Arial" w:cs="Arial"/>
          <w:sz w:val="28"/>
        </w:rPr>
        <w:t>-</w:t>
      </w:r>
    </w:p>
    <w:p w14:paraId="2CFCF2C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地类（用途）：仓储</w:t>
      </w:r>
    </w:p>
    <w:p w14:paraId="7EFA9B9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土地面积：</w:t>
      </w:r>
      <w:r>
        <w:rPr>
          <w:rFonts w:ascii="Arial" w:eastAsia="仿宋_GB2312;仿宋" w:hAnsi="Arial" w:cs="Arial"/>
          <w:sz w:val="28"/>
        </w:rPr>
        <w:t>370379.14</w:t>
      </w:r>
      <w:r>
        <w:rPr>
          <w:rFonts w:ascii="Arial" w:eastAsia="仿宋_GB2312;仿宋" w:hAnsi="Arial" w:cs="Arial"/>
          <w:sz w:val="28"/>
        </w:rPr>
        <w:t>平方米</w:t>
      </w:r>
      <w:r>
        <w:rPr>
          <w:rFonts w:ascii="Arial" w:eastAsia="Arial" w:hAnsi="Arial" w:cs="Arial"/>
          <w:sz w:val="28"/>
        </w:rPr>
        <w:t xml:space="preserve"> </w:t>
      </w:r>
    </w:p>
    <w:p w14:paraId="6F303E9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咨询对象现状四至：东至现状空地，南至现状楼房，西至现状空地，北至北京祥龙大学。</w:t>
      </w:r>
    </w:p>
    <w:p w14:paraId="28DDB9AA" w14:textId="77777777" w:rsidR="00E70101" w:rsidRDefault="0060680B">
      <w:pPr>
        <w:spacing w:line="360" w:lineRule="auto"/>
        <w:ind w:firstLine="560"/>
        <w:jc w:val="both"/>
      </w:pPr>
      <w:r>
        <w:rPr>
          <w:rFonts w:ascii="Arial" w:eastAsia="仿宋_GB2312;仿宋" w:hAnsi="Arial" w:cs="Arial"/>
          <w:sz w:val="28"/>
        </w:rPr>
        <w:t>土地级别：根据</w:t>
      </w:r>
      <w:bookmarkStart w:id="18" w:name="_Hlk144827128"/>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w:t>
      </w:r>
      <w:bookmarkEnd w:id="18"/>
      <w:r>
        <w:rPr>
          <w:rFonts w:ascii="Arial" w:eastAsia="仿宋_GB2312;仿宋" w:hAnsi="Arial" w:cs="Arial"/>
          <w:sz w:val="28"/>
        </w:rPr>
        <w:t>，咨询对象属于工业类七级地价区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5D287903"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（二）土地权利状况</w:t>
      </w:r>
    </w:p>
    <w:p w14:paraId="74B74227" w14:textId="77777777" w:rsidR="00E70101" w:rsidRDefault="0060680B">
      <w:pPr>
        <w:spacing w:line="360" w:lineRule="auto"/>
        <w:ind w:firstLine="560"/>
        <w:jc w:val="both"/>
      </w:pPr>
      <w:r>
        <w:rPr>
          <w:rFonts w:ascii="Arial" w:eastAsia="仿宋_GB2312;仿宋" w:hAnsi="Arial" w:cs="Arial"/>
          <w:sz w:val="28"/>
        </w:rPr>
        <w:t>经委托方介绍，咨询对象为国有土地，土地所有权为国家所有，土地使用权人为北京对外经贸控股有限责任公司。截至咨询期日，咨询对象未设定抵押、租赁等他项权利。</w:t>
      </w:r>
    </w:p>
    <w:p w14:paraId="3571B8BF"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（三）土地利用状况</w:t>
      </w:r>
    </w:p>
    <w:p w14:paraId="525545BA" w14:textId="13FBE9BE" w:rsidR="00E70101" w:rsidRDefault="0060680B" w:rsidP="00693E9D">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据委托方介绍，咨询对象用地面积为</w:t>
      </w:r>
      <w:r>
        <w:rPr>
          <w:rFonts w:ascii="Arial" w:eastAsia="仿宋_GB2312;仿宋" w:hAnsi="Arial" w:cs="Arial"/>
          <w:sz w:val="28"/>
        </w:rPr>
        <w:t>370379.14</w:t>
      </w:r>
      <w:r>
        <w:rPr>
          <w:rFonts w:ascii="Arial" w:eastAsia="仿宋_GB2312;仿宋" w:hAnsi="Arial" w:cs="Arial"/>
          <w:sz w:val="28"/>
        </w:rPr>
        <w:t>平方米，</w:t>
      </w:r>
      <w:r>
        <w:commentReference w:id="19"/>
      </w:r>
      <w:r>
        <w:rPr>
          <w:rFonts w:ascii="Arial" w:eastAsia="仿宋_GB2312;仿宋" w:hAnsi="Arial" w:cs="Arial"/>
          <w:sz w:val="28"/>
        </w:rPr>
        <w:t>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2C60D400"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2.</w:t>
      </w:r>
      <w:r>
        <w:rPr>
          <w:rFonts w:ascii="Arial" w:eastAsia="仿宋_GB2312;仿宋" w:hAnsi="Arial" w:cs="Arial"/>
          <w:spacing w:val="-12"/>
          <w:sz w:val="28"/>
        </w:rPr>
        <w:t>土地利用现状</w:t>
      </w:r>
    </w:p>
    <w:p w14:paraId="19B1DF44"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w:t>
      </w:r>
      <w:r>
        <w:rPr>
          <w:rFonts w:ascii="Arial" w:eastAsia="仿宋_GB2312;仿宋" w:hAnsi="Arial" w:cs="Arial"/>
          <w:spacing w:val="-12"/>
          <w:sz w:val="28"/>
        </w:rPr>
        <w:t>1</w:t>
      </w:r>
      <w:r>
        <w:rPr>
          <w:rFonts w:ascii="Arial" w:eastAsia="仿宋_GB2312;仿宋" w:hAnsi="Arial" w:cs="Arial"/>
          <w:spacing w:val="-12"/>
          <w:sz w:val="28"/>
        </w:rPr>
        <w:t>）建筑物</w:t>
      </w:r>
    </w:p>
    <w:p w14:paraId="57CEF05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经委托方介绍，设定咨询对象宗地现状不存在建（构）筑物。</w:t>
      </w:r>
      <w:r>
        <w:rPr>
          <w:rFonts w:ascii="Arial" w:eastAsia="Arial" w:hAnsi="Arial" w:cs="Arial"/>
          <w:sz w:val="28"/>
          <w:szCs w:val="28"/>
        </w:rPr>
        <w:t xml:space="preserve"> </w:t>
      </w:r>
    </w:p>
    <w:p w14:paraId="38E6519B"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76D57CA6" w14:textId="77777777" w:rsidR="00E70101" w:rsidRDefault="0060680B">
      <w:pPr>
        <w:spacing w:line="360" w:lineRule="auto"/>
        <w:ind w:firstLine="560"/>
        <w:jc w:val="both"/>
        <w:rPr>
          <w:rFonts w:ascii="Arial" w:eastAsia="仿宋_GB2312;仿宋" w:hAnsi="Arial" w:cs="Arial"/>
          <w:spacing w:val="-12"/>
          <w:sz w:val="28"/>
        </w:rPr>
      </w:pPr>
      <w:r>
        <w:rPr>
          <w:rFonts w:ascii="Arial" w:eastAsia="仿宋_GB2312;仿宋" w:hAnsi="Arial" w:cs="Arial"/>
          <w:sz w:val="28"/>
        </w:rPr>
        <w:t>经委托方介绍，设定咨询对象宗地现状不存在附属物。</w:t>
      </w:r>
    </w:p>
    <w:p w14:paraId="771BE83C"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04A9306C"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9B364FE"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通路：八仙庄北大街，为城市次干道；</w:t>
      </w:r>
      <w:r>
        <w:rPr>
          <w:rFonts w:ascii="Arial" w:eastAsia="Arial" w:hAnsi="Arial" w:cs="Arial"/>
          <w:spacing w:val="-12"/>
          <w:sz w:val="28"/>
        </w:rPr>
        <w:t xml:space="preserve"> </w:t>
      </w:r>
    </w:p>
    <w:p w14:paraId="2236423C"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1697C919"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580A7AA1"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250F5552"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5848F4AB"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01DF21B6"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20" w:name="__RefHeading___Toc469066142"/>
      <w:bookmarkEnd w:id="20"/>
      <w:r>
        <w:rPr>
          <w:rFonts w:ascii="Arial" w:eastAsia="仿宋_GB2312;仿宋" w:hAnsi="Arial" w:cs="Arial"/>
          <w:b/>
          <w:sz w:val="28"/>
        </w:rPr>
        <w:t>四、影响地价的因素说明</w:t>
      </w:r>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05264749"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28896781" w14:textId="77777777" w:rsidR="00E70101" w:rsidRDefault="0060680B">
      <w:pPr>
        <w:spacing w:line="360" w:lineRule="auto"/>
        <w:ind w:firstLine="562"/>
        <w:jc w:val="both"/>
        <w:outlineLvl w:val="0"/>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分，地处华北大平原的北部，东面与天津市毗连，其余均与河北省相邻。</w:t>
      </w:r>
    </w:p>
    <w:p w14:paraId="3A548B3E" w14:textId="77777777" w:rsidR="00E70101" w:rsidRDefault="0060680B">
      <w:pPr>
        <w:widowControl/>
        <w:spacing w:line="360" w:lineRule="auto"/>
        <w:ind w:firstLine="562"/>
        <w:jc w:val="both"/>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城市人口：</w:t>
      </w:r>
      <w:bookmarkStart w:id="21" w:name="OLE_LINK33"/>
      <w:bookmarkStart w:id="22" w:name="OLE_LINK34"/>
      <w:bookmarkStart w:id="23" w:name="OLE_LINK38"/>
      <w:r>
        <w:rPr>
          <w:rFonts w:ascii="Arial" w:eastAsia="仿宋_GB2312;仿宋" w:hAnsi="Arial" w:cs="Arial"/>
          <w:bCs/>
          <w:color w:val="000000"/>
          <w:sz w:val="28"/>
          <w:szCs w:val="28"/>
        </w:rPr>
        <w:t>截至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年年末，北京市常住人口为</w:t>
      </w:r>
      <w:r>
        <w:rPr>
          <w:rFonts w:ascii="Arial" w:eastAsia="仿宋_GB2312;仿宋" w:hAnsi="Arial" w:cs="Arial"/>
          <w:bCs/>
          <w:color w:val="000000"/>
          <w:sz w:val="28"/>
          <w:szCs w:val="28"/>
        </w:rPr>
        <w:t>2185.8</w:t>
      </w:r>
      <w:r>
        <w:rPr>
          <w:rFonts w:ascii="Arial" w:eastAsia="仿宋_GB2312;仿宋" w:hAnsi="Arial" w:cs="Arial"/>
          <w:bCs/>
          <w:color w:val="000000"/>
          <w:sz w:val="28"/>
          <w:szCs w:val="28"/>
        </w:rPr>
        <w:t>万人，从年龄构成看，</w:t>
      </w:r>
      <w:r>
        <w:rPr>
          <w:rFonts w:ascii="Arial" w:eastAsia="仿宋_GB2312;仿宋" w:hAnsi="Arial" w:cs="Arial"/>
          <w:bCs/>
          <w:color w:val="000000"/>
          <w:sz w:val="28"/>
          <w:szCs w:val="28"/>
        </w:rPr>
        <w:t>0-14</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262.5</w:t>
      </w:r>
      <w:r>
        <w:rPr>
          <w:rFonts w:ascii="Arial" w:eastAsia="仿宋_GB2312;仿宋" w:hAnsi="Arial" w:cs="Arial"/>
          <w:bCs/>
          <w:color w:val="000000"/>
          <w:sz w:val="28"/>
          <w:szCs w:val="28"/>
        </w:rPr>
        <w:t>万人，占全市常住人口的比重为</w:t>
      </w:r>
      <w:r>
        <w:rPr>
          <w:rFonts w:ascii="Arial" w:eastAsia="仿宋_GB2312;仿宋" w:hAnsi="Arial" w:cs="Arial"/>
          <w:bCs/>
          <w:color w:val="000000"/>
          <w:sz w:val="28"/>
          <w:szCs w:val="28"/>
        </w:rPr>
        <w:t>12.0%</w:t>
      </w:r>
      <w:r>
        <w:rPr>
          <w:rFonts w:ascii="Arial" w:eastAsia="仿宋_GB2312;仿宋" w:hAnsi="Arial" w:cs="Arial"/>
          <w:bCs/>
          <w:color w:val="000000"/>
          <w:sz w:val="28"/>
          <w:szCs w:val="28"/>
        </w:rPr>
        <w:t>；</w:t>
      </w:r>
      <w:r>
        <w:rPr>
          <w:rFonts w:ascii="Arial" w:eastAsia="仿宋_GB2312;仿宋" w:hAnsi="Arial" w:cs="Arial"/>
          <w:bCs/>
          <w:color w:val="000000"/>
          <w:sz w:val="28"/>
          <w:szCs w:val="28"/>
        </w:rPr>
        <w:t>15-59</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1428.5</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65.4%</w:t>
      </w:r>
      <w:r>
        <w:rPr>
          <w:rFonts w:ascii="Arial" w:eastAsia="仿宋_GB2312;仿宋" w:hAnsi="Arial" w:cs="Arial"/>
          <w:bCs/>
          <w:color w:val="000000"/>
          <w:sz w:val="28"/>
          <w:szCs w:val="28"/>
        </w:rPr>
        <w:t>；</w:t>
      </w:r>
      <w:r>
        <w:rPr>
          <w:rFonts w:ascii="Arial" w:eastAsia="仿宋_GB2312;仿宋" w:hAnsi="Arial" w:cs="Arial"/>
          <w:bCs/>
          <w:color w:val="000000"/>
          <w:sz w:val="28"/>
          <w:szCs w:val="28"/>
        </w:rPr>
        <w:t>60</w:t>
      </w:r>
      <w:r>
        <w:rPr>
          <w:rFonts w:ascii="Arial" w:eastAsia="仿宋_GB2312;仿宋" w:hAnsi="Arial" w:cs="Arial"/>
          <w:bCs/>
          <w:color w:val="000000"/>
          <w:sz w:val="28"/>
          <w:szCs w:val="28"/>
        </w:rPr>
        <w:t>岁及以上常住人口</w:t>
      </w:r>
      <w:r>
        <w:rPr>
          <w:rFonts w:ascii="Arial" w:eastAsia="仿宋_GB2312;仿宋" w:hAnsi="Arial" w:cs="Arial"/>
          <w:bCs/>
          <w:color w:val="000000"/>
          <w:sz w:val="28"/>
          <w:szCs w:val="28"/>
        </w:rPr>
        <w:t>494.8</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22.6%</w:t>
      </w:r>
      <w:r>
        <w:rPr>
          <w:rFonts w:ascii="Arial" w:eastAsia="仿宋_GB2312;仿宋" w:hAnsi="Arial" w:cs="Arial"/>
          <w:bCs/>
          <w:color w:val="000000"/>
          <w:sz w:val="28"/>
          <w:szCs w:val="28"/>
        </w:rPr>
        <w:t>。</w:t>
      </w:r>
    </w:p>
    <w:p w14:paraId="586E9905" w14:textId="77777777" w:rsidR="00E70101" w:rsidRDefault="0060680B">
      <w:pPr>
        <w:overflowPunct w:val="0"/>
        <w:spacing w:line="360" w:lineRule="auto"/>
        <w:jc w:val="center"/>
        <w:rPr>
          <w:rFonts w:ascii="Arial" w:eastAsia="仿宋_GB2312;仿宋" w:hAnsi="Arial" w:cs="Arial"/>
          <w:b/>
          <w:bCs/>
          <w:color w:val="000000"/>
          <w:szCs w:val="24"/>
        </w:rPr>
      </w:pPr>
      <w:r>
        <w:rPr>
          <w:rFonts w:ascii="Arial" w:eastAsia="仿宋_GB2312;仿宋" w:hAnsi="Arial" w:cs="Arial"/>
          <w:b/>
          <w:bCs/>
          <w:color w:val="000000"/>
          <w:szCs w:val="24"/>
        </w:rPr>
        <w:t>2019-2023</w:t>
      </w:r>
      <w:r>
        <w:rPr>
          <w:rFonts w:ascii="Arial" w:eastAsia="仿宋_GB2312;仿宋" w:hAnsi="Arial" w:cs="Arial"/>
          <w:b/>
          <w:bCs/>
          <w:color w:val="000000"/>
          <w:szCs w:val="24"/>
        </w:rPr>
        <w:t>年常住人口增量及增长速度</w:t>
      </w:r>
    </w:p>
    <w:bookmarkEnd w:id="21"/>
    <w:bookmarkEnd w:id="22"/>
    <w:bookmarkEnd w:id="23"/>
    <w:p w14:paraId="25F14A4E" w14:textId="77777777" w:rsidR="00E70101" w:rsidRDefault="0060680B">
      <w:pPr>
        <w:spacing w:line="360" w:lineRule="auto"/>
        <w:jc w:val="center"/>
        <w:outlineLvl w:val="0"/>
        <w:rPr>
          <w:rFonts w:ascii="Arial" w:eastAsia="仿宋_GB2312;仿宋" w:hAnsi="Arial" w:cs="Arial"/>
          <w:bCs/>
          <w:color w:val="000000"/>
          <w:sz w:val="28"/>
          <w:szCs w:val="28"/>
        </w:rPr>
      </w:pPr>
      <w:r>
        <w:rPr>
          <w:noProof/>
        </w:rPr>
        <w:drawing>
          <wp:inline distT="0" distB="0" distL="0" distR="0" wp14:anchorId="025DD491" wp14:editId="64B06FFA">
            <wp:extent cx="5905500" cy="2027555"/>
            <wp:effectExtent l="0" t="0" r="0" b="0"/>
            <wp:docPr id="11"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表 1"/>
                    <pic:cNvPicPr>
                      <a:picLocks noChangeAspect="1" noChangeArrowheads="1"/>
                    </pic:cNvPicPr>
                  </pic:nvPicPr>
                  <pic:blipFill>
                    <a:blip r:embed="rId29"/>
                    <a:srcRect l="-6" t="-17" r="-6" b="-17"/>
                    <a:stretch>
                      <a:fillRect/>
                    </a:stretch>
                  </pic:blipFill>
                  <pic:spPr bwMode="auto">
                    <a:xfrm>
                      <a:off x="0" y="0"/>
                      <a:ext cx="5905500" cy="2027555"/>
                    </a:xfrm>
                    <a:prstGeom prst="rect">
                      <a:avLst/>
                    </a:prstGeom>
                  </pic:spPr>
                </pic:pic>
              </a:graphicData>
            </a:graphic>
          </wp:inline>
        </w:drawing>
      </w:r>
    </w:p>
    <w:p w14:paraId="34BC64FC" w14:textId="77777777" w:rsidR="00E70101" w:rsidRDefault="0060680B">
      <w:pPr>
        <w:spacing w:line="360" w:lineRule="auto"/>
        <w:ind w:firstLine="562"/>
        <w:jc w:val="both"/>
        <w:outlineLvl w:val="0"/>
      </w:pPr>
      <w:r>
        <w:rPr>
          <w:rFonts w:ascii="仿宋_GB2312;仿宋" w:eastAsia="仿宋_GB2312;仿宋" w:hAnsi="仿宋_GB2312;仿宋"/>
          <w:b/>
          <w:bCs/>
          <w:color w:val="000000"/>
          <w:sz w:val="28"/>
          <w:szCs w:val="28"/>
        </w:rPr>
        <w:t>城市面积：</w:t>
      </w:r>
      <w:r>
        <w:rPr>
          <w:rFonts w:ascii="Arial" w:eastAsia="仿宋" w:hAnsi="Arial" w:cs="Arial"/>
          <w:color w:val="000000"/>
          <w:kern w:val="2"/>
          <w:sz w:val="28"/>
          <w:szCs w:val="28"/>
        </w:rPr>
        <w:t>北京市下辖</w:t>
      </w:r>
      <w:r>
        <w:rPr>
          <w:rFonts w:ascii="Arial" w:eastAsia="仿宋" w:hAnsi="Arial" w:cs="Arial"/>
          <w:color w:val="000000"/>
          <w:kern w:val="2"/>
          <w:sz w:val="28"/>
          <w:szCs w:val="28"/>
        </w:rPr>
        <w:t>16</w:t>
      </w:r>
      <w:r>
        <w:rPr>
          <w:rFonts w:ascii="Arial" w:eastAsia="仿宋" w:hAnsi="Arial" w:cs="Arial"/>
          <w:color w:val="000000"/>
          <w:kern w:val="2"/>
          <w:sz w:val="28"/>
          <w:szCs w:val="28"/>
        </w:rPr>
        <w:t>个区（</w:t>
      </w:r>
      <w:r>
        <w:rPr>
          <w:rFonts w:ascii="Arial" w:eastAsia="仿宋_GB2312;仿宋" w:hAnsi="Arial" w:cs="Arial"/>
          <w:bCs/>
          <w:color w:val="000000"/>
          <w:sz w:val="28"/>
          <w:szCs w:val="28"/>
        </w:rPr>
        <w:t>即东城、西城、海淀、朝阳、丰台、顺义、昌平、通州、门头沟、石景山、房山、大兴、怀柔、平谷、密云、延庆</w:t>
      </w:r>
      <w:r>
        <w:rPr>
          <w:rFonts w:ascii="Arial" w:eastAsia="仿宋" w:hAnsi="Arial" w:cs="Arial"/>
          <w:color w:val="000000"/>
          <w:kern w:val="2"/>
          <w:sz w:val="28"/>
          <w:szCs w:val="28"/>
        </w:rPr>
        <w:t>），行政辖区总面积为</w:t>
      </w:r>
      <w:r>
        <w:rPr>
          <w:rFonts w:ascii="Arial" w:eastAsia="仿宋" w:hAnsi="Arial" w:cs="Arial"/>
          <w:color w:val="000000"/>
          <w:kern w:val="2"/>
          <w:sz w:val="28"/>
          <w:szCs w:val="28"/>
        </w:rPr>
        <w:t>16410</w:t>
      </w:r>
      <w:r>
        <w:rPr>
          <w:rFonts w:ascii="Arial" w:eastAsia="仿宋" w:hAnsi="Arial" w:cs="Arial"/>
          <w:color w:val="000000"/>
          <w:kern w:val="2"/>
          <w:sz w:val="28"/>
          <w:szCs w:val="28"/>
        </w:rPr>
        <w:t>平方公里。</w:t>
      </w:r>
    </w:p>
    <w:p w14:paraId="3A7AD86F" w14:textId="77777777" w:rsidR="00E70101" w:rsidRDefault="0060680B">
      <w:pPr>
        <w:spacing w:line="360" w:lineRule="auto"/>
        <w:ind w:firstLine="562"/>
        <w:jc w:val="both"/>
        <w:outlineLvl w:val="0"/>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城市自然条件：</w:t>
      </w:r>
      <w:r>
        <w:rPr>
          <w:rFonts w:ascii="Arial" w:eastAsia="仿宋" w:hAnsi="Arial" w:cs="Arial"/>
          <w:color w:val="000000"/>
          <w:kern w:val="2"/>
          <w:sz w:val="28"/>
          <w:szCs w:val="28"/>
        </w:rPr>
        <w:t>北京气候属暖温带半湿润半干旱季风气候，夏季高温多雨，冬季寒冷干燥，春、秋短促。全年无霜期</w:t>
      </w:r>
      <w:r>
        <w:rPr>
          <w:rFonts w:ascii="Arial" w:eastAsia="仿宋" w:hAnsi="Arial" w:cs="Arial"/>
          <w:color w:val="000000"/>
          <w:kern w:val="2"/>
          <w:sz w:val="28"/>
          <w:szCs w:val="28"/>
        </w:rPr>
        <w:t>180</w:t>
      </w:r>
      <w:r>
        <w:rPr>
          <w:rFonts w:ascii="Arial" w:eastAsia="仿宋" w:hAnsi="Arial" w:cs="Arial"/>
          <w:color w:val="000000"/>
          <w:kern w:val="2"/>
          <w:sz w:val="28"/>
          <w:szCs w:val="28"/>
        </w:rPr>
        <w:t>～</w:t>
      </w:r>
      <w:r>
        <w:rPr>
          <w:rFonts w:ascii="Arial" w:eastAsia="仿宋" w:hAnsi="Arial" w:cs="Arial"/>
          <w:color w:val="000000"/>
          <w:kern w:val="2"/>
          <w:sz w:val="28"/>
          <w:szCs w:val="28"/>
        </w:rPr>
        <w:t>200</w:t>
      </w:r>
      <w:r>
        <w:rPr>
          <w:rFonts w:ascii="Arial" w:eastAsia="仿宋" w:hAnsi="Arial" w:cs="Arial"/>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Pr>
          <w:rFonts w:ascii="Arial" w:eastAsia="仿宋" w:hAnsi="Arial" w:cs="Arial"/>
          <w:color w:val="000000"/>
          <w:kern w:val="2"/>
          <w:sz w:val="28"/>
          <w:szCs w:val="28"/>
        </w:rPr>
        <w:t>蓟</w:t>
      </w:r>
      <w:proofErr w:type="gramEnd"/>
      <w:r>
        <w:rPr>
          <w:rFonts w:ascii="Arial" w:eastAsia="仿宋" w:hAnsi="Arial" w:cs="Arial"/>
          <w:color w:val="000000"/>
          <w:kern w:val="2"/>
          <w:sz w:val="28"/>
          <w:szCs w:val="28"/>
        </w:rPr>
        <w:t>运河水系。多由西北部山地发源，向东南蜿蜒流经平原地区，最后分别在海河汇入渤海（</w:t>
      </w:r>
      <w:proofErr w:type="gramStart"/>
      <w:r>
        <w:rPr>
          <w:rFonts w:ascii="Arial" w:eastAsia="仿宋" w:hAnsi="Arial" w:cs="Arial"/>
          <w:color w:val="000000"/>
          <w:kern w:val="2"/>
          <w:sz w:val="28"/>
          <w:szCs w:val="28"/>
        </w:rPr>
        <w:t>蓟</w:t>
      </w:r>
      <w:proofErr w:type="gramEnd"/>
      <w:r>
        <w:rPr>
          <w:rFonts w:ascii="Arial" w:eastAsia="仿宋" w:hAnsi="Arial" w:cs="Arial"/>
          <w:color w:val="000000"/>
          <w:kern w:val="2"/>
          <w:sz w:val="28"/>
          <w:szCs w:val="28"/>
        </w:rPr>
        <w:t>运河除外）。北京市有水库</w:t>
      </w:r>
      <w:r>
        <w:rPr>
          <w:rFonts w:ascii="Arial" w:eastAsia="仿宋" w:hAnsi="Arial" w:cs="Arial"/>
          <w:color w:val="000000"/>
          <w:kern w:val="2"/>
          <w:sz w:val="28"/>
          <w:szCs w:val="28"/>
        </w:rPr>
        <w:t>85</w:t>
      </w:r>
      <w:r>
        <w:rPr>
          <w:rFonts w:ascii="Arial" w:eastAsia="仿宋" w:hAnsi="Arial" w:cs="Arial"/>
          <w:color w:val="000000"/>
          <w:kern w:val="2"/>
          <w:sz w:val="28"/>
          <w:szCs w:val="28"/>
        </w:rPr>
        <w:t>座，其中大型水库有密云水库、官厅水库、怀柔水库、海子水库。北京市地下水多年平均补给量约为</w:t>
      </w:r>
      <w:r>
        <w:rPr>
          <w:rFonts w:ascii="Arial" w:eastAsia="仿宋" w:hAnsi="Arial" w:cs="Arial"/>
          <w:color w:val="000000"/>
          <w:kern w:val="2"/>
          <w:sz w:val="28"/>
          <w:szCs w:val="28"/>
        </w:rPr>
        <w:t>29.21</w:t>
      </w:r>
      <w:r>
        <w:rPr>
          <w:rFonts w:ascii="Arial" w:eastAsia="仿宋" w:hAnsi="Arial" w:cs="Arial"/>
          <w:color w:val="000000"/>
          <w:kern w:val="2"/>
          <w:sz w:val="28"/>
          <w:szCs w:val="28"/>
        </w:rPr>
        <w:t>亿立方米，平均年可开采量约</w:t>
      </w:r>
      <w:r>
        <w:rPr>
          <w:rFonts w:ascii="Arial" w:eastAsia="仿宋" w:hAnsi="Arial" w:cs="Arial"/>
          <w:color w:val="000000"/>
          <w:kern w:val="2"/>
          <w:sz w:val="28"/>
          <w:szCs w:val="28"/>
        </w:rPr>
        <w:t>24~25</w:t>
      </w:r>
      <w:r>
        <w:rPr>
          <w:rFonts w:ascii="Arial" w:eastAsia="仿宋" w:hAnsi="Arial" w:cs="Arial"/>
          <w:color w:val="000000"/>
          <w:kern w:val="2"/>
          <w:sz w:val="28"/>
          <w:szCs w:val="28"/>
        </w:rPr>
        <w:t>亿立方米。一次性天然水资源年平均总量为</w:t>
      </w:r>
      <w:r>
        <w:rPr>
          <w:rFonts w:ascii="Arial" w:eastAsia="仿宋" w:hAnsi="Arial" w:cs="Arial"/>
          <w:color w:val="000000"/>
          <w:kern w:val="2"/>
          <w:sz w:val="28"/>
          <w:szCs w:val="28"/>
        </w:rPr>
        <w:t>55.21</w:t>
      </w:r>
      <w:r>
        <w:rPr>
          <w:rFonts w:ascii="Arial" w:eastAsia="仿宋" w:hAnsi="Arial" w:cs="Arial"/>
          <w:color w:val="000000"/>
          <w:kern w:val="2"/>
          <w:sz w:val="28"/>
          <w:szCs w:val="28"/>
        </w:rPr>
        <w:t>亿立方米。</w:t>
      </w:r>
    </w:p>
    <w:p w14:paraId="15CDFFB5" w14:textId="77777777" w:rsidR="00E70101" w:rsidRDefault="0060680B">
      <w:pPr>
        <w:widowControl/>
        <w:spacing w:line="360" w:lineRule="auto"/>
        <w:ind w:firstLine="562"/>
        <w:jc w:val="both"/>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土地利用状况：</w:t>
      </w:r>
      <w:r>
        <w:rPr>
          <w:rFonts w:ascii="Arial" w:eastAsia="仿宋" w:hAnsi="Arial" w:cs="Arial"/>
          <w:color w:val="000000"/>
          <w:kern w:val="2"/>
          <w:sz w:val="28"/>
          <w:szCs w:val="28"/>
        </w:rPr>
        <w:t>2021</w:t>
      </w:r>
      <w:r>
        <w:rPr>
          <w:rFonts w:ascii="Arial" w:eastAsia="仿宋" w:hAnsi="Arial" w:cs="Arial"/>
          <w:color w:val="000000"/>
          <w:kern w:val="2"/>
          <w:sz w:val="28"/>
          <w:szCs w:val="28"/>
        </w:rPr>
        <w:t>年</w:t>
      </w:r>
      <w:r>
        <w:rPr>
          <w:rFonts w:ascii="Arial" w:eastAsia="仿宋" w:hAnsi="Arial" w:cs="Arial"/>
          <w:color w:val="000000"/>
          <w:kern w:val="2"/>
          <w:sz w:val="28"/>
          <w:szCs w:val="28"/>
        </w:rPr>
        <w:t>11</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日，北京市发布第三次全国国土调查主要数据公报。数据显示，北京市现有耕地</w:t>
      </w:r>
      <w:r>
        <w:rPr>
          <w:rFonts w:ascii="Arial" w:eastAsia="仿宋" w:hAnsi="Arial" w:cs="Arial"/>
          <w:color w:val="000000"/>
          <w:kern w:val="2"/>
          <w:sz w:val="28"/>
          <w:szCs w:val="28"/>
        </w:rPr>
        <w:t>93547.9</w:t>
      </w:r>
      <w:r>
        <w:rPr>
          <w:rFonts w:ascii="Arial" w:eastAsia="仿宋" w:hAnsi="Arial" w:cs="Arial"/>
          <w:color w:val="000000"/>
          <w:kern w:val="2"/>
          <w:sz w:val="28"/>
          <w:szCs w:val="28"/>
        </w:rPr>
        <w:t>公顷（</w:t>
      </w:r>
      <w:r>
        <w:rPr>
          <w:rFonts w:ascii="Arial" w:eastAsia="仿宋" w:hAnsi="Arial" w:cs="Arial"/>
          <w:color w:val="000000"/>
          <w:kern w:val="2"/>
          <w:sz w:val="28"/>
          <w:szCs w:val="28"/>
        </w:rPr>
        <w:t>1403218.5</w:t>
      </w:r>
      <w:r>
        <w:rPr>
          <w:rFonts w:ascii="Arial" w:eastAsia="仿宋" w:hAnsi="Arial" w:cs="Arial"/>
          <w:color w:val="000000"/>
          <w:kern w:val="2"/>
          <w:sz w:val="28"/>
          <w:szCs w:val="28"/>
        </w:rPr>
        <w:t>亩）、园地</w:t>
      </w:r>
      <w:r>
        <w:rPr>
          <w:rFonts w:ascii="Arial" w:eastAsia="仿宋" w:hAnsi="Arial" w:cs="Arial"/>
          <w:color w:val="000000"/>
          <w:kern w:val="2"/>
          <w:sz w:val="28"/>
          <w:szCs w:val="28"/>
        </w:rPr>
        <w:t>126274.55</w:t>
      </w:r>
      <w:r>
        <w:rPr>
          <w:rFonts w:ascii="Arial" w:eastAsia="仿宋" w:hAnsi="Arial" w:cs="Arial"/>
          <w:color w:val="000000"/>
          <w:kern w:val="2"/>
          <w:sz w:val="28"/>
          <w:szCs w:val="28"/>
        </w:rPr>
        <w:t>公顷（</w:t>
      </w:r>
      <w:r>
        <w:rPr>
          <w:rFonts w:ascii="Arial" w:eastAsia="仿宋" w:hAnsi="Arial" w:cs="Arial"/>
          <w:color w:val="000000"/>
          <w:kern w:val="2"/>
          <w:sz w:val="28"/>
          <w:szCs w:val="28"/>
        </w:rPr>
        <w:t>1894118.25</w:t>
      </w:r>
      <w:r>
        <w:rPr>
          <w:rFonts w:ascii="Arial" w:eastAsia="仿宋" w:hAnsi="Arial" w:cs="Arial"/>
          <w:color w:val="000000"/>
          <w:kern w:val="2"/>
          <w:sz w:val="28"/>
          <w:szCs w:val="28"/>
        </w:rPr>
        <w:t>亩）、林地</w:t>
      </w:r>
      <w:r>
        <w:rPr>
          <w:rFonts w:ascii="Arial" w:eastAsia="仿宋" w:hAnsi="Arial" w:cs="Arial"/>
          <w:color w:val="000000"/>
          <w:kern w:val="2"/>
          <w:sz w:val="28"/>
          <w:szCs w:val="28"/>
        </w:rPr>
        <w:t>967628.62</w:t>
      </w:r>
      <w:r>
        <w:rPr>
          <w:rFonts w:ascii="Arial" w:eastAsia="仿宋" w:hAnsi="Arial" w:cs="Arial"/>
          <w:color w:val="000000"/>
          <w:kern w:val="2"/>
          <w:sz w:val="28"/>
          <w:szCs w:val="28"/>
        </w:rPr>
        <w:t>公顷（</w:t>
      </w:r>
      <w:r>
        <w:rPr>
          <w:rFonts w:ascii="Arial" w:eastAsia="仿宋" w:hAnsi="Arial" w:cs="Arial"/>
          <w:color w:val="000000"/>
          <w:kern w:val="2"/>
          <w:sz w:val="28"/>
          <w:szCs w:val="28"/>
        </w:rPr>
        <w:t>14514429.3</w:t>
      </w:r>
      <w:r>
        <w:rPr>
          <w:rFonts w:ascii="Arial" w:eastAsia="仿宋" w:hAnsi="Arial" w:cs="Arial"/>
          <w:color w:val="000000"/>
          <w:kern w:val="2"/>
          <w:sz w:val="28"/>
          <w:szCs w:val="28"/>
        </w:rPr>
        <w:t>亩）、草地</w:t>
      </w:r>
      <w:r>
        <w:rPr>
          <w:rFonts w:ascii="Arial" w:eastAsia="仿宋" w:hAnsi="Arial" w:cs="Arial"/>
          <w:color w:val="000000"/>
          <w:kern w:val="2"/>
          <w:sz w:val="28"/>
          <w:szCs w:val="28"/>
        </w:rPr>
        <w:t>14460.44</w:t>
      </w:r>
      <w:r>
        <w:rPr>
          <w:rFonts w:ascii="Arial" w:eastAsia="仿宋" w:hAnsi="Arial" w:cs="Arial"/>
          <w:color w:val="000000"/>
          <w:kern w:val="2"/>
          <w:sz w:val="28"/>
          <w:szCs w:val="28"/>
        </w:rPr>
        <w:t>公顷（</w:t>
      </w:r>
      <w:r>
        <w:rPr>
          <w:rFonts w:ascii="Arial" w:eastAsia="仿宋" w:hAnsi="Arial" w:cs="Arial"/>
          <w:color w:val="000000"/>
          <w:kern w:val="2"/>
          <w:sz w:val="28"/>
          <w:szCs w:val="28"/>
        </w:rPr>
        <w:t>216906.6</w:t>
      </w:r>
      <w:r>
        <w:rPr>
          <w:rFonts w:ascii="Arial" w:eastAsia="仿宋" w:hAnsi="Arial" w:cs="Arial"/>
          <w:color w:val="000000"/>
          <w:kern w:val="2"/>
          <w:sz w:val="28"/>
          <w:szCs w:val="28"/>
        </w:rPr>
        <w:t>亩）、湿地</w:t>
      </w:r>
      <w:r>
        <w:rPr>
          <w:rFonts w:ascii="Arial" w:eastAsia="仿宋" w:hAnsi="Arial" w:cs="Arial"/>
          <w:color w:val="000000"/>
          <w:kern w:val="2"/>
          <w:sz w:val="28"/>
          <w:szCs w:val="28"/>
        </w:rPr>
        <w:t>3107.98</w:t>
      </w:r>
      <w:r>
        <w:rPr>
          <w:rFonts w:ascii="Arial" w:eastAsia="仿宋" w:hAnsi="Arial" w:cs="Arial"/>
          <w:color w:val="000000"/>
          <w:kern w:val="2"/>
          <w:sz w:val="28"/>
          <w:szCs w:val="28"/>
        </w:rPr>
        <w:t>公顷（</w:t>
      </w:r>
      <w:r>
        <w:rPr>
          <w:rFonts w:ascii="Arial" w:eastAsia="仿宋" w:hAnsi="Arial" w:cs="Arial"/>
          <w:color w:val="000000"/>
          <w:kern w:val="2"/>
          <w:sz w:val="28"/>
          <w:szCs w:val="28"/>
        </w:rPr>
        <w:t>46619.7</w:t>
      </w:r>
      <w:r>
        <w:rPr>
          <w:rFonts w:ascii="Arial" w:eastAsia="仿宋" w:hAnsi="Arial" w:cs="Arial"/>
          <w:color w:val="000000"/>
          <w:kern w:val="2"/>
          <w:sz w:val="28"/>
          <w:szCs w:val="28"/>
        </w:rPr>
        <w:t>亩）、城镇村及工矿用地</w:t>
      </w:r>
      <w:r>
        <w:rPr>
          <w:rFonts w:ascii="Arial" w:eastAsia="仿宋" w:hAnsi="Arial" w:cs="Arial"/>
          <w:color w:val="000000"/>
          <w:kern w:val="2"/>
          <w:sz w:val="28"/>
          <w:szCs w:val="28"/>
        </w:rPr>
        <w:t>313643.87</w:t>
      </w:r>
      <w:r>
        <w:rPr>
          <w:rFonts w:ascii="Arial" w:eastAsia="仿宋" w:hAnsi="Arial" w:cs="Arial"/>
          <w:color w:val="000000"/>
          <w:kern w:val="2"/>
          <w:sz w:val="28"/>
          <w:szCs w:val="28"/>
        </w:rPr>
        <w:t>公顷（</w:t>
      </w:r>
      <w:r>
        <w:rPr>
          <w:rFonts w:ascii="Arial" w:eastAsia="仿宋" w:hAnsi="Arial" w:cs="Arial"/>
          <w:color w:val="000000"/>
          <w:kern w:val="2"/>
          <w:sz w:val="28"/>
          <w:szCs w:val="28"/>
        </w:rPr>
        <w:t>4704658.05</w:t>
      </w:r>
      <w:r>
        <w:rPr>
          <w:rFonts w:ascii="Arial" w:eastAsia="仿宋" w:hAnsi="Arial" w:cs="Arial"/>
          <w:color w:val="000000"/>
          <w:kern w:val="2"/>
          <w:sz w:val="28"/>
          <w:szCs w:val="28"/>
        </w:rPr>
        <w:t>亩）、交通运输用地</w:t>
      </w:r>
      <w:r>
        <w:rPr>
          <w:rFonts w:ascii="Arial" w:eastAsia="仿宋" w:hAnsi="Arial" w:cs="Arial"/>
          <w:color w:val="000000"/>
          <w:kern w:val="2"/>
          <w:sz w:val="28"/>
          <w:szCs w:val="28"/>
        </w:rPr>
        <w:t>49281.38</w:t>
      </w:r>
      <w:r>
        <w:rPr>
          <w:rFonts w:ascii="Arial" w:eastAsia="仿宋" w:hAnsi="Arial" w:cs="Arial"/>
          <w:color w:val="000000"/>
          <w:kern w:val="2"/>
          <w:sz w:val="28"/>
          <w:szCs w:val="28"/>
        </w:rPr>
        <w:t>公顷（</w:t>
      </w:r>
      <w:r>
        <w:rPr>
          <w:rFonts w:ascii="Arial" w:eastAsia="仿宋" w:hAnsi="Arial" w:cs="Arial"/>
          <w:color w:val="000000"/>
          <w:kern w:val="2"/>
          <w:sz w:val="28"/>
          <w:szCs w:val="28"/>
        </w:rPr>
        <w:t>739220.7</w:t>
      </w:r>
      <w:r>
        <w:rPr>
          <w:rFonts w:ascii="Arial" w:eastAsia="仿宋" w:hAnsi="Arial" w:cs="Arial"/>
          <w:color w:val="000000"/>
          <w:kern w:val="2"/>
          <w:sz w:val="28"/>
          <w:szCs w:val="28"/>
        </w:rPr>
        <w:t>亩）、水域及水利设施用地</w:t>
      </w:r>
      <w:r>
        <w:rPr>
          <w:rFonts w:ascii="Arial" w:eastAsia="仿宋" w:hAnsi="Arial" w:cs="Arial"/>
          <w:color w:val="000000"/>
          <w:kern w:val="2"/>
          <w:sz w:val="28"/>
          <w:szCs w:val="28"/>
        </w:rPr>
        <w:t>61704</w:t>
      </w:r>
      <w:r>
        <w:rPr>
          <w:rFonts w:ascii="Arial" w:eastAsia="仿宋" w:hAnsi="Arial" w:cs="Arial"/>
          <w:color w:val="000000"/>
          <w:kern w:val="2"/>
          <w:sz w:val="28"/>
          <w:szCs w:val="28"/>
        </w:rPr>
        <w:t>公顷（</w:t>
      </w:r>
      <w:r>
        <w:rPr>
          <w:rFonts w:ascii="Arial" w:eastAsia="仿宋" w:hAnsi="Arial" w:cs="Arial"/>
          <w:color w:val="000000"/>
          <w:kern w:val="2"/>
          <w:sz w:val="28"/>
          <w:szCs w:val="28"/>
        </w:rPr>
        <w:t>925560</w:t>
      </w:r>
      <w:r>
        <w:rPr>
          <w:rFonts w:ascii="Arial" w:eastAsia="仿宋" w:hAnsi="Arial" w:cs="Arial"/>
          <w:color w:val="000000"/>
          <w:kern w:val="2"/>
          <w:sz w:val="28"/>
          <w:szCs w:val="28"/>
        </w:rPr>
        <w:t>亩），其余为其他土地。三</w:t>
      </w:r>
      <w:proofErr w:type="gramStart"/>
      <w:r>
        <w:rPr>
          <w:rFonts w:ascii="Arial" w:eastAsia="仿宋" w:hAnsi="Arial" w:cs="Arial"/>
          <w:color w:val="000000"/>
          <w:kern w:val="2"/>
          <w:sz w:val="28"/>
          <w:szCs w:val="28"/>
        </w:rPr>
        <w:t>调数据</w:t>
      </w:r>
      <w:proofErr w:type="gramEnd"/>
      <w:r>
        <w:rPr>
          <w:rFonts w:ascii="Arial" w:eastAsia="仿宋" w:hAnsi="Arial" w:cs="Arial"/>
          <w:color w:val="000000"/>
          <w:kern w:val="2"/>
          <w:sz w:val="28"/>
          <w:szCs w:val="28"/>
        </w:rPr>
        <w:t>显示，北京市以林、园、水、草、湿地和公园绿地为主的生态用地逐年增加，城乡建设用地明显减少，初步实现减量目标。</w:t>
      </w:r>
    </w:p>
    <w:p w14:paraId="1AD76D04" w14:textId="77777777" w:rsidR="00E70101" w:rsidRDefault="0060680B">
      <w:pPr>
        <w:widowControl/>
        <w:spacing w:line="360" w:lineRule="auto"/>
        <w:jc w:val="both"/>
        <w:rPr>
          <w:rFonts w:ascii="Arial" w:eastAsia="仿宋_GB2312;仿宋" w:hAnsi="Arial" w:cs="Arial"/>
          <w:bCs/>
          <w:sz w:val="28"/>
          <w:szCs w:val="28"/>
        </w:rPr>
      </w:pPr>
      <w:r>
        <w:rPr>
          <w:noProof/>
        </w:rPr>
        <w:drawing>
          <wp:inline distT="0" distB="0" distL="0" distR="0" wp14:anchorId="5FC4B797" wp14:editId="18C410AC">
            <wp:extent cx="144739995" cy="3350895"/>
            <wp:effectExtent l="0" t="0" r="0" b="0"/>
            <wp:docPr id="12"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像1"/>
                    <pic:cNvPicPr>
                      <a:picLocks noChangeAspect="1" noChangeArrowheads="1"/>
                    </pic:cNvPicPr>
                  </pic:nvPicPr>
                  <pic:blipFill>
                    <a:blip r:embed="rId30"/>
                    <a:srcRect l="-7" t="-13" r="-7" b="-13"/>
                    <a:stretch>
                      <a:fillRect/>
                    </a:stretch>
                  </pic:blipFill>
                  <pic:spPr bwMode="auto">
                    <a:xfrm>
                      <a:off x="0" y="0"/>
                      <a:ext cx="144739995" cy="3350895"/>
                    </a:xfrm>
                    <a:prstGeom prst="rect">
                      <a:avLst/>
                    </a:prstGeom>
                  </pic:spPr>
                </pic:pic>
              </a:graphicData>
            </a:graphic>
          </wp:inline>
        </w:drawing>
      </w:r>
    </w:p>
    <w:p w14:paraId="557DF703" w14:textId="77777777" w:rsidR="00E70101" w:rsidRDefault="0060680B">
      <w:pPr>
        <w:spacing w:line="360" w:lineRule="auto"/>
        <w:ind w:right="205"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w:t>
      </w:r>
      <w:r>
        <w:rPr>
          <w:rFonts w:ascii="Arial" w:eastAsia="仿宋_GB2312;仿宋" w:hAnsi="Arial" w:cs="Arial"/>
          <w:bCs/>
          <w:color w:val="000000"/>
          <w:sz w:val="28"/>
          <w:szCs w:val="28"/>
        </w:rPr>
        <w:t>不动产制度与不动产市场状况</w:t>
      </w:r>
    </w:p>
    <w:p w14:paraId="5C7A0FA5"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仿宋_GB2312;仿宋" w:eastAsia="仿宋_GB2312;仿宋" w:hAnsi="仿宋_GB2312;仿宋"/>
          <w:b/>
          <w:bCs/>
          <w:color w:val="000000"/>
          <w:sz w:val="28"/>
          <w:szCs w:val="28"/>
          <w:u w:val="single"/>
        </w:rPr>
        <w:t>土地使用制度及土地管理政策：</w:t>
      </w:r>
    </w:p>
    <w:p w14:paraId="51B719D0"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我国当前实行土地</w:t>
      </w:r>
      <w:proofErr w:type="gramStart"/>
      <w:r>
        <w:rPr>
          <w:rFonts w:ascii="Arial" w:eastAsia="仿宋" w:hAnsi="Arial" w:cs="Arial"/>
          <w:color w:val="000000"/>
          <w:kern w:val="2"/>
          <w:sz w:val="28"/>
          <w:szCs w:val="28"/>
        </w:rPr>
        <w:t>招拍挂</w:t>
      </w:r>
      <w:proofErr w:type="gramEnd"/>
      <w:r>
        <w:rPr>
          <w:rFonts w:ascii="Arial" w:eastAsia="仿宋" w:hAnsi="Arial" w:cs="Arial"/>
          <w:color w:val="000000"/>
          <w:kern w:val="2"/>
          <w:sz w:val="28"/>
          <w:szCs w:val="28"/>
        </w:rPr>
        <w:t>制度。土地</w:t>
      </w:r>
      <w:proofErr w:type="gramStart"/>
      <w:r>
        <w:rPr>
          <w:rFonts w:ascii="Arial" w:eastAsia="仿宋" w:hAnsi="Arial" w:cs="Arial"/>
          <w:color w:val="000000"/>
          <w:kern w:val="2"/>
          <w:sz w:val="28"/>
          <w:szCs w:val="28"/>
        </w:rPr>
        <w:t>招拍挂制度</w:t>
      </w:r>
      <w:proofErr w:type="gramEnd"/>
      <w:r>
        <w:rPr>
          <w:rFonts w:ascii="Arial" w:eastAsia="仿宋" w:hAnsi="Arial" w:cs="Arial"/>
          <w:color w:val="000000"/>
          <w:kern w:val="2"/>
          <w:sz w:val="28"/>
          <w:szCs w:val="28"/>
        </w:rPr>
        <w:t>是国家土地资源出让、买卖的招标、拍卖、挂牌制度的简称，具体是指国家在土地出让或者买卖程序中的</w:t>
      </w:r>
      <w:r>
        <w:rPr>
          <w:rFonts w:ascii="Arial" w:eastAsia="仿宋" w:hAnsi="Arial" w:cs="Arial"/>
          <w:color w:val="000000"/>
          <w:kern w:val="2"/>
          <w:sz w:val="28"/>
          <w:szCs w:val="28"/>
        </w:rPr>
        <w:t>“</w:t>
      </w:r>
      <w:r>
        <w:rPr>
          <w:rFonts w:ascii="Arial" w:eastAsia="仿宋" w:hAnsi="Arial" w:cs="Arial"/>
          <w:color w:val="000000"/>
          <w:kern w:val="2"/>
          <w:sz w:val="28"/>
          <w:szCs w:val="28"/>
        </w:rPr>
        <w:t>招标</w:t>
      </w:r>
      <w:r>
        <w:rPr>
          <w:rFonts w:ascii="Arial" w:eastAsia="仿宋" w:hAnsi="Arial" w:cs="Arial"/>
          <w:color w:val="000000"/>
          <w:kern w:val="2"/>
          <w:sz w:val="28"/>
          <w:szCs w:val="28"/>
        </w:rPr>
        <w:t>”“</w:t>
      </w:r>
      <w:r>
        <w:rPr>
          <w:rFonts w:ascii="Arial" w:eastAsia="仿宋" w:hAnsi="Arial" w:cs="Arial"/>
          <w:color w:val="000000"/>
          <w:kern w:val="2"/>
          <w:sz w:val="28"/>
          <w:szCs w:val="28"/>
        </w:rPr>
        <w:t>拍卖</w:t>
      </w:r>
      <w:r>
        <w:rPr>
          <w:rFonts w:ascii="Arial" w:eastAsia="仿宋" w:hAnsi="Arial" w:cs="Arial"/>
          <w:color w:val="000000"/>
          <w:kern w:val="2"/>
          <w:sz w:val="28"/>
          <w:szCs w:val="28"/>
        </w:rPr>
        <w:t>”“</w:t>
      </w:r>
      <w:r>
        <w:rPr>
          <w:rFonts w:ascii="Arial" w:eastAsia="仿宋" w:hAnsi="Arial" w:cs="Arial"/>
          <w:color w:val="000000"/>
          <w:kern w:val="2"/>
          <w:sz w:val="28"/>
          <w:szCs w:val="28"/>
        </w:rPr>
        <w:t>挂牌</w:t>
      </w:r>
      <w:r>
        <w:rPr>
          <w:rFonts w:ascii="Arial" w:eastAsia="仿宋" w:hAnsi="Arial" w:cs="Arial"/>
          <w:color w:val="000000"/>
          <w:kern w:val="2"/>
          <w:sz w:val="28"/>
          <w:szCs w:val="28"/>
        </w:rPr>
        <w:t>”</w:t>
      </w:r>
      <w:r>
        <w:rPr>
          <w:rFonts w:ascii="Arial" w:eastAsia="仿宋" w:hAnsi="Arial" w:cs="Arial"/>
          <w:color w:val="000000"/>
          <w:kern w:val="2"/>
          <w:sz w:val="28"/>
          <w:szCs w:val="28"/>
        </w:rPr>
        <w:t>交易的政策或规定。</w:t>
      </w:r>
      <w:r>
        <w:rPr>
          <w:rFonts w:ascii="Arial" w:eastAsia="仿宋" w:hAnsi="Arial" w:cs="Arial"/>
          <w:color w:val="000000"/>
          <w:kern w:val="2"/>
          <w:sz w:val="28"/>
          <w:szCs w:val="28"/>
        </w:rPr>
        <w:t>2004</w:t>
      </w:r>
      <w:r>
        <w:rPr>
          <w:rFonts w:ascii="Arial" w:eastAsia="仿宋" w:hAnsi="Arial" w:cs="Arial"/>
          <w:color w:val="000000"/>
          <w:kern w:val="2"/>
          <w:sz w:val="28"/>
          <w:szCs w:val="28"/>
        </w:rPr>
        <w:t>年，国土资源部颁布第</w:t>
      </w:r>
      <w:r>
        <w:rPr>
          <w:rFonts w:ascii="Arial" w:eastAsia="仿宋" w:hAnsi="Arial" w:cs="Arial"/>
          <w:color w:val="000000"/>
          <w:kern w:val="2"/>
          <w:sz w:val="28"/>
          <w:szCs w:val="28"/>
        </w:rPr>
        <w:t>71</w:t>
      </w:r>
      <w:r>
        <w:rPr>
          <w:rFonts w:ascii="Arial" w:eastAsia="仿宋" w:hAnsi="Arial" w:cs="Arial"/>
          <w:color w:val="000000"/>
          <w:kern w:val="2"/>
          <w:sz w:val="28"/>
          <w:szCs w:val="28"/>
        </w:rPr>
        <w:t>令，《关于继续开展经营性土地使用权招标拍卖挂牌出让情况执法监察工作的通知》，规定</w:t>
      </w:r>
      <w:r>
        <w:rPr>
          <w:rFonts w:ascii="Arial" w:eastAsia="仿宋" w:hAnsi="Arial" w:cs="Arial"/>
          <w:color w:val="000000"/>
          <w:kern w:val="2"/>
          <w:sz w:val="28"/>
          <w:szCs w:val="28"/>
        </w:rPr>
        <w:t>2004</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31</w:t>
      </w:r>
      <w:r>
        <w:rPr>
          <w:rFonts w:ascii="Arial" w:eastAsia="仿宋" w:hAnsi="Arial" w:cs="Arial"/>
          <w:color w:val="000000"/>
          <w:kern w:val="2"/>
          <w:sz w:val="28"/>
          <w:szCs w:val="28"/>
        </w:rPr>
        <w:t>号以后所有经营性用地出让全部实行</w:t>
      </w:r>
      <w:proofErr w:type="gramStart"/>
      <w:r>
        <w:rPr>
          <w:rFonts w:ascii="Arial" w:eastAsia="仿宋" w:hAnsi="Arial" w:cs="Arial"/>
          <w:color w:val="000000"/>
          <w:kern w:val="2"/>
          <w:sz w:val="28"/>
          <w:szCs w:val="28"/>
        </w:rPr>
        <w:t>招拍挂</w:t>
      </w:r>
      <w:proofErr w:type="gramEnd"/>
      <w:r>
        <w:rPr>
          <w:rFonts w:ascii="Arial" w:eastAsia="仿宋" w:hAnsi="Arial" w:cs="Arial"/>
          <w:color w:val="000000"/>
          <w:kern w:val="2"/>
          <w:sz w:val="28"/>
          <w:szCs w:val="28"/>
        </w:rPr>
        <w:t>制度。该方式作为我国经营性用地出让的指定方式，对规范土地市场、提高政府的对城市土地的管理水平、促进房地产市场的有序发展等方面都有着重要意义。</w:t>
      </w:r>
    </w:p>
    <w:p w14:paraId="7866177A"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按照</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时期的规划，北京市目前已基本建立全域国土空间开发保护新格局，提升绿色生态空间本底规模质量，深化耕地保护空间与政策保障，减量发展迈出实质性步伐。</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确定的土地资源保护利用任务目标基本完成，土地资源治理体系逐步完善，保障和支撑了城市发展方式实现历史性变革。</w:t>
      </w:r>
    </w:p>
    <w:p w14:paraId="7F9F982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1</w:t>
      </w:r>
      <w:r>
        <w:rPr>
          <w:rFonts w:ascii="Arial" w:eastAsia="仿宋" w:hAnsi="Arial" w:cs="Arial"/>
          <w:color w:val="000000"/>
          <w:kern w:val="2"/>
          <w:sz w:val="28"/>
          <w:szCs w:val="28"/>
        </w:rPr>
        <w:t>）在国土空间规划中统筹划</w:t>
      </w:r>
      <w:proofErr w:type="gramStart"/>
      <w:r>
        <w:rPr>
          <w:rFonts w:ascii="Arial" w:eastAsia="仿宋" w:hAnsi="Arial" w:cs="Arial"/>
          <w:color w:val="000000"/>
          <w:kern w:val="2"/>
          <w:sz w:val="28"/>
          <w:szCs w:val="28"/>
        </w:rPr>
        <w:t>定落实</w:t>
      </w:r>
      <w:proofErr w:type="gramEnd"/>
      <w:r>
        <w:rPr>
          <w:rFonts w:ascii="Arial" w:eastAsia="仿宋" w:hAnsi="Arial" w:cs="Arial"/>
          <w:color w:val="000000"/>
          <w:kern w:val="2"/>
          <w:sz w:val="28"/>
          <w:szCs w:val="28"/>
        </w:rPr>
        <w:t>永久基本农田、生态保护红线、城镇开发边界三条控制线（以下简称三条控制线），确定国土空间开发保护刚性管控边界。统筹全域</w:t>
      </w:r>
      <w:proofErr w:type="gramStart"/>
      <w:r>
        <w:rPr>
          <w:rFonts w:ascii="Arial" w:eastAsia="仿宋" w:hAnsi="Arial" w:cs="Arial"/>
          <w:color w:val="000000"/>
          <w:kern w:val="2"/>
          <w:sz w:val="28"/>
          <w:szCs w:val="28"/>
        </w:rPr>
        <w:t>全类型</w:t>
      </w:r>
      <w:proofErr w:type="gramEnd"/>
      <w:r>
        <w:rPr>
          <w:rFonts w:ascii="Arial" w:eastAsia="仿宋" w:hAnsi="Arial" w:cs="Arial"/>
          <w:color w:val="000000"/>
          <w:kern w:val="2"/>
          <w:sz w:val="28"/>
          <w:szCs w:val="28"/>
        </w:rPr>
        <w:t>国土空间用途管制，划定覆盖全域的</w:t>
      </w:r>
      <w:r>
        <w:rPr>
          <w:rFonts w:ascii="Arial" w:eastAsia="仿宋" w:hAnsi="Arial" w:cs="Arial"/>
          <w:color w:val="000000"/>
          <w:kern w:val="2"/>
          <w:sz w:val="28"/>
          <w:szCs w:val="28"/>
        </w:rPr>
        <w:t>11</w:t>
      </w:r>
      <w:r>
        <w:rPr>
          <w:rFonts w:ascii="Arial" w:eastAsia="仿宋" w:hAnsi="Arial" w:cs="Arial"/>
          <w:color w:val="000000"/>
          <w:kern w:val="2"/>
          <w:sz w:val="28"/>
          <w:szCs w:val="28"/>
        </w:rPr>
        <w:t>类国土空间规划分区。</w:t>
      </w:r>
    </w:p>
    <w:p w14:paraId="289C3116"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2</w:t>
      </w:r>
      <w:r>
        <w:rPr>
          <w:rFonts w:ascii="Arial" w:eastAsia="仿宋" w:hAnsi="Arial" w:cs="Arial"/>
          <w:color w:val="000000"/>
          <w:kern w:val="2"/>
          <w:sz w:val="28"/>
          <w:szCs w:val="28"/>
        </w:rPr>
        <w:t>）严守耕地规模底线，划定耕地保护空间。</w:t>
      </w:r>
    </w:p>
    <w:p w14:paraId="0B13DFA7"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1477C829"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3</w:t>
      </w:r>
      <w:r>
        <w:rPr>
          <w:rFonts w:ascii="Arial" w:eastAsia="仿宋" w:hAnsi="Arial" w:cs="Arial"/>
          <w:color w:val="000000"/>
          <w:kern w:val="2"/>
          <w:sz w:val="28"/>
          <w:szCs w:val="28"/>
        </w:rPr>
        <w:t>）严控建设用地规模，城乡建设用地规模得到历史性控制。以</w:t>
      </w:r>
      <w:proofErr w:type="gramStart"/>
      <w:r>
        <w:rPr>
          <w:rFonts w:ascii="Arial" w:eastAsia="仿宋" w:hAnsi="Arial" w:cs="Arial"/>
          <w:color w:val="000000"/>
          <w:kern w:val="2"/>
          <w:sz w:val="28"/>
          <w:szCs w:val="28"/>
        </w:rPr>
        <w:t>疏解非首都</w:t>
      </w:r>
      <w:proofErr w:type="gramEnd"/>
      <w:r>
        <w:rPr>
          <w:rFonts w:ascii="Arial" w:eastAsia="仿宋" w:hAnsi="Arial" w:cs="Arial"/>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w:t>
      </w:r>
      <w:r>
        <w:rPr>
          <w:rFonts w:ascii="Arial" w:eastAsia="仿宋" w:hAnsi="Arial" w:cs="Arial"/>
          <w:color w:val="000000"/>
          <w:kern w:val="2"/>
          <w:sz w:val="28"/>
          <w:szCs w:val="28"/>
        </w:rPr>
        <w:t>“</w:t>
      </w:r>
      <w:r>
        <w:rPr>
          <w:rFonts w:ascii="Arial" w:eastAsia="仿宋" w:hAnsi="Arial" w:cs="Arial"/>
          <w:color w:val="000000"/>
          <w:kern w:val="2"/>
          <w:sz w:val="28"/>
          <w:szCs w:val="28"/>
        </w:rPr>
        <w:t>十二五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51%</w:t>
      </w:r>
      <w:r>
        <w:rPr>
          <w:rFonts w:ascii="Arial" w:eastAsia="仿宋" w:hAnsi="Arial" w:cs="Arial"/>
          <w:color w:val="000000"/>
          <w:kern w:val="2"/>
          <w:sz w:val="28"/>
          <w:szCs w:val="28"/>
        </w:rPr>
        <w:t>提升至</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55%</w:t>
      </w:r>
      <w:r>
        <w:rPr>
          <w:rFonts w:ascii="Arial" w:eastAsia="仿宋" w:hAnsi="Arial" w:cs="Arial"/>
          <w:color w:val="000000"/>
          <w:kern w:val="2"/>
          <w:sz w:val="28"/>
          <w:szCs w:val="28"/>
        </w:rPr>
        <w:t>以上</w:t>
      </w:r>
      <w:r>
        <w:rPr>
          <w:rFonts w:ascii="Arial" w:eastAsia="仿宋" w:hAnsi="Arial" w:cs="Arial"/>
          <w:color w:val="000000"/>
          <w:kern w:val="2"/>
          <w:sz w:val="28"/>
          <w:szCs w:val="28"/>
        </w:rPr>
        <w:t>.</w:t>
      </w:r>
    </w:p>
    <w:p w14:paraId="5246931A"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4</w:t>
      </w:r>
      <w:r>
        <w:rPr>
          <w:rFonts w:ascii="Arial" w:eastAsia="仿宋" w:hAnsi="Arial" w:cs="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Pr>
          <w:rFonts w:ascii="Arial" w:eastAsia="仿宋" w:hAnsi="Arial" w:cs="Arial"/>
          <w:color w:val="000000"/>
          <w:kern w:val="2"/>
          <w:sz w:val="28"/>
          <w:szCs w:val="28"/>
        </w:rPr>
        <w:t>“</w:t>
      </w:r>
      <w:r>
        <w:rPr>
          <w:rFonts w:ascii="Arial" w:eastAsia="仿宋" w:hAnsi="Arial" w:cs="Arial"/>
          <w:color w:val="000000"/>
          <w:kern w:val="2"/>
          <w:sz w:val="28"/>
          <w:szCs w:val="28"/>
        </w:rPr>
        <w:t>两图合一</w:t>
      </w:r>
      <w:r>
        <w:rPr>
          <w:rFonts w:ascii="Arial" w:eastAsia="仿宋" w:hAnsi="Arial" w:cs="Arial"/>
          <w:color w:val="000000"/>
          <w:kern w:val="2"/>
          <w:sz w:val="28"/>
          <w:szCs w:val="28"/>
        </w:rPr>
        <w:t>”</w:t>
      </w:r>
      <w:r>
        <w:rPr>
          <w:rFonts w:ascii="Arial" w:eastAsia="仿宋" w:hAnsi="Arial" w:cs="Arial"/>
          <w:color w:val="000000"/>
          <w:kern w:val="2"/>
          <w:sz w:val="28"/>
          <w:szCs w:val="28"/>
        </w:rPr>
        <w:t>规划编制技术指南》《北京市国土空间规划分区和用途管制规则》等一系列政策文件，初步建立首都</w:t>
      </w:r>
      <w:r>
        <w:rPr>
          <w:rFonts w:ascii="Arial" w:eastAsia="仿宋" w:hAnsi="Arial" w:cs="Arial"/>
          <w:color w:val="000000"/>
          <w:kern w:val="2"/>
          <w:sz w:val="28"/>
          <w:szCs w:val="28"/>
        </w:rPr>
        <w:t>“</w:t>
      </w:r>
      <w:r>
        <w:rPr>
          <w:rFonts w:ascii="Arial" w:eastAsia="仿宋" w:hAnsi="Arial" w:cs="Arial"/>
          <w:color w:val="000000"/>
          <w:kern w:val="2"/>
          <w:sz w:val="28"/>
          <w:szCs w:val="28"/>
        </w:rPr>
        <w:t>三级三类</w:t>
      </w:r>
      <w:r>
        <w:rPr>
          <w:rFonts w:ascii="Arial" w:eastAsia="仿宋" w:hAnsi="Arial" w:cs="Arial"/>
          <w:color w:val="000000"/>
          <w:kern w:val="2"/>
          <w:sz w:val="28"/>
          <w:szCs w:val="28"/>
        </w:rPr>
        <w:t>”</w:t>
      </w:r>
      <w:r>
        <w:rPr>
          <w:rFonts w:ascii="Arial" w:eastAsia="仿宋" w:hAnsi="Arial" w:cs="Arial"/>
          <w:color w:val="000000"/>
          <w:kern w:val="2"/>
          <w:sz w:val="28"/>
          <w:szCs w:val="28"/>
        </w:rPr>
        <w:t>国土空间规划体系，不断完善首都国土空间治理体系，着力提高国土空间治理能力现代化水平。</w:t>
      </w:r>
    </w:p>
    <w:p w14:paraId="78862DD9"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Pr>
          <w:rFonts w:ascii="Arial" w:eastAsia="仿宋" w:hAnsi="Arial" w:cs="Arial"/>
          <w:color w:val="000000"/>
          <w:kern w:val="2"/>
          <w:sz w:val="28"/>
          <w:szCs w:val="28"/>
        </w:rPr>
        <w:t>“</w:t>
      </w:r>
      <w:r>
        <w:rPr>
          <w:rFonts w:ascii="Arial" w:eastAsia="仿宋" w:hAnsi="Arial" w:cs="Arial"/>
          <w:color w:val="000000"/>
          <w:kern w:val="2"/>
          <w:sz w:val="28"/>
          <w:szCs w:val="28"/>
        </w:rPr>
        <w:t>一张底图</w:t>
      </w:r>
      <w:r>
        <w:rPr>
          <w:rFonts w:ascii="Arial" w:eastAsia="仿宋" w:hAnsi="Arial" w:cs="Arial"/>
          <w:color w:val="000000"/>
          <w:kern w:val="2"/>
          <w:sz w:val="28"/>
          <w:szCs w:val="28"/>
        </w:rPr>
        <w:t>”</w:t>
      </w:r>
      <w:r>
        <w:rPr>
          <w:rFonts w:ascii="Arial" w:eastAsia="仿宋" w:hAnsi="Arial" w:cs="Arial"/>
          <w:color w:val="000000"/>
          <w:kern w:val="2"/>
          <w:sz w:val="28"/>
          <w:szCs w:val="28"/>
        </w:rPr>
        <w:t>。建立北京市国有自然资源报告工作制度，自然资源统一调查、监测、确权、配置、评价、监督的管理制度逐步建立。</w:t>
      </w:r>
    </w:p>
    <w:p w14:paraId="4E99E32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加强推进农村土地管理改革。制定《关于进一步加强农村集体土地管理加快建立健全</w:t>
      </w:r>
      <w:r>
        <w:rPr>
          <w:rFonts w:ascii="Arial" w:eastAsia="仿宋" w:hAnsi="Arial" w:cs="Arial"/>
          <w:color w:val="000000"/>
          <w:kern w:val="2"/>
          <w:sz w:val="28"/>
          <w:szCs w:val="28"/>
        </w:rPr>
        <w:t>“</w:t>
      </w:r>
      <w:r>
        <w:rPr>
          <w:rFonts w:ascii="Arial" w:eastAsia="仿宋" w:hAnsi="Arial" w:cs="Arial"/>
          <w:color w:val="000000"/>
          <w:kern w:val="2"/>
          <w:sz w:val="28"/>
          <w:szCs w:val="28"/>
        </w:rPr>
        <w:t>村地区管</w:t>
      </w:r>
      <w:r>
        <w:rPr>
          <w:rFonts w:ascii="Arial" w:eastAsia="仿宋" w:hAnsi="Arial" w:cs="Arial"/>
          <w:color w:val="000000"/>
          <w:kern w:val="2"/>
          <w:sz w:val="28"/>
          <w:szCs w:val="28"/>
        </w:rPr>
        <w:t>”</w:t>
      </w:r>
      <w:r>
        <w:rPr>
          <w:rFonts w:ascii="Arial" w:eastAsia="仿宋" w:hAnsi="Arial" w:cs="Arial"/>
          <w:color w:val="000000"/>
          <w:kern w:val="2"/>
          <w:sz w:val="28"/>
          <w:szCs w:val="28"/>
        </w:rPr>
        <w:t>机制的指导意见》，强化区级管规划、管用途、管合同、管程序、管监督、</w:t>
      </w:r>
      <w:proofErr w:type="gramStart"/>
      <w:r>
        <w:rPr>
          <w:rFonts w:ascii="Arial" w:eastAsia="仿宋" w:hAnsi="Arial" w:cs="Arial"/>
          <w:color w:val="000000"/>
          <w:kern w:val="2"/>
          <w:sz w:val="28"/>
          <w:szCs w:val="28"/>
        </w:rPr>
        <w:t>管查处</w:t>
      </w:r>
      <w:proofErr w:type="gramEnd"/>
      <w:r>
        <w:rPr>
          <w:rFonts w:ascii="Arial" w:eastAsia="仿宋" w:hAnsi="Arial" w:cs="Arial"/>
          <w:color w:val="000000"/>
          <w:kern w:val="2"/>
          <w:sz w:val="28"/>
          <w:szCs w:val="28"/>
        </w:rPr>
        <w:t>的权责；在</w:t>
      </w:r>
      <w:proofErr w:type="gramStart"/>
      <w:r>
        <w:rPr>
          <w:rFonts w:ascii="Arial" w:eastAsia="仿宋" w:hAnsi="Arial" w:cs="Arial"/>
          <w:color w:val="000000"/>
          <w:kern w:val="2"/>
          <w:sz w:val="28"/>
          <w:szCs w:val="28"/>
        </w:rPr>
        <w:t>大兴区</w:t>
      </w:r>
      <w:proofErr w:type="gramEnd"/>
      <w:r>
        <w:rPr>
          <w:rFonts w:ascii="Arial" w:eastAsia="仿宋" w:hAnsi="Arial" w:cs="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00AB483A"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45FE8760" w14:textId="77777777" w:rsidR="00E70101" w:rsidRDefault="0060680B">
      <w:pPr>
        <w:spacing w:line="360" w:lineRule="auto"/>
        <w:ind w:firstLine="560"/>
        <w:jc w:val="both"/>
        <w:outlineLvl w:val="0"/>
      </w:pPr>
      <w:r>
        <w:rPr>
          <w:rFonts w:ascii="Arial" w:eastAsia="仿宋" w:hAnsi="Arial" w:cs="Arial"/>
          <w:color w:val="000000"/>
          <w:kern w:val="2"/>
          <w:sz w:val="28"/>
          <w:szCs w:val="28"/>
        </w:rPr>
        <w:t>2022</w:t>
      </w:r>
      <w:r>
        <w:rPr>
          <w:rFonts w:ascii="Arial" w:eastAsia="仿宋" w:hAnsi="Arial" w:cs="Arial"/>
          <w:color w:val="000000"/>
          <w:kern w:val="2"/>
          <w:sz w:val="28"/>
          <w:szCs w:val="28"/>
        </w:rPr>
        <w:t>年北京市人民政府关于印发《北京市</w:t>
      </w:r>
      <w:r>
        <w:rPr>
          <w:rFonts w:ascii="Arial" w:eastAsia="仿宋" w:hAnsi="Arial" w:cs="Arial"/>
          <w:color w:val="000000"/>
          <w:kern w:val="2"/>
          <w:sz w:val="28"/>
          <w:szCs w:val="28"/>
        </w:rPr>
        <w:t>“</w:t>
      </w:r>
      <w:r>
        <w:rPr>
          <w:rFonts w:ascii="Arial" w:eastAsia="仿宋" w:hAnsi="Arial" w:cs="Arial"/>
          <w:color w:val="000000"/>
          <w:kern w:val="2"/>
          <w:sz w:val="28"/>
          <w:szCs w:val="28"/>
        </w:rPr>
        <w:t>十四五</w:t>
      </w:r>
      <w:r>
        <w:rPr>
          <w:rFonts w:ascii="Arial" w:eastAsia="仿宋" w:hAnsi="Arial" w:cs="Arial"/>
          <w:color w:val="000000"/>
          <w:kern w:val="2"/>
          <w:sz w:val="28"/>
          <w:szCs w:val="28"/>
        </w:rPr>
        <w:t>”</w:t>
      </w:r>
      <w:r>
        <w:rPr>
          <w:rFonts w:ascii="Arial" w:eastAsia="仿宋" w:hAnsi="Arial" w:cs="Arial"/>
          <w:color w:val="000000"/>
          <w:kern w:val="2"/>
          <w:sz w:val="28"/>
          <w:szCs w:val="28"/>
        </w:rPr>
        <w:t>时期土地资源保护利用规划》的通知，要求全市继续统筹土地资源保护和利用工作，强化科学布局、整体保护、系统修复、高效利用、综合治理。</w:t>
      </w:r>
    </w:p>
    <w:p w14:paraId="509C5175" w14:textId="77777777" w:rsidR="00E70101" w:rsidRDefault="0060680B">
      <w:pPr>
        <w:numPr>
          <w:ilvl w:val="0"/>
          <w:numId w:val="2"/>
        </w:numPr>
        <w:spacing w:line="360" w:lineRule="auto"/>
        <w:ind w:right="205"/>
        <w:jc w:val="both"/>
        <w:rPr>
          <w:rFonts w:ascii="仿宋_GB2312;仿宋" w:eastAsia="仿宋_GB2312;仿宋" w:hAnsi="仿宋_GB2312;仿宋"/>
          <w:b/>
          <w:bCs/>
          <w:color w:val="000000"/>
          <w:sz w:val="28"/>
          <w:szCs w:val="28"/>
          <w:u w:val="single"/>
        </w:rPr>
      </w:pPr>
      <w:r>
        <w:rPr>
          <w:rFonts w:ascii="仿宋_GB2312;仿宋" w:eastAsia="仿宋_GB2312;仿宋" w:hAnsi="仿宋_GB2312;仿宋"/>
          <w:b/>
          <w:bCs/>
          <w:color w:val="000000"/>
          <w:sz w:val="28"/>
          <w:szCs w:val="28"/>
          <w:u w:val="single"/>
        </w:rPr>
        <w:t>不动产管理政策：</w:t>
      </w:r>
    </w:p>
    <w:p w14:paraId="17EDC3CF"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2022</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日，北京市住建委正式发布《北京住房和城乡建设发展白皮书（</w:t>
      </w:r>
      <w:r>
        <w:rPr>
          <w:rFonts w:ascii="Arial" w:eastAsia="仿宋" w:hAnsi="Arial" w:cs="Arial"/>
          <w:color w:val="000000"/>
          <w:kern w:val="2"/>
          <w:sz w:val="28"/>
          <w:szCs w:val="28"/>
        </w:rPr>
        <w:t>2022</w:t>
      </w:r>
      <w:r>
        <w:rPr>
          <w:rFonts w:ascii="Arial" w:eastAsia="仿宋" w:hAnsi="Arial" w:cs="Arial"/>
          <w:color w:val="000000"/>
          <w:kern w:val="2"/>
          <w:sz w:val="28"/>
          <w:szCs w:val="28"/>
        </w:rPr>
        <w:t>）》，围绕</w:t>
      </w:r>
      <w:r>
        <w:rPr>
          <w:rFonts w:ascii="Arial" w:eastAsia="仿宋" w:hAnsi="Arial" w:cs="Arial"/>
          <w:color w:val="000000"/>
          <w:kern w:val="2"/>
          <w:sz w:val="28"/>
          <w:szCs w:val="28"/>
        </w:rPr>
        <w:t>“</w:t>
      </w:r>
      <w:r>
        <w:rPr>
          <w:rFonts w:ascii="Arial" w:eastAsia="仿宋" w:hAnsi="Arial" w:cs="Arial"/>
          <w:color w:val="000000"/>
          <w:kern w:val="2"/>
          <w:sz w:val="28"/>
          <w:szCs w:val="28"/>
        </w:rPr>
        <w:t>三稳</w:t>
      </w:r>
      <w:r>
        <w:rPr>
          <w:rFonts w:ascii="Arial" w:eastAsia="仿宋" w:hAnsi="Arial" w:cs="Arial"/>
          <w:color w:val="000000"/>
          <w:kern w:val="2"/>
          <w:sz w:val="28"/>
          <w:szCs w:val="28"/>
        </w:rPr>
        <w:t>”</w:t>
      </w:r>
      <w:r>
        <w:rPr>
          <w:rFonts w:ascii="Arial" w:eastAsia="仿宋" w:hAnsi="Arial" w:cs="Arial"/>
          <w:color w:val="000000"/>
          <w:kern w:val="2"/>
          <w:sz w:val="28"/>
          <w:szCs w:val="28"/>
        </w:rPr>
        <w:t>目标下功夫，加快构建公租房等住房保障体系。</w:t>
      </w:r>
    </w:p>
    <w:p w14:paraId="177D888F"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2023</w:t>
      </w:r>
      <w:r>
        <w:rPr>
          <w:rFonts w:ascii="Arial" w:eastAsia="仿宋" w:hAnsi="Arial" w:cs="Arial"/>
          <w:color w:val="000000"/>
          <w:kern w:val="2"/>
          <w:sz w:val="28"/>
          <w:szCs w:val="28"/>
        </w:rPr>
        <w:t>年</w:t>
      </w:r>
      <w:r>
        <w:rPr>
          <w:rFonts w:ascii="Arial" w:eastAsia="仿宋" w:hAnsi="Arial" w:cs="Arial"/>
          <w:color w:val="000000"/>
          <w:kern w:val="2"/>
          <w:sz w:val="28"/>
          <w:szCs w:val="28"/>
        </w:rPr>
        <w:t>4</w:t>
      </w:r>
      <w:r>
        <w:rPr>
          <w:rFonts w:ascii="Arial" w:eastAsia="仿宋" w:hAnsi="Arial" w:cs="Arial"/>
          <w:color w:val="000000"/>
          <w:kern w:val="2"/>
          <w:sz w:val="28"/>
          <w:szCs w:val="28"/>
        </w:rPr>
        <w:t>月</w:t>
      </w:r>
      <w:r>
        <w:rPr>
          <w:rFonts w:ascii="Arial" w:eastAsia="仿宋" w:hAnsi="Arial" w:cs="Arial"/>
          <w:color w:val="000000"/>
          <w:kern w:val="2"/>
          <w:sz w:val="28"/>
          <w:szCs w:val="28"/>
        </w:rPr>
        <w:t>25</w:t>
      </w:r>
      <w:r>
        <w:rPr>
          <w:rFonts w:ascii="Arial" w:eastAsia="仿宋" w:hAnsi="Arial" w:cs="Arial"/>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45EC9DCE"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2024</w:t>
      </w:r>
      <w:r>
        <w:rPr>
          <w:rFonts w:ascii="Arial" w:eastAsia="仿宋" w:hAnsi="Arial" w:cs="Arial"/>
          <w:color w:val="000000"/>
          <w:kern w:val="2"/>
          <w:sz w:val="28"/>
          <w:szCs w:val="28"/>
        </w:rPr>
        <w:t>年</w:t>
      </w:r>
      <w:r>
        <w:rPr>
          <w:rFonts w:ascii="Arial" w:eastAsia="仿宋" w:hAnsi="Arial" w:cs="Arial"/>
          <w:color w:val="000000"/>
          <w:kern w:val="2"/>
          <w:sz w:val="28"/>
          <w:szCs w:val="28"/>
        </w:rPr>
        <w:t>1</w:t>
      </w:r>
      <w:r>
        <w:rPr>
          <w:rFonts w:ascii="Arial" w:eastAsia="仿宋" w:hAnsi="Arial" w:cs="Arial"/>
          <w:color w:val="000000"/>
          <w:kern w:val="2"/>
          <w:sz w:val="28"/>
          <w:szCs w:val="28"/>
        </w:rPr>
        <w:t>月</w:t>
      </w:r>
      <w:r>
        <w:rPr>
          <w:rFonts w:ascii="Arial" w:eastAsia="仿宋" w:hAnsi="Arial" w:cs="Arial"/>
          <w:color w:val="000000"/>
          <w:kern w:val="2"/>
          <w:sz w:val="28"/>
          <w:szCs w:val="28"/>
        </w:rPr>
        <w:t>17</w:t>
      </w:r>
      <w:r>
        <w:rPr>
          <w:rFonts w:ascii="Arial" w:eastAsia="仿宋" w:hAnsi="Arial" w:cs="Arial"/>
          <w:color w:val="000000"/>
          <w:kern w:val="2"/>
          <w:sz w:val="28"/>
          <w:szCs w:val="28"/>
        </w:rPr>
        <w:t>日，北京市规划和自然资源委员会、北京市发展和改革委员会联合发布《北京市</w:t>
      </w:r>
      <w:r>
        <w:rPr>
          <w:rFonts w:ascii="Arial" w:eastAsia="仿宋" w:hAnsi="Arial" w:cs="Arial"/>
          <w:color w:val="000000"/>
          <w:kern w:val="2"/>
          <w:sz w:val="28"/>
          <w:szCs w:val="28"/>
        </w:rPr>
        <w:t>2024</w:t>
      </w:r>
      <w:r>
        <w:rPr>
          <w:rFonts w:ascii="Arial" w:eastAsia="仿宋" w:hAnsi="Arial" w:cs="Arial"/>
          <w:color w:val="000000"/>
          <w:kern w:val="2"/>
          <w:sz w:val="28"/>
          <w:szCs w:val="28"/>
        </w:rPr>
        <w:t>年度建设用地供应计划》，</w:t>
      </w:r>
      <w:r>
        <w:rPr>
          <w:rFonts w:ascii="Arial" w:eastAsia="仿宋" w:hAnsi="Arial" w:cs="Arial"/>
          <w:color w:val="000000"/>
          <w:kern w:val="2"/>
          <w:sz w:val="28"/>
          <w:szCs w:val="28"/>
        </w:rPr>
        <w:t xml:space="preserve">2024 </w:t>
      </w:r>
      <w:r>
        <w:rPr>
          <w:rFonts w:ascii="Arial" w:eastAsia="仿宋" w:hAnsi="Arial" w:cs="Arial"/>
          <w:color w:val="000000"/>
          <w:kern w:val="2"/>
          <w:sz w:val="28"/>
          <w:szCs w:val="28"/>
        </w:rPr>
        <w:t>年计划安排建设用地供应总量</w:t>
      </w:r>
      <w:r>
        <w:rPr>
          <w:rFonts w:ascii="Arial" w:eastAsia="仿宋" w:hAnsi="Arial" w:cs="Arial"/>
          <w:color w:val="000000"/>
          <w:kern w:val="2"/>
          <w:sz w:val="28"/>
          <w:szCs w:val="28"/>
        </w:rPr>
        <w:t>3240</w:t>
      </w:r>
      <w:r>
        <w:rPr>
          <w:rFonts w:ascii="Arial" w:eastAsia="仿宋" w:hAnsi="Arial" w:cs="Arial"/>
          <w:color w:val="000000"/>
          <w:kern w:val="2"/>
          <w:sz w:val="28"/>
          <w:szCs w:val="28"/>
        </w:rPr>
        <w:t>至</w:t>
      </w:r>
      <w:r>
        <w:rPr>
          <w:rFonts w:ascii="Arial" w:eastAsia="仿宋" w:hAnsi="Arial" w:cs="Arial"/>
          <w:color w:val="000000"/>
          <w:kern w:val="2"/>
          <w:sz w:val="28"/>
          <w:szCs w:val="28"/>
        </w:rPr>
        <w:t>3660</w:t>
      </w:r>
      <w:r>
        <w:rPr>
          <w:rFonts w:ascii="Arial" w:eastAsia="仿宋" w:hAnsi="Arial" w:cs="Arial"/>
          <w:color w:val="000000"/>
          <w:kern w:val="2"/>
          <w:sz w:val="28"/>
          <w:szCs w:val="28"/>
        </w:rPr>
        <w:t>公顷，较</w:t>
      </w:r>
      <w:r>
        <w:rPr>
          <w:rFonts w:ascii="Arial" w:eastAsia="仿宋" w:hAnsi="Arial" w:cs="Arial"/>
          <w:color w:val="000000"/>
          <w:kern w:val="2"/>
          <w:sz w:val="28"/>
          <w:szCs w:val="28"/>
        </w:rPr>
        <w:t>2023</w:t>
      </w:r>
      <w:r>
        <w:rPr>
          <w:rFonts w:ascii="Arial" w:eastAsia="仿宋" w:hAnsi="Arial" w:cs="Arial"/>
          <w:color w:val="000000"/>
          <w:kern w:val="2"/>
          <w:sz w:val="28"/>
          <w:szCs w:val="28"/>
        </w:rPr>
        <w:t>年增加</w:t>
      </w:r>
      <w:r>
        <w:rPr>
          <w:rFonts w:ascii="Arial" w:eastAsia="仿宋" w:hAnsi="Arial" w:cs="Arial"/>
          <w:color w:val="000000"/>
          <w:kern w:val="2"/>
          <w:sz w:val="28"/>
          <w:szCs w:val="28"/>
        </w:rPr>
        <w:t>30</w:t>
      </w:r>
      <w:r>
        <w:rPr>
          <w:rFonts w:ascii="Arial" w:eastAsia="仿宋" w:hAnsi="Arial" w:cs="Arial"/>
          <w:color w:val="000000"/>
          <w:kern w:val="2"/>
          <w:sz w:val="28"/>
          <w:szCs w:val="28"/>
        </w:rPr>
        <w:t>公顷（全部增加在特交水用地）。住宅用地安排</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1060</w:t>
      </w:r>
      <w:r>
        <w:rPr>
          <w:rFonts w:ascii="Arial" w:eastAsia="仿宋" w:hAnsi="Arial" w:cs="Arial"/>
          <w:color w:val="000000"/>
          <w:kern w:val="2"/>
          <w:sz w:val="28"/>
          <w:szCs w:val="28"/>
        </w:rPr>
        <w:t>公顷，与去年持平。本次供地计划保持供应总量、生产生活结构基本稳定，重点在优空间、调结构、</w:t>
      </w:r>
      <w:proofErr w:type="gramStart"/>
      <w:r>
        <w:rPr>
          <w:rFonts w:ascii="Arial" w:eastAsia="仿宋" w:hAnsi="Arial" w:cs="Arial"/>
          <w:color w:val="000000"/>
          <w:kern w:val="2"/>
          <w:sz w:val="28"/>
          <w:szCs w:val="28"/>
        </w:rPr>
        <w:t>提质量</w:t>
      </w:r>
      <w:proofErr w:type="gramEnd"/>
      <w:r>
        <w:rPr>
          <w:rFonts w:ascii="Arial" w:eastAsia="仿宋" w:hAnsi="Arial" w:cs="Arial"/>
          <w:color w:val="000000"/>
          <w:kern w:val="2"/>
          <w:sz w:val="28"/>
          <w:szCs w:val="28"/>
        </w:rPr>
        <w:t>上积极进取，全力稳投资、保增长、稳预期。在空间布局上，持续强化</w:t>
      </w:r>
      <w:r>
        <w:rPr>
          <w:rFonts w:ascii="Arial" w:eastAsia="仿宋" w:hAnsi="Arial" w:cs="Arial"/>
          <w:color w:val="000000"/>
          <w:kern w:val="2"/>
          <w:sz w:val="28"/>
          <w:szCs w:val="28"/>
        </w:rPr>
        <w:t>“</w:t>
      </w:r>
      <w:proofErr w:type="gramStart"/>
      <w:r>
        <w:rPr>
          <w:rFonts w:ascii="Arial" w:eastAsia="仿宋" w:hAnsi="Arial" w:cs="Arial"/>
          <w:color w:val="000000"/>
          <w:kern w:val="2"/>
          <w:sz w:val="28"/>
          <w:szCs w:val="28"/>
        </w:rPr>
        <w:t>一</w:t>
      </w:r>
      <w:proofErr w:type="gramEnd"/>
      <w:r>
        <w:rPr>
          <w:rFonts w:ascii="Arial" w:eastAsia="仿宋" w:hAnsi="Arial" w:cs="Arial"/>
          <w:color w:val="000000"/>
          <w:kern w:val="2"/>
          <w:sz w:val="28"/>
          <w:szCs w:val="28"/>
        </w:rPr>
        <w:t>核一主一副、两轴多点一区</w:t>
      </w:r>
      <w:r>
        <w:rPr>
          <w:rFonts w:ascii="Arial" w:eastAsia="仿宋" w:hAnsi="Arial" w:cs="Arial"/>
          <w:color w:val="000000"/>
          <w:kern w:val="2"/>
          <w:sz w:val="28"/>
          <w:szCs w:val="28"/>
        </w:rPr>
        <w:t>”</w:t>
      </w:r>
      <w:r>
        <w:rPr>
          <w:rFonts w:ascii="Arial" w:eastAsia="仿宋" w:hAnsi="Arial" w:cs="Arial"/>
          <w:color w:val="000000"/>
          <w:kern w:val="2"/>
          <w:sz w:val="28"/>
          <w:szCs w:val="28"/>
        </w:rPr>
        <w:t>圈层协同的城市空间结构，着力推进中心城区功能疏解提升、重点推进资源向城市副中心多点地区投放、平原新城梯次承接，构建起北京新的城市发展格局，土地供应向重点功能区、轨道站点周边、南部地区等重点发展空间倾斜。中心城区（含核心区）土地供应规模约占全市土地供应总量</w:t>
      </w:r>
      <w:r>
        <w:rPr>
          <w:rFonts w:ascii="Arial" w:eastAsia="仿宋" w:hAnsi="Arial" w:cs="Arial"/>
          <w:color w:val="000000"/>
          <w:kern w:val="2"/>
          <w:sz w:val="28"/>
          <w:szCs w:val="28"/>
        </w:rPr>
        <w:t>25%</w:t>
      </w:r>
      <w:r>
        <w:rPr>
          <w:rFonts w:ascii="Arial" w:eastAsia="仿宋" w:hAnsi="Arial" w:cs="Arial"/>
          <w:color w:val="000000"/>
          <w:kern w:val="2"/>
          <w:sz w:val="28"/>
          <w:szCs w:val="28"/>
        </w:rPr>
        <w:t>，对比过去五年，</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2024</w:t>
      </w:r>
      <w:r>
        <w:rPr>
          <w:rFonts w:ascii="Arial" w:eastAsia="仿宋" w:hAnsi="Arial" w:cs="Arial"/>
          <w:color w:val="000000"/>
          <w:kern w:val="2"/>
          <w:sz w:val="28"/>
          <w:szCs w:val="28"/>
        </w:rPr>
        <w:t>年中心城区供地占比是近年最高水平（</w:t>
      </w:r>
      <w:r>
        <w:rPr>
          <w:rFonts w:ascii="Arial" w:eastAsia="仿宋" w:hAnsi="Arial" w:cs="Arial"/>
          <w:color w:val="000000"/>
          <w:kern w:val="2"/>
          <w:sz w:val="28"/>
          <w:szCs w:val="28"/>
        </w:rPr>
        <w:t>2022</w:t>
      </w:r>
      <w:r>
        <w:rPr>
          <w:rFonts w:ascii="Arial" w:eastAsia="仿宋" w:hAnsi="Arial" w:cs="Arial"/>
          <w:color w:val="000000"/>
          <w:kern w:val="2"/>
          <w:sz w:val="28"/>
          <w:szCs w:val="28"/>
        </w:rPr>
        <w:t>、</w:t>
      </w:r>
      <w:r>
        <w:rPr>
          <w:rFonts w:ascii="Arial" w:eastAsia="仿宋" w:hAnsi="Arial" w:cs="Arial"/>
          <w:color w:val="000000"/>
          <w:kern w:val="2"/>
          <w:sz w:val="28"/>
          <w:szCs w:val="28"/>
        </w:rPr>
        <w:t>2023</w:t>
      </w:r>
      <w:r>
        <w:rPr>
          <w:rFonts w:ascii="Arial" w:eastAsia="仿宋" w:hAnsi="Arial" w:cs="Arial"/>
          <w:color w:val="000000"/>
          <w:kern w:val="2"/>
          <w:sz w:val="28"/>
          <w:szCs w:val="28"/>
        </w:rPr>
        <w:t>年分别为</w:t>
      </w:r>
      <w:r>
        <w:rPr>
          <w:rFonts w:ascii="Arial" w:eastAsia="仿宋" w:hAnsi="Arial" w:cs="Arial"/>
          <w:color w:val="000000"/>
          <w:kern w:val="2"/>
          <w:sz w:val="28"/>
          <w:szCs w:val="28"/>
        </w:rPr>
        <w:t>23%</w:t>
      </w:r>
      <w:r>
        <w:rPr>
          <w:rFonts w:ascii="Arial" w:eastAsia="仿宋" w:hAnsi="Arial" w:cs="Arial"/>
          <w:color w:val="000000"/>
          <w:kern w:val="2"/>
          <w:sz w:val="28"/>
          <w:szCs w:val="28"/>
        </w:rPr>
        <w:t>和</w:t>
      </w:r>
      <w:r>
        <w:rPr>
          <w:rFonts w:ascii="Arial" w:eastAsia="仿宋" w:hAnsi="Arial" w:cs="Arial"/>
          <w:color w:val="000000"/>
          <w:kern w:val="2"/>
          <w:sz w:val="28"/>
          <w:szCs w:val="28"/>
        </w:rPr>
        <w:t>20%</w:t>
      </w:r>
      <w:r>
        <w:rPr>
          <w:rFonts w:ascii="Arial" w:eastAsia="仿宋" w:hAnsi="Arial" w:cs="Arial"/>
          <w:color w:val="000000"/>
          <w:kern w:val="2"/>
          <w:sz w:val="28"/>
          <w:szCs w:val="28"/>
        </w:rPr>
        <w:t>），预计</w:t>
      </w:r>
      <w:r>
        <w:rPr>
          <w:rFonts w:ascii="Arial" w:eastAsia="仿宋" w:hAnsi="Arial" w:cs="Arial"/>
          <w:color w:val="000000"/>
          <w:kern w:val="2"/>
          <w:sz w:val="28"/>
          <w:szCs w:val="28"/>
        </w:rPr>
        <w:t>2024</w:t>
      </w:r>
      <w:r>
        <w:rPr>
          <w:rFonts w:ascii="Arial" w:eastAsia="仿宋" w:hAnsi="Arial" w:cs="Arial"/>
          <w:color w:val="000000"/>
          <w:kern w:val="2"/>
          <w:sz w:val="28"/>
          <w:szCs w:val="28"/>
        </w:rPr>
        <w:t>年北京土地市场供应宗地质量将有望进一步提升。从用地结构上，</w:t>
      </w:r>
      <w:r>
        <w:rPr>
          <w:rFonts w:ascii="Arial" w:eastAsia="仿宋" w:hAnsi="Arial" w:cs="Arial"/>
          <w:color w:val="000000"/>
          <w:kern w:val="2"/>
          <w:sz w:val="28"/>
          <w:szCs w:val="28"/>
        </w:rPr>
        <w:t>2024</w:t>
      </w:r>
      <w:r>
        <w:rPr>
          <w:rFonts w:ascii="Arial" w:eastAsia="仿宋" w:hAnsi="Arial" w:cs="Arial"/>
          <w:color w:val="000000"/>
          <w:kern w:val="2"/>
          <w:sz w:val="28"/>
          <w:szCs w:val="28"/>
        </w:rPr>
        <w:t>年安排产业用地</w:t>
      </w:r>
      <w:r>
        <w:rPr>
          <w:rFonts w:ascii="Arial" w:eastAsia="仿宋" w:hAnsi="Arial" w:cs="Arial"/>
          <w:color w:val="000000"/>
          <w:kern w:val="2"/>
          <w:sz w:val="28"/>
          <w:szCs w:val="28"/>
        </w:rPr>
        <w:t>510-530</w:t>
      </w:r>
      <w:r>
        <w:rPr>
          <w:rFonts w:ascii="Arial" w:eastAsia="仿宋" w:hAnsi="Arial" w:cs="Arial"/>
          <w:color w:val="000000"/>
          <w:kern w:val="2"/>
          <w:sz w:val="28"/>
          <w:szCs w:val="28"/>
        </w:rPr>
        <w:t>公顷（研发用地</w:t>
      </w:r>
      <w:r>
        <w:rPr>
          <w:rFonts w:ascii="Arial" w:eastAsia="仿宋" w:hAnsi="Arial" w:cs="Arial"/>
          <w:color w:val="000000"/>
          <w:kern w:val="2"/>
          <w:sz w:val="28"/>
          <w:szCs w:val="28"/>
        </w:rPr>
        <w:t>80</w:t>
      </w:r>
      <w:r>
        <w:rPr>
          <w:rFonts w:ascii="Arial" w:eastAsia="仿宋" w:hAnsi="Arial" w:cs="Arial"/>
          <w:color w:val="000000"/>
          <w:kern w:val="2"/>
          <w:sz w:val="28"/>
          <w:szCs w:val="28"/>
        </w:rPr>
        <w:t>公顷，工业用地</w:t>
      </w:r>
      <w:r>
        <w:rPr>
          <w:rFonts w:ascii="Arial" w:eastAsia="仿宋" w:hAnsi="Arial" w:cs="Arial"/>
          <w:color w:val="000000"/>
          <w:kern w:val="2"/>
          <w:sz w:val="28"/>
          <w:szCs w:val="28"/>
        </w:rPr>
        <w:t>200</w:t>
      </w:r>
      <w:r>
        <w:rPr>
          <w:rFonts w:ascii="Arial" w:eastAsia="仿宋" w:hAnsi="Arial" w:cs="Arial"/>
          <w:color w:val="000000"/>
          <w:kern w:val="2"/>
          <w:sz w:val="28"/>
          <w:szCs w:val="28"/>
        </w:rPr>
        <w:t>公顷，仓储用地</w:t>
      </w:r>
      <w:r>
        <w:rPr>
          <w:rFonts w:ascii="Arial" w:eastAsia="仿宋" w:hAnsi="Arial" w:cs="Arial"/>
          <w:color w:val="000000"/>
          <w:kern w:val="2"/>
          <w:sz w:val="28"/>
          <w:szCs w:val="28"/>
        </w:rPr>
        <w:t>100</w:t>
      </w:r>
      <w:r>
        <w:rPr>
          <w:rFonts w:ascii="Arial" w:eastAsia="仿宋" w:hAnsi="Arial" w:cs="Arial"/>
          <w:color w:val="000000"/>
          <w:kern w:val="2"/>
          <w:sz w:val="28"/>
          <w:szCs w:val="28"/>
        </w:rPr>
        <w:t>公顷，商服用地</w:t>
      </w:r>
      <w:r>
        <w:rPr>
          <w:rFonts w:ascii="Arial" w:eastAsia="仿宋" w:hAnsi="Arial" w:cs="Arial"/>
          <w:color w:val="000000"/>
          <w:kern w:val="2"/>
          <w:sz w:val="28"/>
          <w:szCs w:val="28"/>
        </w:rPr>
        <w:t>80</w:t>
      </w:r>
      <w:r>
        <w:rPr>
          <w:rFonts w:ascii="Arial" w:eastAsia="仿宋" w:hAnsi="Arial" w:cs="Arial"/>
          <w:color w:val="000000"/>
          <w:kern w:val="2"/>
          <w:sz w:val="28"/>
          <w:szCs w:val="28"/>
        </w:rPr>
        <w:t>公顷，乡村产业用地</w:t>
      </w:r>
      <w:r>
        <w:rPr>
          <w:rFonts w:ascii="Arial" w:eastAsia="仿宋" w:hAnsi="Arial" w:cs="Arial"/>
          <w:color w:val="000000"/>
          <w:kern w:val="2"/>
          <w:sz w:val="28"/>
          <w:szCs w:val="28"/>
        </w:rPr>
        <w:t>50-70</w:t>
      </w:r>
      <w:r>
        <w:rPr>
          <w:rFonts w:ascii="Arial" w:eastAsia="仿宋" w:hAnsi="Arial" w:cs="Arial"/>
          <w:color w:val="000000"/>
          <w:kern w:val="2"/>
          <w:sz w:val="28"/>
          <w:szCs w:val="28"/>
        </w:rPr>
        <w:t>公顷）；住宅用地</w:t>
      </w:r>
      <w:r>
        <w:rPr>
          <w:rFonts w:ascii="Arial" w:eastAsia="仿宋" w:hAnsi="Arial" w:cs="Arial"/>
          <w:color w:val="000000"/>
          <w:kern w:val="2"/>
          <w:sz w:val="28"/>
          <w:szCs w:val="28"/>
        </w:rPr>
        <w:t>1060</w:t>
      </w:r>
      <w:r>
        <w:rPr>
          <w:rFonts w:ascii="Arial" w:eastAsia="仿宋" w:hAnsi="Arial" w:cs="Arial"/>
          <w:color w:val="000000"/>
          <w:kern w:val="2"/>
          <w:sz w:val="28"/>
          <w:szCs w:val="28"/>
        </w:rPr>
        <w:t>公顷，其中安排商品住宅用地供应不低于</w:t>
      </w:r>
      <w:r>
        <w:rPr>
          <w:rFonts w:ascii="Arial" w:eastAsia="仿宋" w:hAnsi="Arial" w:cs="Arial"/>
          <w:color w:val="000000"/>
          <w:kern w:val="2"/>
          <w:sz w:val="28"/>
          <w:szCs w:val="28"/>
        </w:rPr>
        <w:t>300</w:t>
      </w:r>
      <w:r>
        <w:rPr>
          <w:rFonts w:ascii="Arial" w:eastAsia="仿宋" w:hAnsi="Arial" w:cs="Arial"/>
          <w:color w:val="000000"/>
          <w:kern w:val="2"/>
          <w:sz w:val="28"/>
          <w:szCs w:val="28"/>
        </w:rPr>
        <w:t>公顷，安排保障性住房用地</w:t>
      </w:r>
      <w:r>
        <w:rPr>
          <w:rFonts w:ascii="Arial" w:eastAsia="仿宋" w:hAnsi="Arial" w:cs="Arial"/>
          <w:color w:val="000000"/>
          <w:kern w:val="2"/>
          <w:sz w:val="28"/>
          <w:szCs w:val="28"/>
        </w:rPr>
        <w:t>460</w:t>
      </w:r>
      <w:r>
        <w:rPr>
          <w:rFonts w:ascii="Arial" w:eastAsia="仿宋" w:hAnsi="Arial" w:cs="Arial"/>
          <w:color w:val="000000"/>
          <w:kern w:val="2"/>
          <w:sz w:val="28"/>
          <w:szCs w:val="28"/>
        </w:rPr>
        <w:t>公顷。</w:t>
      </w:r>
      <w:r>
        <w:rPr>
          <w:rFonts w:ascii="Arial" w:eastAsia="仿宋" w:hAnsi="Arial" w:cs="Arial"/>
          <w:color w:val="000000"/>
          <w:kern w:val="2"/>
          <w:sz w:val="28"/>
          <w:szCs w:val="28"/>
        </w:rPr>
        <w:t>2024</w:t>
      </w:r>
      <w:r>
        <w:rPr>
          <w:rFonts w:ascii="Arial" w:eastAsia="仿宋" w:hAnsi="Arial" w:cs="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Pr>
          <w:rFonts w:ascii="Arial" w:eastAsia="仿宋" w:hAnsi="Arial" w:cs="Arial"/>
          <w:color w:val="000000"/>
          <w:kern w:val="2"/>
          <w:sz w:val="28"/>
          <w:szCs w:val="28"/>
        </w:rPr>
        <w:t>-</w:t>
      </w:r>
      <w:r>
        <w:rPr>
          <w:rFonts w:ascii="Arial" w:eastAsia="仿宋" w:hAnsi="Arial" w:cs="Arial"/>
          <w:color w:val="000000"/>
          <w:kern w:val="2"/>
          <w:sz w:val="28"/>
          <w:szCs w:val="28"/>
        </w:rPr>
        <w:t>大红门地区等服务业聚集区的产业用地供应将减少或者告一段落。</w:t>
      </w:r>
    </w:p>
    <w:p w14:paraId="216EC918"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不动产市场状况</w:t>
      </w:r>
    </w:p>
    <w:p w14:paraId="32256EB8"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）土地供应及成交</w:t>
      </w:r>
    </w:p>
    <w:p w14:paraId="611549E1"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年北京计划供应产业用地</w:t>
      </w:r>
      <w:r>
        <w:rPr>
          <w:rFonts w:ascii="Arial" w:eastAsia="仿宋_GB2312;仿宋" w:hAnsi="Arial" w:cs="Arial"/>
          <w:bCs/>
          <w:color w:val="000000"/>
          <w:sz w:val="28"/>
          <w:szCs w:val="28"/>
        </w:rPr>
        <w:t>510~530</w:t>
      </w:r>
      <w:r>
        <w:rPr>
          <w:rFonts w:ascii="Arial" w:eastAsia="仿宋_GB2312;仿宋" w:hAnsi="Arial" w:cs="Arial"/>
          <w:bCs/>
          <w:color w:val="000000"/>
          <w:sz w:val="28"/>
          <w:szCs w:val="28"/>
        </w:rPr>
        <w:t>公顷，其中研发用地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公顷、工业用地</w:t>
      </w:r>
      <w:r>
        <w:rPr>
          <w:rFonts w:ascii="Arial" w:eastAsia="仿宋_GB2312;仿宋" w:hAnsi="Arial" w:cs="Arial"/>
          <w:bCs/>
          <w:color w:val="000000"/>
          <w:sz w:val="28"/>
          <w:szCs w:val="28"/>
        </w:rPr>
        <w:t>200</w:t>
      </w:r>
      <w:r>
        <w:rPr>
          <w:rFonts w:ascii="Arial" w:eastAsia="仿宋_GB2312;仿宋" w:hAnsi="Arial" w:cs="Arial"/>
          <w:bCs/>
          <w:color w:val="000000"/>
          <w:sz w:val="28"/>
          <w:szCs w:val="28"/>
        </w:rPr>
        <w:t>公顷、仓储用地</w:t>
      </w:r>
      <w:r>
        <w:rPr>
          <w:rFonts w:ascii="Arial" w:eastAsia="仿宋_GB2312;仿宋" w:hAnsi="Arial" w:cs="Arial"/>
          <w:bCs/>
          <w:color w:val="000000"/>
          <w:sz w:val="28"/>
          <w:szCs w:val="28"/>
        </w:rPr>
        <w:t>100</w:t>
      </w:r>
      <w:r>
        <w:rPr>
          <w:rFonts w:ascii="Arial" w:eastAsia="仿宋_GB2312;仿宋" w:hAnsi="Arial" w:cs="Arial"/>
          <w:bCs/>
          <w:color w:val="000000"/>
          <w:sz w:val="28"/>
          <w:szCs w:val="28"/>
        </w:rPr>
        <w:t>公顷、商服用地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公顷，乡村产业用地</w:t>
      </w:r>
      <w:r>
        <w:rPr>
          <w:rFonts w:ascii="Arial" w:eastAsia="仿宋_GB2312;仿宋" w:hAnsi="Arial" w:cs="Arial"/>
          <w:bCs/>
          <w:color w:val="000000"/>
          <w:sz w:val="28"/>
          <w:szCs w:val="28"/>
        </w:rPr>
        <w:t>50-70</w:t>
      </w:r>
      <w:r>
        <w:rPr>
          <w:rFonts w:ascii="Arial" w:eastAsia="仿宋_GB2312;仿宋" w:hAnsi="Arial" w:cs="Arial"/>
          <w:bCs/>
          <w:color w:val="000000"/>
          <w:sz w:val="28"/>
          <w:szCs w:val="28"/>
        </w:rPr>
        <w:t>公顷。按照不低于</w:t>
      </w:r>
      <w:r>
        <w:rPr>
          <w:rFonts w:ascii="Arial" w:eastAsia="仿宋_GB2312;仿宋" w:hAnsi="Arial" w:cs="Arial"/>
          <w:bCs/>
          <w:color w:val="000000"/>
          <w:sz w:val="28"/>
          <w:szCs w:val="28"/>
        </w:rPr>
        <w:t>80%</w:t>
      </w:r>
      <w:r>
        <w:rPr>
          <w:rFonts w:ascii="Arial" w:eastAsia="仿宋_GB2312;仿宋" w:hAnsi="Arial" w:cs="Arial"/>
          <w:bCs/>
          <w:color w:val="000000"/>
          <w:sz w:val="28"/>
          <w:szCs w:val="28"/>
        </w:rPr>
        <w:t>的比例推动产业用地向产业发展重点领域、重点功能区集聚，</w:t>
      </w:r>
      <w:proofErr w:type="gramStart"/>
      <w:r>
        <w:rPr>
          <w:rFonts w:ascii="Arial" w:eastAsia="仿宋_GB2312;仿宋" w:hAnsi="Arial" w:cs="Arial"/>
          <w:bCs/>
          <w:color w:val="000000"/>
          <w:sz w:val="28"/>
          <w:szCs w:val="28"/>
        </w:rPr>
        <w:t>支持壮大</w:t>
      </w:r>
      <w:proofErr w:type="gramEnd"/>
      <w:r>
        <w:rPr>
          <w:rFonts w:ascii="Arial" w:eastAsia="仿宋_GB2312;仿宋" w:hAnsi="Arial" w:cs="Arial"/>
          <w:bCs/>
          <w:color w:val="000000"/>
          <w:sz w:val="28"/>
          <w:szCs w:val="28"/>
        </w:rPr>
        <w:t>高精尖产业集聚势能，加快供应智能制造、产业互联网、医药健康等产业用地。重点向服务国际科技创新中心、国家服务业扩大开放综合示范区和中国（北京）自由贸易试验区、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三城一区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、中关村国家自主创新示范区、临空经济区等重点功能区精准配置产业用地。</w:t>
      </w:r>
    </w:p>
    <w:p w14:paraId="08C0300E"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年一季度，北京市推出工业用地（按公告时间）共计</w:t>
      </w:r>
      <w:r>
        <w:rPr>
          <w:rFonts w:ascii="Arial" w:eastAsia="仿宋_GB2312;仿宋" w:hAnsi="Arial" w:cs="Arial"/>
          <w:bCs/>
          <w:color w:val="000000"/>
          <w:sz w:val="28"/>
          <w:szCs w:val="28"/>
        </w:rPr>
        <w:t>4</w:t>
      </w:r>
      <w:r>
        <w:rPr>
          <w:rFonts w:ascii="Arial" w:eastAsia="仿宋_GB2312;仿宋" w:hAnsi="Arial" w:cs="Arial"/>
          <w:bCs/>
          <w:color w:val="000000"/>
          <w:sz w:val="28"/>
          <w:szCs w:val="28"/>
        </w:rPr>
        <w:t>宗，推出建设用地面积</w:t>
      </w:r>
      <w:r>
        <w:rPr>
          <w:rFonts w:ascii="Arial" w:eastAsia="仿宋_GB2312;仿宋" w:hAnsi="Arial" w:cs="Arial"/>
          <w:bCs/>
          <w:color w:val="000000"/>
          <w:sz w:val="28"/>
          <w:szCs w:val="28"/>
        </w:rPr>
        <w:t>26.77</w:t>
      </w:r>
      <w:r>
        <w:rPr>
          <w:rFonts w:ascii="Arial" w:eastAsia="仿宋_GB2312;仿宋" w:hAnsi="Arial" w:cs="Arial"/>
          <w:bCs/>
          <w:color w:val="000000"/>
          <w:sz w:val="28"/>
          <w:szCs w:val="28"/>
        </w:rPr>
        <w:t>万平方米；实际成交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宗，成交建设用地面积</w:t>
      </w:r>
      <w:r>
        <w:rPr>
          <w:rFonts w:ascii="Arial" w:eastAsia="仿宋_GB2312;仿宋" w:hAnsi="Arial" w:cs="Arial"/>
          <w:bCs/>
          <w:color w:val="000000"/>
          <w:sz w:val="28"/>
          <w:szCs w:val="28"/>
        </w:rPr>
        <w:t>22.99</w:t>
      </w:r>
      <w:r>
        <w:rPr>
          <w:rFonts w:ascii="Arial" w:eastAsia="仿宋_GB2312;仿宋" w:hAnsi="Arial" w:cs="Arial"/>
          <w:bCs/>
          <w:color w:val="000000"/>
          <w:sz w:val="28"/>
          <w:szCs w:val="28"/>
        </w:rPr>
        <w:t>万平方米。</w:t>
      </w:r>
    </w:p>
    <w:p w14:paraId="50005177" w14:textId="77777777" w:rsidR="00E70101" w:rsidRDefault="0060680B">
      <w:pPr>
        <w:spacing w:line="360" w:lineRule="auto"/>
        <w:jc w:val="center"/>
        <w:rPr>
          <w:rFonts w:ascii="Arial" w:eastAsia="仿宋_GB2312;仿宋" w:hAnsi="Arial" w:cs="Arial"/>
          <w:bCs/>
          <w:color w:val="000000"/>
          <w:sz w:val="28"/>
          <w:szCs w:val="28"/>
        </w:rPr>
      </w:pPr>
      <w:r>
        <w:rPr>
          <w:noProof/>
        </w:rPr>
        <w:drawing>
          <wp:inline distT="0" distB="0" distL="0" distR="0" wp14:anchorId="34C050C8" wp14:editId="50E7C845">
            <wp:extent cx="5900420" cy="2696210"/>
            <wp:effectExtent l="0" t="0" r="0" b="0"/>
            <wp:docPr id="13"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像2"/>
                    <pic:cNvPicPr>
                      <a:picLocks noChangeAspect="1" noChangeArrowheads="1"/>
                    </pic:cNvPicPr>
                  </pic:nvPicPr>
                  <pic:blipFill>
                    <a:blip r:embed="rId31"/>
                    <a:srcRect l="-6" t="-12" r="-6" b="-12"/>
                    <a:stretch>
                      <a:fillRect/>
                    </a:stretch>
                  </pic:blipFill>
                  <pic:spPr bwMode="auto">
                    <a:xfrm>
                      <a:off x="0" y="0"/>
                      <a:ext cx="5900420" cy="2696210"/>
                    </a:xfrm>
                    <a:prstGeom prst="rect">
                      <a:avLst/>
                    </a:prstGeom>
                  </pic:spPr>
                </pic:pic>
              </a:graphicData>
            </a:graphic>
          </wp:inline>
        </w:drawing>
      </w:r>
    </w:p>
    <w:p w14:paraId="37422DE7" w14:textId="77777777" w:rsidR="00E70101" w:rsidRDefault="0060680B">
      <w:pPr>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）成交价格</w:t>
      </w:r>
    </w:p>
    <w:p w14:paraId="00E7D16F"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年一季度，北京市工业用地成交总额约</w:t>
      </w:r>
      <w:r>
        <w:rPr>
          <w:rFonts w:ascii="Arial" w:eastAsia="仿宋_GB2312;仿宋" w:hAnsi="Arial" w:cs="Arial"/>
          <w:bCs/>
          <w:color w:val="000000"/>
          <w:sz w:val="28"/>
          <w:szCs w:val="28"/>
        </w:rPr>
        <w:t>8811</w:t>
      </w:r>
      <w:r>
        <w:rPr>
          <w:rFonts w:ascii="Arial" w:eastAsia="仿宋_GB2312;仿宋" w:hAnsi="Arial" w:cs="Arial"/>
          <w:bCs/>
          <w:color w:val="000000"/>
          <w:sz w:val="28"/>
          <w:szCs w:val="28"/>
        </w:rPr>
        <w:t>万元，成交楼面单价</w:t>
      </w:r>
      <w:r>
        <w:rPr>
          <w:rFonts w:ascii="Arial" w:eastAsia="仿宋_GB2312;仿宋" w:hAnsi="Arial" w:cs="Arial"/>
          <w:bCs/>
          <w:color w:val="000000"/>
          <w:sz w:val="28"/>
          <w:szCs w:val="28"/>
        </w:rPr>
        <w:t>2209</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w:t>
      </w:r>
      <w:proofErr w:type="gramStart"/>
      <w:r>
        <w:rPr>
          <w:rFonts w:ascii="Arial" w:eastAsia="仿宋_GB2312;仿宋" w:hAnsi="Arial" w:cs="Arial"/>
          <w:bCs/>
          <w:color w:val="000000"/>
          <w:sz w:val="28"/>
          <w:szCs w:val="28"/>
        </w:rPr>
        <w:t>地面价</w:t>
      </w:r>
      <w:proofErr w:type="gramEnd"/>
      <w:r>
        <w:rPr>
          <w:rFonts w:ascii="Arial" w:eastAsia="仿宋_GB2312;仿宋" w:hAnsi="Arial" w:cs="Arial"/>
          <w:bCs/>
          <w:color w:val="000000"/>
          <w:sz w:val="28"/>
          <w:szCs w:val="28"/>
        </w:rPr>
        <w:t>3767</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平方米（合</w:t>
      </w:r>
      <w:r>
        <w:rPr>
          <w:rFonts w:ascii="Arial" w:eastAsia="仿宋_GB2312;仿宋" w:hAnsi="Arial" w:cs="Arial"/>
          <w:bCs/>
          <w:color w:val="000000"/>
          <w:sz w:val="28"/>
          <w:szCs w:val="28"/>
        </w:rPr>
        <w:t>251</w:t>
      </w:r>
      <w:r>
        <w:rPr>
          <w:rFonts w:ascii="Arial" w:eastAsia="仿宋_GB2312;仿宋" w:hAnsi="Arial" w:cs="Arial"/>
          <w:bCs/>
          <w:color w:val="000000"/>
          <w:sz w:val="28"/>
          <w:szCs w:val="28"/>
        </w:rPr>
        <w:t>万元</w:t>
      </w:r>
      <w:r>
        <w:rPr>
          <w:rFonts w:ascii="Arial" w:eastAsia="仿宋_GB2312;仿宋" w:hAnsi="Arial" w:cs="Arial"/>
          <w:bCs/>
          <w:color w:val="000000"/>
          <w:sz w:val="28"/>
          <w:szCs w:val="28"/>
        </w:rPr>
        <w:t>/</w:t>
      </w:r>
      <w:r>
        <w:rPr>
          <w:rFonts w:ascii="Arial" w:eastAsia="仿宋_GB2312;仿宋" w:hAnsi="Arial" w:cs="Arial"/>
          <w:bCs/>
          <w:color w:val="000000"/>
          <w:sz w:val="28"/>
          <w:szCs w:val="28"/>
        </w:rPr>
        <w:t>亩）。自</w:t>
      </w:r>
      <w:r>
        <w:rPr>
          <w:rFonts w:ascii="Arial" w:eastAsia="仿宋_GB2312;仿宋" w:hAnsi="Arial" w:cs="Arial"/>
          <w:bCs/>
          <w:color w:val="000000"/>
          <w:sz w:val="28"/>
          <w:szCs w:val="28"/>
        </w:rPr>
        <w:t>2015</w:t>
      </w:r>
      <w:r>
        <w:rPr>
          <w:rFonts w:ascii="Arial" w:eastAsia="仿宋_GB2312;仿宋" w:hAnsi="Arial" w:cs="Arial"/>
          <w:bCs/>
          <w:color w:val="000000"/>
          <w:sz w:val="28"/>
          <w:szCs w:val="28"/>
        </w:rPr>
        <w:t>年起，北京市工业用地均为零溢价成交。地价方面，</w:t>
      </w:r>
      <w:r>
        <w:rPr>
          <w:rFonts w:ascii="Arial" w:eastAsia="仿宋_GB2312;仿宋" w:hAnsi="Arial" w:cs="Arial"/>
          <w:bCs/>
          <w:color w:val="000000"/>
          <w:sz w:val="28"/>
          <w:szCs w:val="28"/>
        </w:rPr>
        <w:t>2013</w:t>
      </w:r>
      <w:r>
        <w:rPr>
          <w:rFonts w:ascii="Arial" w:eastAsia="仿宋_GB2312;仿宋" w:hAnsi="Arial" w:cs="Arial"/>
          <w:bCs/>
          <w:color w:val="000000"/>
          <w:sz w:val="28"/>
          <w:szCs w:val="28"/>
        </w:rPr>
        <w:t>年至今除</w:t>
      </w:r>
      <w:proofErr w:type="gramStart"/>
      <w:r>
        <w:rPr>
          <w:rFonts w:ascii="Arial" w:eastAsia="仿宋_GB2312;仿宋" w:hAnsi="Arial" w:cs="Arial"/>
          <w:bCs/>
          <w:color w:val="000000"/>
          <w:sz w:val="28"/>
          <w:szCs w:val="28"/>
        </w:rPr>
        <w:t>受成交</w:t>
      </w:r>
      <w:proofErr w:type="gramEnd"/>
      <w:r>
        <w:rPr>
          <w:rFonts w:ascii="Arial" w:eastAsia="仿宋_GB2312;仿宋" w:hAnsi="Arial" w:cs="Arial"/>
          <w:bCs/>
          <w:color w:val="000000"/>
          <w:sz w:val="28"/>
          <w:szCs w:val="28"/>
        </w:rPr>
        <w:t>结构影响在</w:t>
      </w:r>
      <w:r>
        <w:rPr>
          <w:rFonts w:ascii="Arial" w:eastAsia="仿宋_GB2312;仿宋" w:hAnsi="Arial" w:cs="Arial"/>
          <w:bCs/>
          <w:color w:val="000000"/>
          <w:sz w:val="28"/>
          <w:szCs w:val="28"/>
        </w:rPr>
        <w:t>2017</w:t>
      </w:r>
      <w:r>
        <w:rPr>
          <w:rFonts w:ascii="Arial" w:eastAsia="仿宋_GB2312;仿宋" w:hAnsi="Arial" w:cs="Arial"/>
          <w:bCs/>
          <w:color w:val="000000"/>
          <w:sz w:val="28"/>
          <w:szCs w:val="28"/>
        </w:rPr>
        <w:t>年出现较大波动，工业用地市场呈平稳上涨趋势。</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w:t>
      </w:r>
      <w:proofErr w:type="gramStart"/>
      <w:r>
        <w:rPr>
          <w:rFonts w:ascii="Arial" w:eastAsia="仿宋_GB2312;仿宋" w:hAnsi="Arial" w:cs="Arial"/>
          <w:bCs/>
          <w:color w:val="000000"/>
          <w:sz w:val="28"/>
          <w:szCs w:val="28"/>
        </w:rPr>
        <w:t>受成交</w:t>
      </w:r>
      <w:proofErr w:type="gramEnd"/>
      <w:r>
        <w:rPr>
          <w:rFonts w:ascii="Arial" w:eastAsia="仿宋_GB2312;仿宋" w:hAnsi="Arial" w:cs="Arial"/>
          <w:bCs/>
          <w:color w:val="000000"/>
          <w:sz w:val="28"/>
          <w:szCs w:val="28"/>
        </w:rPr>
        <w:t>物流用地影响，工业成交地价再次出现较大涨幅，若扣除物流用地成交影响，整体仍呈平稳上涨趋势。</w:t>
      </w:r>
    </w:p>
    <w:p w14:paraId="585A52FC" w14:textId="77777777" w:rsidR="00E70101" w:rsidRDefault="0060680B">
      <w:pPr>
        <w:spacing w:line="360" w:lineRule="auto"/>
        <w:jc w:val="center"/>
      </w:pPr>
      <w:r>
        <w:rPr>
          <w:rFonts w:ascii="Arial" w:eastAsia="仿宋_GB2312;仿宋" w:hAnsi="Arial" w:cs="Arial"/>
          <w:b/>
          <w:bCs/>
          <w:color w:val="000000"/>
          <w:szCs w:val="28"/>
        </w:rPr>
        <w:t>2014</w:t>
      </w:r>
      <w:r>
        <w:rPr>
          <w:rFonts w:ascii="Arial" w:eastAsia="仿宋_GB2312;仿宋" w:hAnsi="Arial" w:cs="Arial"/>
          <w:b/>
          <w:bCs/>
          <w:color w:val="000000"/>
          <w:szCs w:val="28"/>
        </w:rPr>
        <w:t>年至</w:t>
      </w:r>
      <w:r>
        <w:rPr>
          <w:rFonts w:ascii="Arial" w:eastAsia="仿宋_GB2312;仿宋" w:hAnsi="Arial" w:cs="Arial"/>
          <w:b/>
          <w:bCs/>
          <w:color w:val="000000"/>
          <w:szCs w:val="28"/>
        </w:rPr>
        <w:t>2024</w:t>
      </w:r>
      <w:r>
        <w:rPr>
          <w:rFonts w:ascii="Arial" w:eastAsia="仿宋_GB2312;仿宋" w:hAnsi="Arial" w:cs="Arial"/>
          <w:b/>
          <w:bCs/>
          <w:color w:val="000000"/>
          <w:szCs w:val="28"/>
        </w:rPr>
        <w:t>年</w:t>
      </w:r>
      <w:r>
        <w:rPr>
          <w:rFonts w:ascii="Arial" w:eastAsia="仿宋_GB2312;仿宋" w:hAnsi="Arial" w:cs="Arial"/>
          <w:b/>
          <w:bCs/>
          <w:color w:val="000000"/>
          <w:szCs w:val="28"/>
        </w:rPr>
        <w:t>Q1</w:t>
      </w:r>
      <w:r>
        <w:rPr>
          <w:rFonts w:ascii="Arial" w:eastAsia="仿宋_GB2312;仿宋" w:hAnsi="Arial" w:cs="Arial"/>
          <w:b/>
          <w:bCs/>
          <w:color w:val="000000"/>
          <w:szCs w:val="28"/>
        </w:rPr>
        <w:t>北京市工业用地地价走势</w:t>
      </w:r>
    </w:p>
    <w:p w14:paraId="1C2E6837" w14:textId="77777777" w:rsidR="00E70101" w:rsidRDefault="0060680B">
      <w:pPr>
        <w:spacing w:line="360" w:lineRule="auto"/>
        <w:jc w:val="center"/>
        <w:rPr>
          <w:lang w:val="zh-CN"/>
        </w:rPr>
      </w:pPr>
      <w:r>
        <w:rPr>
          <w:noProof/>
        </w:rPr>
        <w:drawing>
          <wp:inline distT="0" distB="0" distL="0" distR="0" wp14:anchorId="66FAE112" wp14:editId="41995FDB">
            <wp:extent cx="5905500" cy="2315210"/>
            <wp:effectExtent l="0" t="0" r="0" b="0"/>
            <wp:docPr id="14"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像3"/>
                    <pic:cNvPicPr>
                      <a:picLocks noChangeAspect="1" noChangeArrowheads="1"/>
                    </pic:cNvPicPr>
                  </pic:nvPicPr>
                  <pic:blipFill>
                    <a:blip r:embed="rId32"/>
                    <a:srcRect l="-6" t="-15" r="-6" b="-15"/>
                    <a:stretch>
                      <a:fillRect/>
                    </a:stretch>
                  </pic:blipFill>
                  <pic:spPr bwMode="auto">
                    <a:xfrm>
                      <a:off x="0" y="0"/>
                      <a:ext cx="5905500" cy="2315210"/>
                    </a:xfrm>
                    <a:prstGeom prst="rect">
                      <a:avLst/>
                    </a:prstGeom>
                  </pic:spPr>
                </pic:pic>
              </a:graphicData>
            </a:graphic>
          </wp:inline>
        </w:drawing>
      </w:r>
    </w:p>
    <w:p w14:paraId="3B60BCAE" w14:textId="77777777" w:rsidR="00E70101" w:rsidRDefault="0060680B">
      <w:pPr>
        <w:widowControl/>
        <w:spacing w:line="220" w:lineRule="exact"/>
        <w:textAlignment w:val="auto"/>
      </w:pPr>
      <w:r>
        <w:rPr>
          <w:rFonts w:ascii="Arial" w:hAnsi="Arial" w:cs="宋体;SimSun"/>
          <w:color w:val="000000"/>
          <w:sz w:val="20"/>
        </w:rPr>
        <w:t>注：图中</w:t>
      </w:r>
      <w:r>
        <w:rPr>
          <w:rFonts w:ascii="Arial" w:hAnsi="Arial" w:cs="宋体;SimSun"/>
          <w:color w:val="000000"/>
          <w:sz w:val="20"/>
        </w:rPr>
        <w:t>2022</w:t>
      </w:r>
      <w:r>
        <w:rPr>
          <w:rFonts w:ascii="Arial" w:hAnsi="Arial" w:cs="宋体;SimSun"/>
          <w:color w:val="000000"/>
          <w:sz w:val="20"/>
        </w:rPr>
        <w:t>年至</w:t>
      </w:r>
      <w:r>
        <w:rPr>
          <w:rFonts w:ascii="Arial" w:hAnsi="Arial" w:cs="宋体;SimSun"/>
          <w:color w:val="000000"/>
          <w:sz w:val="20"/>
        </w:rPr>
        <w:t>2024Q1</w:t>
      </w:r>
      <w:r>
        <w:rPr>
          <w:rFonts w:ascii="Arial" w:hAnsi="Arial" w:cs="宋体;SimSun"/>
          <w:color w:val="000000"/>
          <w:sz w:val="20"/>
        </w:rPr>
        <w:t>虚线段为扣除物流用地影响走势</w:t>
      </w:r>
    </w:p>
    <w:p w14:paraId="0933299E" w14:textId="77777777" w:rsidR="00E70101" w:rsidRDefault="00E70101">
      <w:pPr>
        <w:widowControl/>
        <w:spacing w:line="220" w:lineRule="exact"/>
        <w:textAlignment w:val="auto"/>
        <w:rPr>
          <w:rFonts w:ascii="宋体;SimSun" w:hAnsi="宋体;SimSun" w:cs="宋体;SimSun"/>
          <w:color w:val="000000"/>
          <w:sz w:val="22"/>
          <w:szCs w:val="22"/>
        </w:rPr>
      </w:pPr>
    </w:p>
    <w:p w14:paraId="0AD0540A"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）区域成交情况</w:t>
      </w:r>
    </w:p>
    <w:p w14:paraId="7534BB9A" w14:textId="77777777" w:rsidR="00E70101" w:rsidRDefault="0060680B">
      <w:pPr>
        <w:widowControl/>
        <w:spacing w:line="360" w:lineRule="auto"/>
        <w:ind w:firstLine="560"/>
        <w:jc w:val="both"/>
        <w:textAlignment w:val="auto"/>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宗，分别位于大兴区、</w:t>
      </w:r>
      <w:proofErr w:type="gramStart"/>
      <w:r>
        <w:rPr>
          <w:rFonts w:ascii="Arial" w:eastAsia="仿宋_GB2312;仿宋" w:hAnsi="Arial" w:cs="Arial"/>
          <w:bCs/>
          <w:color w:val="000000"/>
          <w:sz w:val="28"/>
          <w:szCs w:val="28"/>
        </w:rPr>
        <w:t>平谷区</w:t>
      </w:r>
      <w:proofErr w:type="gramEnd"/>
      <w:r>
        <w:rPr>
          <w:rFonts w:ascii="Arial" w:eastAsia="仿宋_GB2312;仿宋" w:hAnsi="Arial" w:cs="Arial"/>
          <w:bCs/>
          <w:color w:val="000000"/>
          <w:sz w:val="28"/>
          <w:szCs w:val="28"/>
        </w:rPr>
        <w:t>及昌平区。</w:t>
      </w:r>
    </w:p>
    <w:p w14:paraId="030DF717" w14:textId="77777777" w:rsidR="00E70101" w:rsidRDefault="0060680B">
      <w:pPr>
        <w:widowControl/>
        <w:spacing w:line="360" w:lineRule="auto"/>
        <w:ind w:firstLine="560"/>
        <w:jc w:val="both"/>
        <w:textAlignment w:val="auto"/>
        <w:rPr>
          <w:lang w:val="zh-CN"/>
        </w:rPr>
      </w:pPr>
      <w:proofErr w:type="gramStart"/>
      <w:r>
        <w:rPr>
          <w:rFonts w:ascii="Arial" w:eastAsia="仿宋_GB2312;仿宋" w:hAnsi="Arial" w:cs="Arial"/>
          <w:bCs/>
          <w:sz w:val="28"/>
          <w:szCs w:val="28"/>
        </w:rPr>
        <w:t>大兴区成交</w:t>
      </w:r>
      <w:proofErr w:type="gramEnd"/>
      <w:r>
        <w:rPr>
          <w:rFonts w:ascii="Arial" w:eastAsia="仿宋_GB2312;仿宋" w:hAnsi="Arial" w:cs="Arial"/>
          <w:bCs/>
          <w:sz w:val="28"/>
          <w:szCs w:val="28"/>
        </w:rPr>
        <w:t>宗地位于亦庄新城地区，为</w:t>
      </w:r>
      <w:r>
        <w:rPr>
          <w:rFonts w:ascii="Arial" w:eastAsia="仿宋_GB2312;仿宋" w:hAnsi="Arial" w:cs="Arial"/>
          <w:bCs/>
          <w:sz w:val="28"/>
          <w:szCs w:val="28"/>
        </w:rPr>
        <w:t>M1</w:t>
      </w:r>
      <w:r>
        <w:rPr>
          <w:rFonts w:ascii="Arial" w:eastAsia="仿宋_GB2312;仿宋" w:hAnsi="Arial" w:cs="Arial"/>
          <w:bCs/>
          <w:sz w:val="28"/>
          <w:szCs w:val="28"/>
        </w:rPr>
        <w:t>一类工业用地，建设用地面积</w:t>
      </w:r>
      <w:r>
        <w:rPr>
          <w:rFonts w:ascii="Arial" w:eastAsia="仿宋_GB2312;仿宋" w:hAnsi="Arial" w:cs="Arial"/>
          <w:bCs/>
          <w:sz w:val="28"/>
          <w:szCs w:val="28"/>
        </w:rPr>
        <w:t>1.75</w:t>
      </w:r>
      <w:r>
        <w:rPr>
          <w:rFonts w:ascii="Arial" w:eastAsia="仿宋_GB2312;仿宋" w:hAnsi="Arial" w:cs="Arial"/>
          <w:bCs/>
          <w:sz w:val="28"/>
          <w:szCs w:val="28"/>
        </w:rPr>
        <w:t>万平方米，成交地面均价为</w:t>
      </w:r>
      <w:r>
        <w:rPr>
          <w:rFonts w:ascii="Arial" w:eastAsia="仿宋_GB2312;仿宋" w:hAnsi="Arial" w:cs="Arial"/>
          <w:bCs/>
          <w:sz w:val="28"/>
          <w:szCs w:val="28"/>
        </w:rPr>
        <w:t>1197</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79.8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w:t>
      </w:r>
      <w:proofErr w:type="gramStart"/>
      <w:r>
        <w:rPr>
          <w:rFonts w:ascii="Arial" w:eastAsia="仿宋_GB2312;仿宋" w:hAnsi="Arial" w:cs="Arial"/>
          <w:bCs/>
          <w:sz w:val="28"/>
          <w:szCs w:val="28"/>
        </w:rPr>
        <w:t>平谷区成交</w:t>
      </w:r>
      <w:proofErr w:type="gramEnd"/>
      <w:r>
        <w:rPr>
          <w:rFonts w:ascii="Arial" w:eastAsia="仿宋_GB2312;仿宋" w:hAnsi="Arial" w:cs="Arial"/>
          <w:bCs/>
          <w:sz w:val="28"/>
          <w:szCs w:val="28"/>
        </w:rPr>
        <w:t>建设用地面积</w:t>
      </w:r>
      <w:r>
        <w:rPr>
          <w:rFonts w:ascii="Arial" w:eastAsia="仿宋_GB2312;仿宋" w:hAnsi="Arial" w:cs="Arial"/>
          <w:bCs/>
          <w:sz w:val="28"/>
          <w:szCs w:val="28"/>
        </w:rPr>
        <w:t>18.67</w:t>
      </w:r>
      <w:r>
        <w:rPr>
          <w:rFonts w:ascii="Arial" w:eastAsia="仿宋_GB2312;仿宋" w:hAnsi="Arial" w:cs="Arial"/>
          <w:bCs/>
          <w:sz w:val="28"/>
          <w:szCs w:val="28"/>
        </w:rPr>
        <w:t>万平方米，成交地面均价为</w:t>
      </w:r>
      <w:r>
        <w:rPr>
          <w:rFonts w:ascii="Arial" w:eastAsia="仿宋_GB2312;仿宋" w:hAnsi="Arial" w:cs="Arial"/>
          <w:bCs/>
          <w:sz w:val="28"/>
          <w:szCs w:val="28"/>
        </w:rPr>
        <w:t>4168</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278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W1</w:t>
      </w:r>
      <w:r>
        <w:rPr>
          <w:rFonts w:ascii="Arial" w:eastAsia="仿宋_GB2312;仿宋" w:hAnsi="Arial" w:cs="Arial"/>
          <w:bCs/>
          <w:sz w:val="28"/>
          <w:szCs w:val="28"/>
        </w:rPr>
        <w:t>物流用地；</w:t>
      </w:r>
      <w:proofErr w:type="gramStart"/>
      <w:r>
        <w:rPr>
          <w:rFonts w:ascii="Arial" w:eastAsia="仿宋_GB2312;仿宋" w:hAnsi="Arial" w:cs="Arial"/>
          <w:bCs/>
          <w:sz w:val="28"/>
          <w:szCs w:val="28"/>
        </w:rPr>
        <w:t>昌平区成交</w:t>
      </w:r>
      <w:proofErr w:type="gramEnd"/>
      <w:r>
        <w:rPr>
          <w:rFonts w:ascii="Arial" w:eastAsia="仿宋_GB2312;仿宋" w:hAnsi="Arial" w:cs="Arial"/>
          <w:bCs/>
          <w:sz w:val="28"/>
          <w:szCs w:val="28"/>
        </w:rPr>
        <w:t>建设用地面积</w:t>
      </w:r>
      <w:r>
        <w:rPr>
          <w:rFonts w:ascii="Arial" w:eastAsia="仿宋_GB2312;仿宋" w:hAnsi="Arial" w:cs="Arial"/>
          <w:bCs/>
          <w:sz w:val="28"/>
          <w:szCs w:val="28"/>
        </w:rPr>
        <w:t>2.57</w:t>
      </w:r>
      <w:r>
        <w:rPr>
          <w:rFonts w:ascii="Arial" w:eastAsia="仿宋_GB2312;仿宋" w:hAnsi="Arial" w:cs="Arial"/>
          <w:bCs/>
          <w:sz w:val="28"/>
          <w:szCs w:val="28"/>
        </w:rPr>
        <w:t>万平方米，成交地面均价为</w:t>
      </w:r>
      <w:r>
        <w:rPr>
          <w:rFonts w:ascii="Arial" w:eastAsia="仿宋_GB2312;仿宋" w:hAnsi="Arial" w:cs="Arial"/>
          <w:bCs/>
          <w:sz w:val="28"/>
          <w:szCs w:val="28"/>
        </w:rPr>
        <w:t>2610</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174</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M1</w:t>
      </w:r>
      <w:r>
        <w:rPr>
          <w:rFonts w:ascii="Arial" w:eastAsia="仿宋_GB2312;仿宋" w:hAnsi="Arial" w:cs="Arial"/>
          <w:bCs/>
          <w:sz w:val="28"/>
          <w:szCs w:val="28"/>
        </w:rPr>
        <w:t>一类工业用地。</w:t>
      </w:r>
      <w:r>
        <w:rPr>
          <w:rFonts w:eastAsia="Times New Roman"/>
          <w:lang w:val="zh-CN"/>
        </w:rPr>
        <w:t xml:space="preserve"> </w:t>
      </w:r>
    </w:p>
    <w:p w14:paraId="49CCCF73" w14:textId="77777777" w:rsidR="00E70101" w:rsidRDefault="0060680B">
      <w:pPr>
        <w:spacing w:line="360" w:lineRule="auto"/>
        <w:rPr>
          <w:lang w:val="zh-CN"/>
        </w:rPr>
      </w:pPr>
      <w:r>
        <w:rPr>
          <w:rFonts w:eastAsia="Times New Roman"/>
          <w:lang w:val="zh-CN"/>
        </w:rPr>
        <w:t xml:space="preserve"> </w:t>
      </w:r>
      <w:r>
        <w:rPr>
          <w:rFonts w:eastAsia="Times New Roman"/>
          <w:noProof/>
        </w:rPr>
        <mc:AlternateContent>
          <mc:Choice Requires="wps">
            <w:drawing>
              <wp:anchor distT="0" distB="0" distL="114935" distR="114935" simplePos="0" relativeHeight="73" behindDoc="0" locked="0" layoutInCell="1" allowOverlap="1" wp14:anchorId="33FF391D" wp14:editId="613EDE3B">
                <wp:simplePos x="0" y="0"/>
                <wp:positionH relativeFrom="column">
                  <wp:posOffset>4194810</wp:posOffset>
                </wp:positionH>
                <wp:positionV relativeFrom="paragraph">
                  <wp:posOffset>4697095</wp:posOffset>
                </wp:positionV>
                <wp:extent cx="1603375" cy="591185"/>
                <wp:effectExtent l="0" t="0" r="0" b="0"/>
                <wp:wrapNone/>
                <wp:docPr id="15" name="线形标注 2 15"/>
                <wp:cNvGraphicFramePr/>
                <a:graphic xmlns:a="http://schemas.openxmlformats.org/drawingml/2006/main">
                  <a:graphicData uri="http://schemas.microsoft.com/office/word/2010/wordprocessingShape">
                    <wps:wsp>
                      <wps:cNvSpPr/>
                      <wps:spPr>
                        <a:xfrm>
                          <a:off x="0" y="0"/>
                          <a:ext cx="1602720" cy="590400"/>
                        </a:xfrm>
                        <a:prstGeom prst="borderCallout2">
                          <a:avLst>
                            <a:gd name="adj1" fmla="val 18750"/>
                            <a:gd name="adj2" fmla="val -8333"/>
                            <a:gd name="adj3" fmla="val 19356"/>
                            <a:gd name="adj4" fmla="val -41083"/>
                            <a:gd name="adj5" fmla="val -96129"/>
                            <a:gd name="adj6" fmla="val -77893"/>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30DF2EE5"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7D16D01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F3A1ECE" w14:textId="77777777" w:rsidR="0060680B" w:rsidRDefault="0060680B">
                            <w:pPr>
                              <w:overflowPunct w:val="0"/>
                              <w:spacing w:line="240" w:lineRule="exact"/>
                            </w:pPr>
                            <w:r>
                              <w:rPr>
                                <w:rFonts w:ascii="Arial" w:hAnsi="Arial" w:cs="Arial"/>
                                <w:kern w:val="2"/>
                                <w:sz w:val="15"/>
                                <w:szCs w:val="15"/>
                              </w:rPr>
                              <w:t xml:space="preserve">      </w:t>
                            </w:r>
                          </w:p>
                        </w:txbxContent>
                      </wps:txbx>
                      <wps:bodyPr lIns="36360" tIns="36360" rIns="36360" bIns="36360">
                        <a:noAutofit/>
                      </wps:bodyPr>
                    </wps:wsp>
                  </a:graphicData>
                </a:graphic>
              </wp:anchor>
            </w:drawing>
          </mc:Choice>
          <mc:Fallback>
            <w:pict>
              <v:shapetype w14:anchorId="33FF391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15" o:spid="_x0000_s1026" type="#_x0000_t48" style="position:absolute;margin-left:330.3pt;margin-top:369.85pt;width:126.25pt;height:46.55pt;z-index:7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" adj="-16825,-20764,-8874,4181" strokeweight=".26mm">
                <v:stroke startarrow="oval" endarrow="oval"/>
                <v:textbox inset="1.01mm,1.01mm,1.01mm,1.01mm">
                  <w:txbxContent>
                    <w:p w14:paraId="30DF2EE5"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7D16D01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F3A1ECE" w14:textId="77777777" w:rsidR="0060680B" w:rsidRDefault="0060680B">
                      <w:pPr>
                        <w:overflowPunct w:val="0"/>
                        <w:spacing w:line="240" w:lineRule="exact"/>
                      </w:pPr>
                      <w:r>
                        <w:rPr>
                          <w:rFonts w:ascii="Arial" w:hAnsi="Arial" w:cs="Arial"/>
                          <w:kern w:val="2"/>
                          <w:sz w:val="15"/>
                          <w:szCs w:val="15"/>
                        </w:rPr>
                        <w:t xml:space="preserve">      </w:t>
                      </w:r>
                    </w:p>
                  </w:txbxContent>
                </v:textbox>
              </v:shape>
            </w:pict>
          </mc:Fallback>
        </mc:AlternateContent>
      </w:r>
      <w:r>
        <w:rPr>
          <w:rFonts w:eastAsia="Times New Roman"/>
          <w:noProof/>
        </w:rPr>
        <mc:AlternateContent>
          <mc:Choice Requires="wps">
            <w:drawing>
              <wp:anchor distT="0" distB="0" distL="114935" distR="114935" simplePos="0" relativeHeight="74" behindDoc="0" locked="0" layoutInCell="1" allowOverlap="1" wp14:anchorId="43E06F53" wp14:editId="141BA097">
                <wp:simplePos x="0" y="0"/>
                <wp:positionH relativeFrom="column">
                  <wp:posOffset>4605655</wp:posOffset>
                </wp:positionH>
                <wp:positionV relativeFrom="paragraph">
                  <wp:posOffset>3084195</wp:posOffset>
                </wp:positionV>
                <wp:extent cx="1192530" cy="695325"/>
                <wp:effectExtent l="0" t="0" r="0" b="0"/>
                <wp:wrapNone/>
                <wp:docPr id="16" name="线形标注 2 16"/>
                <wp:cNvGraphicFramePr/>
                <a:graphic xmlns:a="http://schemas.openxmlformats.org/drawingml/2006/main">
                  <a:graphicData uri="http://schemas.microsoft.com/office/word/2010/wordprocessingShape">
                    <wps:wsp>
                      <wps:cNvSpPr/>
                      <wps:spPr>
                        <a:xfrm>
                          <a:off x="0" y="0"/>
                          <a:ext cx="1191960" cy="694800"/>
                        </a:xfrm>
                        <a:prstGeom prst="borderCallout2">
                          <a:avLst>
                            <a:gd name="adj1" fmla="val 18750"/>
                            <a:gd name="adj2" fmla="val -8333"/>
                            <a:gd name="adj3" fmla="val 16453"/>
                            <a:gd name="adj4" fmla="val -6393"/>
                            <a:gd name="adj5" fmla="val 16453"/>
                            <a:gd name="adj6" fmla="val -28717"/>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17A71302"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7F90FCB4" w14:textId="77777777" w:rsidR="0060680B" w:rsidRDefault="0060680B">
                            <w:pPr>
                              <w:overflowPunct w:val="0"/>
                              <w:spacing w:line="240" w:lineRule="exact"/>
                            </w:pPr>
                            <w:r>
                              <w:rPr>
                                <w:rFonts w:ascii="Arial" w:hAnsi="Arial" w:cs="Arial"/>
                                <w:kern w:val="2"/>
                                <w:sz w:val="15"/>
                                <w:szCs w:val="15"/>
                              </w:rPr>
                              <w:t>京平公转</w:t>
                            </w:r>
                            <w:proofErr w:type="gramStart"/>
                            <w:r>
                              <w:rPr>
                                <w:rFonts w:ascii="Arial" w:hAnsi="Arial" w:cs="Arial"/>
                                <w:kern w:val="2"/>
                                <w:sz w:val="15"/>
                                <w:szCs w:val="15"/>
                              </w:rPr>
                              <w:t>铁综合</w:t>
                            </w:r>
                            <w:proofErr w:type="gramEnd"/>
                            <w:r>
                              <w:rPr>
                                <w:rFonts w:ascii="Arial" w:hAnsi="Arial" w:cs="Arial"/>
                                <w:kern w:val="2"/>
                                <w:sz w:val="15"/>
                                <w:szCs w:val="15"/>
                              </w:rPr>
                              <w:t>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783B8271"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43E06F53" id="线形标注 2 16" o:spid="_x0000_s1027" type="#_x0000_t48" style="position:absolute;margin-left:362.65pt;margin-top:242.85pt;width:93.9pt;height:54.75pt;z-index:7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" adj="-6203,3554,-1381,3554" strokeweight=".26mm">
                <v:stroke startarrow="oval" endarrow="oval"/>
                <v:textbox inset="1.01mm,1.01mm,1.01mm,1.01mm">
                  <w:txbxContent>
                    <w:p w14:paraId="17A71302"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7F90FCB4" w14:textId="77777777" w:rsidR="0060680B" w:rsidRDefault="0060680B">
                      <w:pPr>
                        <w:overflowPunct w:val="0"/>
                        <w:spacing w:line="240" w:lineRule="exact"/>
                      </w:pPr>
                      <w:r>
                        <w:rPr>
                          <w:rFonts w:ascii="Arial" w:hAnsi="Arial" w:cs="Arial"/>
                          <w:kern w:val="2"/>
                          <w:sz w:val="15"/>
                          <w:szCs w:val="15"/>
                        </w:rPr>
                        <w:t>京平公转</w:t>
                      </w:r>
                      <w:proofErr w:type="gramStart"/>
                      <w:r>
                        <w:rPr>
                          <w:rFonts w:ascii="Arial" w:hAnsi="Arial" w:cs="Arial"/>
                          <w:kern w:val="2"/>
                          <w:sz w:val="15"/>
                          <w:szCs w:val="15"/>
                        </w:rPr>
                        <w:t>铁综合</w:t>
                      </w:r>
                      <w:proofErr w:type="gramEnd"/>
                      <w:r>
                        <w:rPr>
                          <w:rFonts w:ascii="Arial" w:hAnsi="Arial" w:cs="Arial"/>
                          <w:kern w:val="2"/>
                          <w:sz w:val="15"/>
                          <w:szCs w:val="15"/>
                        </w:rPr>
                        <w:t>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783B8271"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w:pict>
          </mc:Fallback>
        </mc:AlternateContent>
      </w:r>
      <w:r>
        <w:rPr>
          <w:rFonts w:eastAsia="Times New Roman"/>
          <w:noProof/>
        </w:rPr>
        <mc:AlternateContent>
          <mc:Choice Requires="wps">
            <w:drawing>
              <wp:anchor distT="0" distB="0" distL="114935" distR="114935" simplePos="0" relativeHeight="75" behindDoc="0" locked="0" layoutInCell="1" allowOverlap="1" wp14:anchorId="02EC87BE" wp14:editId="4720310E">
                <wp:simplePos x="0" y="0"/>
                <wp:positionH relativeFrom="column">
                  <wp:posOffset>107950</wp:posOffset>
                </wp:positionH>
                <wp:positionV relativeFrom="paragraph">
                  <wp:posOffset>2006600</wp:posOffset>
                </wp:positionV>
                <wp:extent cx="1393825" cy="471805"/>
                <wp:effectExtent l="0" t="0" r="0" b="0"/>
                <wp:wrapNone/>
                <wp:docPr id="17" name="线形标注 2 17"/>
                <wp:cNvGraphicFramePr/>
                <a:graphic xmlns:a="http://schemas.openxmlformats.org/drawingml/2006/main">
                  <a:graphicData uri="http://schemas.microsoft.com/office/word/2010/wordprocessingShape">
                    <wps:wsp>
                      <wps:cNvSpPr/>
                      <wps:spPr>
                        <a:xfrm>
                          <a:off x="0" y="0"/>
                          <a:ext cx="1393200" cy="471240"/>
                        </a:xfrm>
                        <a:prstGeom prst="borderCallout2">
                          <a:avLst>
                            <a:gd name="adj1" fmla="val 18750"/>
                            <a:gd name="adj2" fmla="val -8333"/>
                            <a:gd name="adj3" fmla="val 24259"/>
                            <a:gd name="adj4" fmla="val 125203"/>
                            <a:gd name="adj5" fmla="val 207680"/>
                            <a:gd name="adj6" fmla="val 159800"/>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3B0F29C2"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4FC1B8D0"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02EC87BE" id="线形标注 2 17" o:spid="_x0000_s1028" type="#_x0000_t48" style="position:absolute;margin-left:8.5pt;margin-top:158pt;width:109.75pt;height:37.15pt;z-index:7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" adj="34517,44859,27044,5240" strokeweight=".26mm">
                <v:stroke startarrow="oval" endarrow="oval"/>
                <v:textbox inset="1.01mm,1.01mm,1.01mm,1.01mm">
                  <w:txbxContent>
                    <w:p w14:paraId="3B0F29C2"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4FC1B8D0"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w:pict>
          </mc:Fallback>
        </mc:AlternateContent>
      </w:r>
      <w:r>
        <w:rPr>
          <w:noProof/>
        </w:rPr>
        <w:drawing>
          <wp:inline distT="0" distB="0" distL="0" distR="0" wp14:anchorId="3906C64C" wp14:editId="53F224C7">
            <wp:extent cx="5749925" cy="576072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33"/>
                    <a:srcRect l="-5" t="-6" r="-5" b="-6"/>
                    <a:stretch>
                      <a:fillRect/>
                    </a:stretch>
                  </pic:blipFill>
                  <pic:spPr bwMode="auto">
                    <a:xfrm>
                      <a:off x="0" y="0"/>
                      <a:ext cx="5749925" cy="5760720"/>
                    </a:xfrm>
                    <a:prstGeom prst="rect">
                      <a:avLst/>
                    </a:prstGeom>
                  </pic:spPr>
                </pic:pic>
              </a:graphicData>
            </a:graphic>
          </wp:inline>
        </w:drawing>
      </w:r>
      <w:r>
        <w:rPr>
          <w:noProof/>
        </w:rPr>
        <mc:AlternateContent>
          <mc:Choice Requires="wps">
            <w:drawing>
              <wp:anchor distT="0" distB="0" distL="114935" distR="114935" simplePos="0" relativeHeight="76" behindDoc="0" locked="0" layoutInCell="1" allowOverlap="1" wp14:anchorId="0B79D7F6" wp14:editId="5C5EC0E5">
                <wp:simplePos x="0" y="0"/>
                <wp:positionH relativeFrom="column">
                  <wp:posOffset>2136775</wp:posOffset>
                </wp:positionH>
                <wp:positionV relativeFrom="paragraph">
                  <wp:posOffset>163195</wp:posOffset>
                </wp:positionV>
                <wp:extent cx="1703070" cy="257175"/>
                <wp:effectExtent l="0" t="0" r="0" b="0"/>
                <wp:wrapNone/>
                <wp:docPr id="19" name="框架1"/>
                <wp:cNvGraphicFramePr/>
                <a:graphic xmlns:a="http://schemas.openxmlformats.org/drawingml/2006/main">
                  <a:graphicData uri="http://schemas.microsoft.com/office/word/2010/wordprocessingShape">
                    <wps:wsp>
                      <wps:cNvSpPr txBox="1"/>
                      <wps:spPr>
                        <a:xfrm>
                          <a:off x="0" y="0"/>
                          <a:ext cx="1703070" cy="257175"/>
                        </a:xfrm>
                        <a:prstGeom prst="rect">
                          <a:avLst/>
                        </a:prstGeom>
                        <a:solidFill>
                          <a:srgbClr val="FFFFFF"/>
                        </a:solidFill>
                      </wps:spPr>
                      <wps:txbx>
                        <w:txbxContent>
                          <w:p w14:paraId="71087039"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wps:txbx>
                      <wps:bodyPr lIns="36830" tIns="36830" rIns="36830" bIns="36830" anchor="t">
                        <a:noAutofit/>
                      </wps:bodyPr>
                    </wps:wsp>
                  </a:graphicData>
                </a:graphic>
              </wp:anchor>
            </w:drawing>
          </mc:Choice>
          <mc:Fallback>
            <w:pict>
              <v:shapetype w14:anchorId="0B79D7F6" id="_x0000_t202" coordsize="21600,21600" o:spt="202" path="m,l,21600r21600,l21600,xe">
                <v:stroke joinstyle="miter"/>
                <v:path gradientshapeok="t" o:connecttype="rect"/>
              </v:shapetype>
              <v:shape id="框架1" o:spid="_x0000_s1029" type="#_x0000_t202" style="position:absolute;margin-left:168.25pt;margin-top:12.85pt;width:134.1pt;height:20.25pt;z-index: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" stroked="f">
                <v:textbox inset="2.9pt,2.9pt,2.9pt,2.9pt">
                  <w:txbxContent>
                    <w:p w14:paraId="71087039"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v:textbox>
              </v:shape>
            </w:pict>
          </mc:Fallback>
        </mc:AlternateContent>
      </w:r>
    </w:p>
    <w:p w14:paraId="513F3B0E" w14:textId="77777777" w:rsidR="00E70101" w:rsidRDefault="0060680B">
      <w:pPr>
        <w:widowControl/>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4</w:t>
      </w:r>
      <w:r>
        <w:rPr>
          <w:rFonts w:ascii="Arial" w:eastAsia="仿宋_GB2312;仿宋" w:hAnsi="Arial" w:cs="Arial"/>
          <w:bCs/>
          <w:color w:val="000000"/>
          <w:sz w:val="28"/>
          <w:szCs w:val="28"/>
        </w:rPr>
        <w:t>）未来趋势</w:t>
      </w:r>
    </w:p>
    <w:p w14:paraId="01C9757C"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sz w:val="28"/>
          <w:szCs w:val="28"/>
        </w:rPr>
        <w:t>北京市随着经济的稳步修复，工业生产持续回升，高端产业发挥引领作用。北京</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规划明确新一代信息技术、医药健康、新能源智能网联汽车、绿色智慧能源等为未来重点产业发展方向，界定多个未来重点发展新区及区域产业发展细分方向；同时，</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规划还提出支持具备条件的物流园区和重点企业引入铁路专用线，支持利用工业厂房改造建设冷链物流基础设施，发展智能立体仓等</w:t>
      </w:r>
      <w:r>
        <w:rPr>
          <w:rFonts w:ascii="Arial" w:eastAsia="仿宋_GB2312;仿宋" w:hAnsi="Arial" w:cs="Arial"/>
          <w:bCs/>
          <w:color w:val="000000"/>
          <w:sz w:val="28"/>
          <w:szCs w:val="28"/>
        </w:rPr>
        <w:t>。在高技术产业快速增长的带动下，各园区稳步发展，预计工业地价继续稳中向上。</w:t>
      </w:r>
    </w:p>
    <w:p w14:paraId="28ACD10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3.</w:t>
      </w:r>
      <w:r>
        <w:rPr>
          <w:rFonts w:ascii="Arial" w:eastAsia="仿宋_GB2312;仿宋" w:hAnsi="Arial" w:cs="Arial"/>
          <w:bCs/>
          <w:color w:val="000000"/>
          <w:sz w:val="28"/>
          <w:szCs w:val="28"/>
        </w:rPr>
        <w:t>产业政策</w:t>
      </w:r>
    </w:p>
    <w:p w14:paraId="08DB5E6D" w14:textId="77777777" w:rsidR="00E70101" w:rsidRDefault="0060680B">
      <w:pPr>
        <w:overflowPunct w:val="0"/>
        <w:spacing w:line="360" w:lineRule="auto"/>
        <w:jc w:val="both"/>
        <w:textAlignment w:val="auto"/>
        <w:rPr>
          <w:rFonts w:ascii="Arial" w:eastAsia="仿宋_GB2312;仿宋" w:hAnsi="Arial" w:cs="Arial"/>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产业优惠政策</w:t>
      </w:r>
    </w:p>
    <w:p w14:paraId="62C22927"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15</w:t>
      </w:r>
      <w:r>
        <w:rPr>
          <w:rFonts w:ascii="Arial" w:eastAsia="仿宋_GB2312;仿宋" w:hAnsi="Arial" w:cs="Arial"/>
          <w:bCs/>
          <w:color w:val="000000"/>
          <w:sz w:val="28"/>
          <w:szCs w:val="28"/>
        </w:rPr>
        <w:t>日，自然资源部发布《产业用地政策实施工作指引（</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年版）》（简称</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4DB1A7CA"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日，北京市住房和城乡建设</w:t>
      </w:r>
      <w:proofErr w:type="gramStart"/>
      <w:r>
        <w:rPr>
          <w:rFonts w:ascii="Arial" w:eastAsia="仿宋_GB2312;仿宋" w:hAnsi="Arial" w:cs="Arial"/>
          <w:bCs/>
          <w:color w:val="000000"/>
          <w:sz w:val="28"/>
          <w:szCs w:val="28"/>
        </w:rPr>
        <w:t>委员会官网发布</w:t>
      </w:r>
      <w:proofErr w:type="gramEnd"/>
      <w:r>
        <w:rPr>
          <w:rFonts w:ascii="Arial" w:eastAsia="仿宋_GB2312;仿宋" w:hAnsi="Arial" w:cs="Arial"/>
          <w:bCs/>
          <w:color w:val="000000"/>
          <w:sz w:val="28"/>
          <w:szCs w:val="28"/>
        </w:rPr>
        <w:t>《关于进一步完善已建成研发、工业项目转让管理有关问题的通知（京建发〔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216</w:t>
      </w:r>
      <w:r>
        <w:rPr>
          <w:rFonts w:ascii="Arial" w:eastAsia="仿宋_GB2312;仿宋" w:hAnsi="Arial" w:cs="Arial"/>
          <w:bCs/>
          <w:color w:val="000000"/>
          <w:sz w:val="28"/>
          <w:szCs w:val="28"/>
        </w:rPr>
        <w:t>号）》和《关于进一步明确已建成产业项目买受人审核有关问题的通知（京建发〔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217</w:t>
      </w:r>
      <w:r>
        <w:rPr>
          <w:rFonts w:ascii="Arial" w:eastAsia="仿宋_GB2312;仿宋" w:hAnsi="Arial" w:cs="Arial"/>
          <w:bCs/>
          <w:color w:val="000000"/>
          <w:sz w:val="28"/>
          <w:szCs w:val="28"/>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w:t>
      </w:r>
      <w:proofErr w:type="gramStart"/>
      <w:r>
        <w:rPr>
          <w:rFonts w:ascii="Arial" w:eastAsia="仿宋_GB2312;仿宋" w:hAnsi="Arial" w:cs="Arial"/>
          <w:bCs/>
          <w:color w:val="000000"/>
          <w:sz w:val="28"/>
          <w:szCs w:val="28"/>
        </w:rPr>
        <w:t>炒房抄地行为</w:t>
      </w:r>
      <w:proofErr w:type="gramEnd"/>
      <w:r>
        <w:rPr>
          <w:rFonts w:ascii="Arial" w:eastAsia="仿宋_GB2312;仿宋" w:hAnsi="Arial" w:cs="Arial"/>
          <w:bCs/>
          <w:color w:val="000000"/>
          <w:sz w:val="28"/>
          <w:szCs w:val="28"/>
        </w:rPr>
        <w:t>，故禁止研发、工业项目的分割销售。另一方面，审批权下放，审批主体从市政府调整为区政府，对买受人的申请，应在</w:t>
      </w:r>
      <w:r>
        <w:rPr>
          <w:rFonts w:ascii="Arial" w:eastAsia="仿宋_GB2312;仿宋" w:hAnsi="Arial" w:cs="Arial"/>
          <w:bCs/>
          <w:color w:val="000000"/>
          <w:sz w:val="28"/>
          <w:szCs w:val="28"/>
        </w:rPr>
        <w:t>15</w:t>
      </w:r>
      <w:r>
        <w:rPr>
          <w:rFonts w:ascii="Arial" w:eastAsia="仿宋_GB2312;仿宋" w:hAnsi="Arial" w:cs="Arial"/>
          <w:bCs/>
          <w:color w:val="000000"/>
          <w:sz w:val="28"/>
          <w:szCs w:val="28"/>
        </w:rPr>
        <w:t>个工作日内出具书面意见，这大大加快了产业地产的审批效率，促进了产业地产的招商周转速度。</w:t>
      </w:r>
    </w:p>
    <w:p w14:paraId="337EDC6E"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10</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日，《关于支持民营企业加快改革与转型升级的实施意见》（</w:t>
      </w:r>
      <w:proofErr w:type="gramStart"/>
      <w:r>
        <w:rPr>
          <w:rFonts w:ascii="Arial" w:eastAsia="仿宋_GB2312;仿宋" w:hAnsi="Arial" w:cs="Arial"/>
          <w:bCs/>
          <w:color w:val="000000"/>
          <w:sz w:val="28"/>
          <w:szCs w:val="28"/>
        </w:rPr>
        <w:t>发改体改</w:t>
      </w:r>
      <w:proofErr w:type="gramEnd"/>
      <w:r>
        <w:rPr>
          <w:rFonts w:ascii="Arial" w:eastAsia="仿宋_GB2312;仿宋" w:hAnsi="Arial" w:cs="Arial"/>
          <w:bCs/>
          <w:color w:val="000000"/>
          <w:sz w:val="28"/>
          <w:szCs w:val="28"/>
        </w:rPr>
        <w:t>[2020]1566</w:t>
      </w:r>
      <w:r>
        <w:rPr>
          <w:rFonts w:ascii="Arial" w:eastAsia="仿宋_GB2312;仿宋" w:hAnsi="Arial" w:cs="Arial"/>
          <w:bCs/>
          <w:color w:val="000000"/>
          <w:sz w:val="28"/>
          <w:szCs w:val="28"/>
        </w:rPr>
        <w:t>号），允许中小民营企业联合参与工业用地</w:t>
      </w:r>
      <w:proofErr w:type="gramStart"/>
      <w:r>
        <w:rPr>
          <w:rFonts w:ascii="Arial" w:eastAsia="仿宋_GB2312;仿宋" w:hAnsi="Arial" w:cs="Arial"/>
          <w:bCs/>
          <w:color w:val="000000"/>
          <w:sz w:val="28"/>
          <w:szCs w:val="28"/>
        </w:rPr>
        <w:t>招拍挂</w:t>
      </w:r>
      <w:proofErr w:type="gramEnd"/>
      <w:r>
        <w:rPr>
          <w:rFonts w:ascii="Arial" w:eastAsia="仿宋_GB2312;仿宋" w:hAnsi="Arial" w:cs="Arial"/>
          <w:bCs/>
          <w:color w:val="000000"/>
          <w:sz w:val="28"/>
          <w:szCs w:val="28"/>
        </w:rPr>
        <w:t>，可按规定进行宗地分割；允许增加容积率的，不增收土地价款等费用；民营企业退出原使用土地的，支持依法依约转让土地；异地发展的，可以协议出让方式重新安排工业用地。</w:t>
      </w:r>
    </w:p>
    <w:p w14:paraId="24DB3EF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6</w:t>
      </w:r>
      <w:r>
        <w:rPr>
          <w:rFonts w:ascii="Arial" w:eastAsia="仿宋_GB2312;仿宋" w:hAnsi="Arial" w:cs="Arial"/>
          <w:bCs/>
          <w:color w:val="000000"/>
          <w:sz w:val="28"/>
          <w:szCs w:val="28"/>
        </w:rPr>
        <w:t>日，中关村管委会研究制定了《中关村国家自主创新示范区关于推进特色产业园建设</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提升分园产业服务能力的指导意见》。提出了到</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年，中关村示范区产业布局更加优化，体制机制持续创新，创新创业环境进一步改善，各分</w:t>
      </w:r>
      <w:proofErr w:type="gramStart"/>
      <w:r>
        <w:rPr>
          <w:rFonts w:ascii="Arial" w:eastAsia="仿宋_GB2312;仿宋" w:hAnsi="Arial" w:cs="Arial"/>
          <w:bCs/>
          <w:color w:val="000000"/>
          <w:sz w:val="28"/>
          <w:szCs w:val="28"/>
        </w:rPr>
        <w:t>园产业</w:t>
      </w:r>
      <w:proofErr w:type="gramEnd"/>
      <w:r>
        <w:rPr>
          <w:rFonts w:ascii="Arial" w:eastAsia="仿宋_GB2312;仿宋" w:hAnsi="Arial" w:cs="Arial"/>
          <w:bCs/>
          <w:color w:val="000000"/>
          <w:sz w:val="28"/>
          <w:szCs w:val="28"/>
        </w:rPr>
        <w:t>服务能力显著提升，主导产业地位突出，高端化、特色化、差异化发展态势基本形成。特色产业园建设实现重点细分产业领域及发展组团两个</w:t>
      </w:r>
      <w:r>
        <w:rPr>
          <w:rFonts w:ascii="Arial" w:eastAsia="仿宋_GB2312;仿宋" w:hAnsi="Arial" w:cs="Arial"/>
          <w:bCs/>
          <w:color w:val="000000"/>
          <w:sz w:val="28"/>
          <w:szCs w:val="28"/>
        </w:rPr>
        <w:t>“</w:t>
      </w:r>
      <w:r>
        <w:rPr>
          <w:rFonts w:ascii="Arial" w:eastAsia="仿宋_GB2312;仿宋" w:hAnsi="Arial" w:cs="Arial"/>
          <w:bCs/>
          <w:color w:val="000000"/>
          <w:sz w:val="28"/>
          <w:szCs w:val="28"/>
        </w:rPr>
        <w:t>全覆盖</w:t>
      </w:r>
      <w:r>
        <w:rPr>
          <w:rFonts w:ascii="Arial" w:eastAsia="仿宋_GB2312;仿宋" w:hAnsi="Arial" w:cs="Arial"/>
          <w:bCs/>
          <w:color w:val="000000"/>
          <w:sz w:val="28"/>
          <w:szCs w:val="28"/>
        </w:rPr>
        <w:t>”</w:t>
      </w:r>
      <w:r>
        <w:rPr>
          <w:rFonts w:ascii="Arial" w:eastAsia="仿宋_GB2312;仿宋" w:hAnsi="Arial" w:cs="Arial"/>
          <w:bCs/>
          <w:color w:val="000000"/>
          <w:sz w:val="28"/>
          <w:szCs w:val="28"/>
        </w:rPr>
        <w:t>，成为分园主导产业发展的重要载体，对所在区域的经济贡献明显提升。各分园围绕主导产业建成产业促进服务机构，产业促进服务机构与分</w:t>
      </w:r>
      <w:proofErr w:type="gramStart"/>
      <w:r>
        <w:rPr>
          <w:rFonts w:ascii="Arial" w:eastAsia="仿宋_GB2312;仿宋" w:hAnsi="Arial" w:cs="Arial"/>
          <w:bCs/>
          <w:color w:val="000000"/>
          <w:sz w:val="28"/>
          <w:szCs w:val="28"/>
        </w:rPr>
        <w:t>园结合</w:t>
      </w:r>
      <w:proofErr w:type="gramEnd"/>
      <w:r>
        <w:rPr>
          <w:rFonts w:ascii="Arial" w:eastAsia="仿宋_GB2312;仿宋" w:hAnsi="Arial" w:cs="Arial"/>
          <w:bCs/>
          <w:color w:val="000000"/>
          <w:sz w:val="28"/>
          <w:szCs w:val="28"/>
        </w:rPr>
        <w:t>紧密、运营高效，对分园主导产业发展的促进作用凸显。</w:t>
      </w:r>
    </w:p>
    <w:p w14:paraId="0A0AEC10"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2021</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日，北京市人民政府关于印发《北京市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时期高精尖产业发展规划》的通知。作为全市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时期高精尖产业的发展蓝图，《规划》深入贯彻市委市政府工作部署，以高质量发展为主题，以城市总体规划为遵循，推动产业</w:t>
      </w:r>
      <w:r>
        <w:rPr>
          <w:rFonts w:ascii="Arial" w:eastAsia="仿宋_GB2312;仿宋" w:hAnsi="Arial" w:cs="Arial"/>
          <w:bCs/>
          <w:color w:val="000000"/>
          <w:sz w:val="28"/>
          <w:szCs w:val="28"/>
        </w:rPr>
        <w:t>“</w:t>
      </w:r>
      <w:r>
        <w:rPr>
          <w:rFonts w:ascii="Arial" w:eastAsia="仿宋_GB2312;仿宋" w:hAnsi="Arial" w:cs="Arial"/>
          <w:bCs/>
          <w:color w:val="000000"/>
          <w:sz w:val="28"/>
          <w:szCs w:val="28"/>
        </w:rPr>
        <w:t>换核、强芯、赋智、融合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，加快产业基础再造提升、产业链条优化升级、智能绿色全面覆盖、制造服务深度融合、区域发展开放联动</w:t>
      </w:r>
      <w:r>
        <w:rPr>
          <w:rFonts w:ascii="Arial" w:eastAsia="仿宋_GB2312;仿宋" w:hAnsi="Arial" w:cs="Arial"/>
          <w:bCs/>
          <w:color w:val="000000"/>
          <w:sz w:val="28"/>
          <w:szCs w:val="28"/>
        </w:rPr>
        <w:t>“</w:t>
      </w:r>
      <w:r>
        <w:rPr>
          <w:rFonts w:ascii="Arial" w:eastAsia="仿宋_GB2312;仿宋" w:hAnsi="Arial" w:cs="Arial"/>
          <w:bCs/>
          <w:color w:val="000000"/>
          <w:sz w:val="28"/>
          <w:szCs w:val="28"/>
        </w:rPr>
        <w:t>五个突破</w:t>
      </w:r>
      <w:r>
        <w:rPr>
          <w:rFonts w:ascii="Arial" w:eastAsia="仿宋_GB2312;仿宋" w:hAnsi="Arial" w:cs="Arial"/>
          <w:bCs/>
          <w:color w:val="000000"/>
          <w:sz w:val="28"/>
          <w:szCs w:val="28"/>
        </w:rPr>
        <w:t>”</w:t>
      </w:r>
      <w:r>
        <w:rPr>
          <w:rFonts w:ascii="Arial" w:eastAsia="仿宋_GB2312;仿宋" w:hAnsi="Arial" w:cs="Arial"/>
          <w:bCs/>
          <w:color w:val="000000"/>
          <w:sz w:val="28"/>
          <w:szCs w:val="28"/>
        </w:rPr>
        <w:t>，推进动力转换、效率提升、结构优化</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三大变革</w:t>
      </w:r>
      <w:r>
        <w:rPr>
          <w:rFonts w:ascii="Arial" w:eastAsia="仿宋_GB2312;仿宋" w:hAnsi="Arial" w:cs="Arial"/>
          <w:bCs/>
          <w:color w:val="000000"/>
          <w:sz w:val="28"/>
          <w:szCs w:val="28"/>
        </w:rPr>
        <w:t>”</w:t>
      </w:r>
      <w:r>
        <w:rPr>
          <w:rFonts w:ascii="Arial" w:eastAsia="仿宋_GB2312;仿宋" w:hAnsi="Arial" w:cs="Arial"/>
          <w:bCs/>
          <w:color w:val="000000"/>
          <w:sz w:val="28"/>
          <w:szCs w:val="28"/>
        </w:rPr>
        <w:t>，力争到</w:t>
      </w:r>
      <w:r>
        <w:rPr>
          <w:rFonts w:ascii="Arial" w:eastAsia="仿宋_GB2312;仿宋" w:hAnsi="Arial" w:cs="Arial"/>
          <w:bCs/>
          <w:color w:val="000000"/>
          <w:sz w:val="28"/>
          <w:szCs w:val="28"/>
        </w:rPr>
        <w:t>2025</w:t>
      </w:r>
      <w:r>
        <w:rPr>
          <w:rFonts w:ascii="Arial" w:eastAsia="仿宋_GB2312;仿宋" w:hAnsi="Arial" w:cs="Arial"/>
          <w:bCs/>
          <w:color w:val="000000"/>
          <w:sz w:val="28"/>
          <w:szCs w:val="28"/>
        </w:rPr>
        <w:t>年，高精尖产业占</w:t>
      </w:r>
      <w:r>
        <w:rPr>
          <w:rFonts w:ascii="Arial" w:eastAsia="仿宋_GB2312;仿宋" w:hAnsi="Arial" w:cs="Arial"/>
          <w:bCs/>
          <w:color w:val="000000"/>
          <w:sz w:val="28"/>
          <w:szCs w:val="28"/>
        </w:rPr>
        <w:t>GDP</w:t>
      </w:r>
      <w:r>
        <w:rPr>
          <w:rFonts w:ascii="Arial" w:eastAsia="仿宋_GB2312;仿宋" w:hAnsi="Arial" w:cs="Arial"/>
          <w:bCs/>
          <w:color w:val="000000"/>
          <w:sz w:val="28"/>
          <w:szCs w:val="28"/>
        </w:rPr>
        <w:t>比重</w:t>
      </w:r>
      <w:r>
        <w:rPr>
          <w:rFonts w:ascii="Arial" w:eastAsia="仿宋_GB2312;仿宋" w:hAnsi="Arial" w:cs="Arial"/>
          <w:bCs/>
          <w:color w:val="000000"/>
          <w:sz w:val="28"/>
          <w:szCs w:val="28"/>
        </w:rPr>
        <w:t>30%</w:t>
      </w:r>
      <w:r>
        <w:rPr>
          <w:rFonts w:ascii="Arial" w:eastAsia="仿宋_GB2312;仿宋" w:hAnsi="Arial" w:cs="Arial"/>
          <w:bCs/>
          <w:color w:val="000000"/>
          <w:sz w:val="28"/>
          <w:szCs w:val="28"/>
        </w:rPr>
        <w:t>以上，培育形成</w:t>
      </w:r>
      <w:r>
        <w:rPr>
          <w:rFonts w:ascii="Arial" w:eastAsia="仿宋_GB2312;仿宋" w:hAnsi="Arial" w:cs="Arial"/>
          <w:bCs/>
          <w:color w:val="000000"/>
          <w:sz w:val="28"/>
          <w:szCs w:val="28"/>
        </w:rPr>
        <w:t>4-5</w:t>
      </w:r>
      <w:r>
        <w:rPr>
          <w:rFonts w:ascii="Arial" w:eastAsia="仿宋_GB2312;仿宋" w:hAnsi="Arial" w:cs="Arial"/>
          <w:bCs/>
          <w:color w:val="000000"/>
          <w:sz w:val="28"/>
          <w:szCs w:val="28"/>
        </w:rPr>
        <w:t>个万亿级产业集群，基本形成以智能制造、产业互联网、医药健康等为新支柱的现代产业体系，将集成电路、智能网联汽车、区块链、创新药等打造成为</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北京智造</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北京服务</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的新名片，为我国提升创新</w:t>
      </w:r>
      <w:proofErr w:type="gramStart"/>
      <w:r>
        <w:rPr>
          <w:rFonts w:ascii="Arial" w:eastAsia="仿宋_GB2312;仿宋" w:hAnsi="Arial" w:cs="Arial"/>
          <w:bCs/>
          <w:color w:val="000000"/>
          <w:sz w:val="28"/>
          <w:szCs w:val="28"/>
        </w:rPr>
        <w:t>链产业链供应</w:t>
      </w:r>
      <w:proofErr w:type="gramEnd"/>
      <w:r>
        <w:rPr>
          <w:rFonts w:ascii="Arial" w:eastAsia="仿宋_GB2312;仿宋" w:hAnsi="Arial" w:cs="Arial"/>
          <w:bCs/>
          <w:color w:val="000000"/>
          <w:sz w:val="28"/>
          <w:szCs w:val="28"/>
        </w:rPr>
        <w:t>链现代化水平，更好建设制造强国、质量强国、网络强国和数字中国做出北京贡献。</w:t>
      </w:r>
    </w:p>
    <w:p w14:paraId="600ED7FC"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Pr>
          <w:rFonts w:ascii="Arial" w:eastAsia="仿宋_GB2312;仿宋" w:hAnsi="Arial" w:cs="Arial"/>
          <w:bCs/>
          <w:color w:val="000000"/>
          <w:sz w:val="28"/>
          <w:szCs w:val="28"/>
        </w:rPr>
        <w:t>资源台</w:t>
      </w:r>
      <w:proofErr w:type="gramEnd"/>
      <w:r>
        <w:rPr>
          <w:rFonts w:ascii="Arial" w:eastAsia="仿宋_GB2312;仿宋" w:hAnsi="Arial" w:cs="Arial"/>
          <w:bCs/>
          <w:color w:val="000000"/>
          <w:sz w:val="28"/>
          <w:szCs w:val="28"/>
        </w:rPr>
        <w:t>账和项目</w:t>
      </w:r>
      <w:proofErr w:type="gramStart"/>
      <w:r>
        <w:rPr>
          <w:rFonts w:ascii="Arial" w:eastAsia="仿宋_GB2312;仿宋" w:hAnsi="Arial" w:cs="Arial"/>
          <w:bCs/>
          <w:color w:val="000000"/>
          <w:sz w:val="28"/>
          <w:szCs w:val="28"/>
        </w:rPr>
        <w:t>储备库并动态</w:t>
      </w:r>
      <w:proofErr w:type="gramEnd"/>
      <w:r>
        <w:rPr>
          <w:rFonts w:ascii="Arial" w:eastAsia="仿宋_GB2312;仿宋" w:hAnsi="Arial" w:cs="Arial"/>
          <w:bCs/>
          <w:color w:val="000000"/>
          <w:sz w:val="28"/>
          <w:szCs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Pr>
          <w:rFonts w:ascii="Arial" w:eastAsia="仿宋_GB2312;仿宋" w:hAnsi="Arial" w:cs="Arial"/>
          <w:bCs/>
          <w:color w:val="000000"/>
          <w:sz w:val="28"/>
          <w:szCs w:val="28"/>
        </w:rPr>
        <w:t>10%</w:t>
      </w:r>
      <w:r>
        <w:rPr>
          <w:rFonts w:ascii="Arial" w:eastAsia="仿宋_GB2312;仿宋" w:hAnsi="Arial" w:cs="Arial"/>
          <w:bCs/>
          <w:color w:val="000000"/>
          <w:sz w:val="28"/>
          <w:szCs w:val="28"/>
        </w:rPr>
        <w:t>的比例、老旧厂房改造和配套基础设施改造项目按照固定资产投资总额</w:t>
      </w:r>
      <w:r>
        <w:rPr>
          <w:rFonts w:ascii="Arial" w:eastAsia="仿宋_GB2312;仿宋" w:hAnsi="Arial" w:cs="Arial"/>
          <w:bCs/>
          <w:color w:val="000000"/>
          <w:sz w:val="28"/>
          <w:szCs w:val="28"/>
        </w:rPr>
        <w:t>30%</w:t>
      </w:r>
      <w:r>
        <w:rPr>
          <w:rFonts w:ascii="Arial" w:eastAsia="仿宋_GB2312;仿宋" w:hAnsi="Arial" w:cs="Arial"/>
          <w:bCs/>
          <w:color w:val="000000"/>
          <w:sz w:val="28"/>
          <w:szCs w:val="28"/>
        </w:rPr>
        <w:t>的比例安排补助资金；贷款贴息方式是对改造升级项目发生的银行贷款按照</w:t>
      </w:r>
      <w:r>
        <w:rPr>
          <w:rFonts w:ascii="Arial" w:eastAsia="仿宋_GB2312;仿宋" w:hAnsi="Arial" w:cs="Arial"/>
          <w:bCs/>
          <w:color w:val="000000"/>
          <w:sz w:val="28"/>
          <w:szCs w:val="28"/>
        </w:rPr>
        <w:t>LPR</w:t>
      </w:r>
      <w:r>
        <w:rPr>
          <w:rFonts w:ascii="Arial" w:eastAsia="仿宋_GB2312;仿宋" w:hAnsi="Arial" w:cs="Arial"/>
          <w:bCs/>
          <w:color w:val="000000"/>
          <w:sz w:val="28"/>
          <w:szCs w:val="28"/>
        </w:rPr>
        <w:t>（实际利率低于</w:t>
      </w:r>
      <w:r>
        <w:rPr>
          <w:rFonts w:ascii="Arial" w:eastAsia="仿宋_GB2312;仿宋" w:hAnsi="Arial" w:cs="Arial"/>
          <w:bCs/>
          <w:color w:val="000000"/>
          <w:sz w:val="28"/>
          <w:szCs w:val="28"/>
        </w:rPr>
        <w:t>LPR</w:t>
      </w:r>
      <w:r>
        <w:rPr>
          <w:rFonts w:ascii="Arial" w:eastAsia="仿宋_GB2312;仿宋" w:hAnsi="Arial" w:cs="Arial"/>
          <w:bCs/>
          <w:color w:val="000000"/>
          <w:sz w:val="28"/>
          <w:szCs w:val="28"/>
        </w:rPr>
        <w:t>的，按照实际利率）给予不超过</w:t>
      </w:r>
      <w:r>
        <w:rPr>
          <w:rFonts w:ascii="Arial" w:eastAsia="仿宋_GB2312;仿宋" w:hAnsi="Arial" w:cs="Arial"/>
          <w:bCs/>
          <w:color w:val="000000"/>
          <w:sz w:val="28"/>
          <w:szCs w:val="28"/>
        </w:rPr>
        <w:t>2</w:t>
      </w:r>
      <w:r>
        <w:rPr>
          <w:rFonts w:ascii="Arial" w:eastAsia="仿宋_GB2312;仿宋" w:hAnsi="Arial" w:cs="Arial"/>
          <w:bCs/>
          <w:color w:val="000000"/>
          <w:sz w:val="28"/>
          <w:szCs w:val="28"/>
        </w:rPr>
        <w:t>年的贴息支持。</w:t>
      </w:r>
    </w:p>
    <w:p w14:paraId="3480C4E6" w14:textId="77777777" w:rsidR="00E70101" w:rsidRDefault="0060680B">
      <w:pPr>
        <w:widowControl/>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w:t>
      </w:r>
      <w:r>
        <w:rPr>
          <w:rFonts w:ascii="Arial" w:eastAsia="仿宋_GB2312;仿宋" w:hAnsi="Arial" w:cs="Arial"/>
          <w:bCs/>
          <w:color w:val="000000"/>
          <w:sz w:val="28"/>
          <w:szCs w:val="28"/>
        </w:rPr>
        <w:t>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发展和改革委员会发布《关于印发北京市产业地图和产业政策导引的通知》，清晰勾勒北京市产业现状和布局，服务和引导经营主体精准布局、项目快速落地，促进产业错位互补发展。产业地图覆盖一二三产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高精尖</w:t>
      </w:r>
      <w:r>
        <w:rPr>
          <w:rFonts w:ascii="Arial" w:eastAsia="仿宋_GB2312;仿宋" w:hAnsi="Arial" w:cs="Arial"/>
          <w:bCs/>
          <w:color w:val="000000"/>
          <w:sz w:val="28"/>
          <w:szCs w:val="28"/>
        </w:rPr>
        <w:t>”</w:t>
      </w:r>
      <w:r>
        <w:rPr>
          <w:rFonts w:ascii="Arial" w:eastAsia="仿宋_GB2312;仿宋" w:hAnsi="Arial" w:cs="Arial"/>
          <w:bCs/>
          <w:color w:val="000000"/>
          <w:sz w:val="28"/>
          <w:szCs w:val="28"/>
        </w:rPr>
        <w:t>产业、现代服务业、</w:t>
      </w:r>
      <w:r>
        <w:rPr>
          <w:rFonts w:ascii="Arial" w:eastAsia="仿宋_GB2312;仿宋" w:hAnsi="Arial" w:cs="Arial"/>
          <w:bCs/>
          <w:color w:val="000000"/>
          <w:sz w:val="28"/>
          <w:szCs w:val="28"/>
        </w:rPr>
        <w:t>“</w:t>
      </w:r>
      <w:r>
        <w:rPr>
          <w:rFonts w:ascii="Arial" w:eastAsia="仿宋_GB2312;仿宋" w:hAnsi="Arial" w:cs="Arial"/>
          <w:bCs/>
          <w:color w:val="000000"/>
          <w:sz w:val="28"/>
          <w:szCs w:val="28"/>
        </w:rPr>
        <w:t>两业融合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先进制造业和现代服务业融合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、现代基础设施产业、现代农业等</w:t>
      </w:r>
      <w:r>
        <w:rPr>
          <w:rFonts w:ascii="Arial" w:eastAsia="仿宋_GB2312;仿宋" w:hAnsi="Arial" w:cs="Arial"/>
          <w:bCs/>
          <w:color w:val="000000"/>
          <w:sz w:val="28"/>
          <w:szCs w:val="28"/>
        </w:rPr>
        <w:t>31</w:t>
      </w:r>
      <w:r>
        <w:rPr>
          <w:rFonts w:ascii="Arial" w:eastAsia="仿宋_GB2312;仿宋" w:hAnsi="Arial" w:cs="Arial"/>
          <w:bCs/>
          <w:color w:val="000000"/>
          <w:sz w:val="28"/>
          <w:szCs w:val="28"/>
        </w:rPr>
        <w:t>个重点行业，聚焦</w:t>
      </w:r>
      <w:r>
        <w:rPr>
          <w:rFonts w:ascii="Arial" w:eastAsia="仿宋_GB2312;仿宋" w:hAnsi="Arial" w:cs="Arial"/>
          <w:bCs/>
          <w:color w:val="000000"/>
          <w:sz w:val="28"/>
          <w:szCs w:val="28"/>
        </w:rPr>
        <w:t>16</w:t>
      </w:r>
      <w:r>
        <w:rPr>
          <w:rFonts w:ascii="Arial" w:eastAsia="仿宋_GB2312;仿宋" w:hAnsi="Arial" w:cs="Arial"/>
          <w:bCs/>
          <w:color w:val="000000"/>
          <w:sz w:val="28"/>
          <w:szCs w:val="28"/>
        </w:rPr>
        <w:t>个区和北京经济技术开发区的重点产业区域，全面展示各区、相关园区产业基础和资源禀赋优势。此次北京市</w:t>
      </w:r>
      <w:proofErr w:type="gramStart"/>
      <w:r>
        <w:rPr>
          <w:rFonts w:ascii="Arial" w:eastAsia="仿宋_GB2312;仿宋" w:hAnsi="Arial" w:cs="Arial"/>
          <w:bCs/>
          <w:color w:val="000000"/>
          <w:sz w:val="28"/>
          <w:szCs w:val="28"/>
        </w:rPr>
        <w:t>基于近</w:t>
      </w:r>
      <w:proofErr w:type="gramEnd"/>
      <w:r>
        <w:rPr>
          <w:rFonts w:ascii="Arial" w:eastAsia="仿宋_GB2312;仿宋" w:hAnsi="Arial" w:cs="Arial"/>
          <w:bCs/>
          <w:color w:val="000000"/>
          <w:sz w:val="28"/>
          <w:szCs w:val="28"/>
        </w:rPr>
        <w:t>3</w:t>
      </w:r>
      <w:r>
        <w:rPr>
          <w:rFonts w:ascii="Arial" w:eastAsia="仿宋_GB2312;仿宋" w:hAnsi="Arial" w:cs="Arial"/>
          <w:bCs/>
          <w:color w:val="000000"/>
          <w:sz w:val="28"/>
          <w:szCs w:val="28"/>
        </w:rPr>
        <w:t>年市级出台的相关产业政策，与产业地图同步推出政策导引，将具体政策核心条款、服务内容、办理流程、联系部门和电话提炼成</w:t>
      </w:r>
      <w:r>
        <w:rPr>
          <w:rFonts w:ascii="Arial" w:eastAsia="仿宋_GB2312;仿宋" w:hAnsi="Arial" w:cs="Arial"/>
          <w:bCs/>
          <w:color w:val="000000"/>
          <w:sz w:val="28"/>
          <w:szCs w:val="28"/>
        </w:rPr>
        <w:t>145</w:t>
      </w:r>
      <w:r>
        <w:rPr>
          <w:rFonts w:ascii="Arial" w:eastAsia="仿宋_GB2312;仿宋" w:hAnsi="Arial" w:cs="Arial"/>
          <w:bCs/>
          <w:color w:val="000000"/>
          <w:sz w:val="28"/>
          <w:szCs w:val="28"/>
        </w:rPr>
        <w:t>张政策工具应用指南卡片，其中</w:t>
      </w:r>
      <w:r>
        <w:rPr>
          <w:rFonts w:ascii="Arial" w:eastAsia="仿宋_GB2312;仿宋" w:hAnsi="Arial" w:cs="Arial"/>
          <w:bCs/>
          <w:color w:val="000000"/>
          <w:sz w:val="28"/>
          <w:szCs w:val="28"/>
        </w:rPr>
        <w:t>30</w:t>
      </w:r>
      <w:r>
        <w:rPr>
          <w:rFonts w:ascii="Arial" w:eastAsia="仿宋_GB2312;仿宋" w:hAnsi="Arial" w:cs="Arial"/>
          <w:bCs/>
          <w:color w:val="000000"/>
          <w:sz w:val="28"/>
          <w:szCs w:val="28"/>
        </w:rPr>
        <w:t>张与产业地图对应展示，形成</w:t>
      </w:r>
      <w:r>
        <w:rPr>
          <w:rFonts w:ascii="Arial" w:eastAsia="仿宋_GB2312;仿宋" w:hAnsi="Arial" w:cs="Arial"/>
          <w:bCs/>
          <w:color w:val="000000"/>
          <w:sz w:val="28"/>
          <w:szCs w:val="28"/>
        </w:rPr>
        <w:t>“</w:t>
      </w:r>
      <w:r>
        <w:rPr>
          <w:rFonts w:ascii="Arial" w:eastAsia="仿宋_GB2312;仿宋" w:hAnsi="Arial" w:cs="Arial"/>
          <w:bCs/>
          <w:color w:val="000000"/>
          <w:sz w:val="28"/>
          <w:szCs w:val="28"/>
        </w:rPr>
        <w:t>地图</w:t>
      </w:r>
      <w:r>
        <w:rPr>
          <w:rFonts w:ascii="Arial" w:eastAsia="仿宋_GB2312;仿宋" w:hAnsi="Arial" w:cs="Arial"/>
          <w:bCs/>
          <w:color w:val="000000"/>
          <w:sz w:val="28"/>
          <w:szCs w:val="28"/>
        </w:rPr>
        <w:t>+</w:t>
      </w:r>
      <w:r>
        <w:rPr>
          <w:rFonts w:ascii="Arial" w:eastAsia="仿宋_GB2312;仿宋" w:hAnsi="Arial" w:cs="Arial"/>
          <w:bCs/>
          <w:color w:val="000000"/>
          <w:sz w:val="28"/>
          <w:szCs w:val="28"/>
        </w:rPr>
        <w:t>政策</w:t>
      </w:r>
      <w:r>
        <w:rPr>
          <w:rFonts w:ascii="Arial" w:eastAsia="仿宋_GB2312;仿宋" w:hAnsi="Arial" w:cs="Arial"/>
          <w:bCs/>
          <w:color w:val="000000"/>
          <w:sz w:val="28"/>
          <w:szCs w:val="28"/>
        </w:rPr>
        <w:t>”</w:t>
      </w:r>
      <w:r>
        <w:rPr>
          <w:rFonts w:ascii="Arial" w:eastAsia="仿宋_GB2312;仿宋" w:hAnsi="Arial" w:cs="Arial"/>
          <w:bCs/>
          <w:color w:val="000000"/>
          <w:sz w:val="28"/>
          <w:szCs w:val="28"/>
        </w:rPr>
        <w:t>的立体化导引。</w:t>
      </w:r>
    </w:p>
    <w:p w14:paraId="4B0E8A0A"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税收政策：</w:t>
      </w:r>
    </w:p>
    <w:p w14:paraId="07D27D59"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年，按照党中央、国务院决策部署，税务总局会同财政部等部门先后发布了一系列延续优化创新实施的税费优惠政策，根据《财政部</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税务总局关于明确增值税小规模纳税人减免增值税等政策的公告》（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号）、《国家税务总局关于增值税小规模纳税人减免增值税等政策有关征管事项的公告》（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号），针对增值税小规模纳税人的优惠政策有：</w:t>
      </w:r>
      <w:r>
        <w:rPr>
          <w:rFonts w:ascii="Arial" w:eastAsia="仿宋_GB2312;仿宋" w:hAnsi="Arial" w:cs="Arial"/>
          <w:bCs/>
          <w:color w:val="000000"/>
          <w:sz w:val="28"/>
          <w:szCs w:val="28"/>
        </w:rPr>
        <w:t>①</w:t>
      </w:r>
      <w:r>
        <w:rPr>
          <w:rFonts w:ascii="Arial" w:eastAsia="仿宋_GB2312;仿宋" w:hAnsi="Arial" w:cs="Arial"/>
          <w:bCs/>
          <w:color w:val="000000"/>
          <w:sz w:val="28"/>
          <w:szCs w:val="28"/>
        </w:rPr>
        <w:t>增值税政策增值税小规模纳税人发生增值税应税销售行为，合计月销售额未超过</w:t>
      </w:r>
      <w:r>
        <w:rPr>
          <w:rFonts w:ascii="Arial" w:eastAsia="仿宋_GB2312;仿宋" w:hAnsi="Arial" w:cs="Arial"/>
          <w:bCs/>
          <w:color w:val="000000"/>
          <w:sz w:val="28"/>
          <w:szCs w:val="28"/>
        </w:rPr>
        <w:t>10</w:t>
      </w:r>
      <w:r>
        <w:rPr>
          <w:rFonts w:ascii="Arial" w:eastAsia="仿宋_GB2312;仿宋" w:hAnsi="Arial" w:cs="Arial"/>
          <w:bCs/>
          <w:color w:val="000000"/>
          <w:sz w:val="28"/>
          <w:szCs w:val="28"/>
        </w:rPr>
        <w:t>万元（以</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个季度为</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个纳税期的，季度销售额未超过</w:t>
      </w:r>
      <w:r>
        <w:rPr>
          <w:rFonts w:ascii="Arial" w:eastAsia="仿宋_GB2312;仿宋" w:hAnsi="Arial" w:cs="Arial"/>
          <w:bCs/>
          <w:color w:val="000000"/>
          <w:sz w:val="28"/>
          <w:szCs w:val="28"/>
        </w:rPr>
        <w:t>30</w:t>
      </w:r>
      <w:r>
        <w:rPr>
          <w:rFonts w:ascii="Arial" w:eastAsia="仿宋_GB2312;仿宋" w:hAnsi="Arial" w:cs="Arial"/>
          <w:bCs/>
          <w:color w:val="000000"/>
          <w:sz w:val="28"/>
          <w:szCs w:val="28"/>
        </w:rPr>
        <w:t>万元，下同）的，免征增值税。</w:t>
      </w:r>
      <w:r>
        <w:rPr>
          <w:rFonts w:ascii="Arial" w:eastAsia="仿宋_GB2312;仿宋" w:hAnsi="Arial" w:cs="Arial"/>
          <w:bCs/>
          <w:color w:val="000000"/>
          <w:sz w:val="28"/>
          <w:szCs w:val="28"/>
        </w:rPr>
        <w:t>②</w:t>
      </w:r>
      <w:r>
        <w:rPr>
          <w:rFonts w:ascii="Arial" w:eastAsia="仿宋_GB2312;仿宋" w:hAnsi="Arial" w:cs="Arial"/>
          <w:bCs/>
          <w:color w:val="000000"/>
          <w:sz w:val="28"/>
          <w:szCs w:val="28"/>
        </w:rPr>
        <w:t>自</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w:t>
      </w:r>
      <w:r>
        <w:rPr>
          <w:rFonts w:ascii="Arial" w:eastAsia="仿宋_GB2312;仿宋" w:hAnsi="Arial" w:cs="Arial"/>
          <w:bCs/>
          <w:color w:val="000000"/>
          <w:sz w:val="28"/>
          <w:szCs w:val="28"/>
        </w:rPr>
        <w:t>日至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日，增值税小规模纳税人适用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征收率的应税销售收入，减按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征收率征收增值税；适用</w:t>
      </w:r>
      <w:r>
        <w:rPr>
          <w:rFonts w:ascii="Arial" w:eastAsia="仿宋_GB2312;仿宋" w:hAnsi="Arial" w:cs="Arial"/>
          <w:bCs/>
          <w:color w:val="000000"/>
          <w:sz w:val="28"/>
          <w:szCs w:val="28"/>
        </w:rPr>
        <w:t>3%</w:t>
      </w:r>
      <w:proofErr w:type="gramStart"/>
      <w:r>
        <w:rPr>
          <w:rFonts w:ascii="Arial" w:eastAsia="仿宋_GB2312;仿宋" w:hAnsi="Arial" w:cs="Arial"/>
          <w:bCs/>
          <w:color w:val="000000"/>
          <w:sz w:val="28"/>
          <w:szCs w:val="28"/>
        </w:rPr>
        <w:t>预征率</w:t>
      </w:r>
      <w:proofErr w:type="gramEnd"/>
      <w:r>
        <w:rPr>
          <w:rFonts w:ascii="Arial" w:eastAsia="仿宋_GB2312;仿宋" w:hAnsi="Arial" w:cs="Arial"/>
          <w:bCs/>
          <w:color w:val="000000"/>
          <w:sz w:val="28"/>
          <w:szCs w:val="28"/>
        </w:rPr>
        <w:t>的预缴增值税项目，减按</w:t>
      </w:r>
      <w:r>
        <w:rPr>
          <w:rFonts w:ascii="Arial" w:eastAsia="仿宋_GB2312;仿宋" w:hAnsi="Arial" w:cs="Arial"/>
          <w:bCs/>
          <w:color w:val="000000"/>
          <w:sz w:val="28"/>
          <w:szCs w:val="28"/>
        </w:rPr>
        <w:t>1%</w:t>
      </w:r>
      <w:proofErr w:type="gramStart"/>
      <w:r>
        <w:rPr>
          <w:rFonts w:ascii="Arial" w:eastAsia="仿宋_GB2312;仿宋" w:hAnsi="Arial" w:cs="Arial"/>
          <w:bCs/>
          <w:color w:val="000000"/>
          <w:sz w:val="28"/>
          <w:szCs w:val="28"/>
        </w:rPr>
        <w:t>预征率</w:t>
      </w:r>
      <w:proofErr w:type="gramEnd"/>
      <w:r>
        <w:rPr>
          <w:rFonts w:ascii="Arial" w:eastAsia="仿宋_GB2312;仿宋" w:hAnsi="Arial" w:cs="Arial"/>
          <w:bCs/>
          <w:color w:val="000000"/>
          <w:sz w:val="28"/>
          <w:szCs w:val="28"/>
        </w:rPr>
        <w:t>预缴增值税。</w:t>
      </w:r>
    </w:p>
    <w:p w14:paraId="311F7F66"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金融政策：</w:t>
      </w:r>
    </w:p>
    <w:p w14:paraId="20672B26"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2022</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月，北京市发布《</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年度高精尖产业发展资金实施指南》（以下简称</w:t>
      </w:r>
      <w:r>
        <w:rPr>
          <w:rFonts w:ascii="Arial" w:eastAsia="仿宋_GB2312;仿宋" w:hAnsi="Arial" w:cs="Arial"/>
          <w:bCs/>
          <w:color w:val="000000"/>
          <w:sz w:val="28"/>
          <w:szCs w:val="28"/>
        </w:rPr>
        <w:t>‘</w:t>
      </w:r>
      <w:r>
        <w:rPr>
          <w:rFonts w:ascii="Arial" w:eastAsia="仿宋_GB2312;仿宋" w:hAnsi="Arial" w:cs="Arial"/>
          <w:bCs/>
          <w:color w:val="000000"/>
          <w:sz w:val="28"/>
          <w:szCs w:val="28"/>
        </w:rPr>
        <w:t>实施指南</w:t>
      </w:r>
      <w:r>
        <w:rPr>
          <w:rFonts w:ascii="Arial" w:eastAsia="仿宋_GB2312;仿宋" w:hAnsi="Arial" w:cs="Arial"/>
          <w:bCs/>
          <w:color w:val="000000"/>
          <w:sz w:val="28"/>
          <w:szCs w:val="28"/>
        </w:rPr>
        <w:t>’</w:t>
      </w:r>
      <w:r>
        <w:rPr>
          <w:rFonts w:ascii="Arial" w:eastAsia="仿宋_GB2312;仿宋" w:hAnsi="Arial" w:cs="Arial"/>
          <w:bCs/>
          <w:color w:val="000000"/>
          <w:sz w:val="28"/>
          <w:szCs w:val="28"/>
        </w:rPr>
        <w:t>），进一步加大普惠性产业资金支持力度。《实施指南》明确，</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年支持方向主要是高端智能绿色发展和高精尖产业平稳发展两方面，具体分为重点新材料首批</w:t>
      </w:r>
      <w:proofErr w:type="gramStart"/>
      <w:r>
        <w:rPr>
          <w:rFonts w:ascii="Arial" w:eastAsia="仿宋_GB2312;仿宋" w:hAnsi="Arial" w:cs="Arial"/>
          <w:bCs/>
          <w:color w:val="000000"/>
          <w:sz w:val="28"/>
          <w:szCs w:val="28"/>
        </w:rPr>
        <w:t>次应用</w:t>
      </w:r>
      <w:proofErr w:type="gramEnd"/>
      <w:r>
        <w:rPr>
          <w:rFonts w:ascii="Arial" w:eastAsia="仿宋_GB2312;仿宋" w:hAnsi="Arial" w:cs="Arial"/>
          <w:bCs/>
          <w:color w:val="000000"/>
          <w:sz w:val="28"/>
          <w:szCs w:val="28"/>
        </w:rPr>
        <w:t>奖励、医药创新品种首试产奖励等</w:t>
      </w:r>
      <w:r>
        <w:rPr>
          <w:rFonts w:ascii="Arial" w:eastAsia="仿宋_GB2312;仿宋" w:hAnsi="Arial" w:cs="Arial"/>
          <w:bCs/>
          <w:color w:val="000000"/>
          <w:sz w:val="28"/>
          <w:szCs w:val="28"/>
        </w:rPr>
        <w:t>12</w:t>
      </w:r>
      <w:r>
        <w:rPr>
          <w:rFonts w:ascii="Arial" w:eastAsia="仿宋_GB2312;仿宋" w:hAnsi="Arial" w:cs="Arial"/>
          <w:bCs/>
          <w:color w:val="000000"/>
          <w:sz w:val="28"/>
          <w:szCs w:val="28"/>
        </w:rPr>
        <w:t>个细分方向。高精尖资金将坚持</w:t>
      </w:r>
      <w:r>
        <w:rPr>
          <w:rFonts w:ascii="Arial" w:eastAsia="仿宋_GB2312;仿宋" w:hAnsi="Arial" w:cs="Arial"/>
          <w:bCs/>
          <w:color w:val="000000"/>
          <w:sz w:val="28"/>
          <w:szCs w:val="28"/>
        </w:rPr>
        <w:t>“</w:t>
      </w:r>
      <w:r>
        <w:rPr>
          <w:rFonts w:ascii="Arial" w:eastAsia="仿宋_GB2312;仿宋" w:hAnsi="Arial" w:cs="Arial"/>
          <w:bCs/>
          <w:color w:val="000000"/>
          <w:sz w:val="28"/>
          <w:szCs w:val="28"/>
        </w:rPr>
        <w:t>普惠共享</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支持原则，采取明确标准、达标即享的方式，进一步优化申报流程，确保对达标企业给予支持，扩大资金支持覆盖面，提高资金使用透明度。《实施指南》强调，要更加注重发挥有为政府和有效市场的双重作用，提升资金</w:t>
      </w:r>
      <w:r>
        <w:rPr>
          <w:rFonts w:ascii="Arial" w:eastAsia="仿宋_GB2312;仿宋" w:hAnsi="Arial" w:cs="Arial"/>
          <w:bCs/>
          <w:color w:val="000000"/>
          <w:sz w:val="28"/>
          <w:szCs w:val="28"/>
        </w:rPr>
        <w:t>“</w:t>
      </w:r>
      <w:r>
        <w:rPr>
          <w:rFonts w:ascii="Arial" w:eastAsia="仿宋_GB2312;仿宋" w:hAnsi="Arial" w:cs="Arial"/>
          <w:bCs/>
          <w:color w:val="000000"/>
          <w:sz w:val="28"/>
          <w:szCs w:val="28"/>
        </w:rPr>
        <w:t>四两拨千斤</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的政策效能，更加有力地服务支撑本市制造业高质量发展，为稳定经济增长和促进产业转型升级发挥积极作用。</w:t>
      </w:r>
    </w:p>
    <w:p w14:paraId="30EF0209"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4.</w:t>
      </w:r>
      <w:r>
        <w:rPr>
          <w:rFonts w:ascii="Arial" w:eastAsia="仿宋_GB2312;仿宋" w:hAnsi="Arial" w:cs="Arial"/>
          <w:bCs/>
          <w:sz w:val="28"/>
          <w:szCs w:val="28"/>
        </w:rPr>
        <w:t>城市规划与发展目标</w:t>
      </w:r>
    </w:p>
    <w:p w14:paraId="5C2DD3B5"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《北京市国民经济和社会发展第十四个五年规划和二〇三五年远景目标纲要》（以下简称《纲要》）的指导思想，是要统筹推进</w:t>
      </w:r>
      <w:r>
        <w:rPr>
          <w:rFonts w:ascii="Arial" w:eastAsia="仿宋_GB2312;仿宋" w:hAnsi="Arial" w:cs="Arial"/>
          <w:bCs/>
          <w:sz w:val="28"/>
          <w:szCs w:val="28"/>
        </w:rPr>
        <w:t>“</w:t>
      </w:r>
      <w:r>
        <w:rPr>
          <w:rFonts w:ascii="Arial" w:eastAsia="仿宋_GB2312;仿宋" w:hAnsi="Arial" w:cs="Arial"/>
          <w:bCs/>
          <w:sz w:val="28"/>
          <w:szCs w:val="28"/>
        </w:rPr>
        <w:t>五位一体</w:t>
      </w:r>
      <w:r>
        <w:rPr>
          <w:rFonts w:ascii="Arial" w:eastAsia="仿宋_GB2312;仿宋" w:hAnsi="Arial" w:cs="Arial"/>
          <w:bCs/>
          <w:sz w:val="28"/>
          <w:szCs w:val="28"/>
        </w:rPr>
        <w:t>”</w:t>
      </w:r>
      <w:r>
        <w:rPr>
          <w:rFonts w:ascii="Arial" w:eastAsia="仿宋_GB2312;仿宋" w:hAnsi="Arial" w:cs="Arial"/>
          <w:bCs/>
          <w:sz w:val="28"/>
          <w:szCs w:val="28"/>
        </w:rPr>
        <w:t>总体布局，协调推进</w:t>
      </w:r>
      <w:r>
        <w:rPr>
          <w:rFonts w:ascii="Arial" w:eastAsia="仿宋_GB2312;仿宋" w:hAnsi="Arial" w:cs="Arial"/>
          <w:bCs/>
          <w:sz w:val="28"/>
          <w:szCs w:val="28"/>
        </w:rPr>
        <w:t>“</w:t>
      </w:r>
      <w:r>
        <w:rPr>
          <w:rFonts w:ascii="Arial" w:eastAsia="仿宋_GB2312;仿宋" w:hAnsi="Arial" w:cs="Arial"/>
          <w:bCs/>
          <w:sz w:val="28"/>
          <w:szCs w:val="28"/>
        </w:rPr>
        <w:t>四个全面</w:t>
      </w:r>
      <w:r>
        <w:rPr>
          <w:rFonts w:ascii="Arial" w:eastAsia="仿宋_GB2312;仿宋" w:hAnsi="Arial" w:cs="Arial"/>
          <w:bCs/>
          <w:sz w:val="28"/>
          <w:szCs w:val="28"/>
        </w:rPr>
        <w:t>”</w:t>
      </w:r>
      <w:r>
        <w:rPr>
          <w:rFonts w:ascii="Arial" w:eastAsia="仿宋_GB2312;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仿宋" w:hAnsi="Arial" w:cs="Arial"/>
          <w:bCs/>
          <w:sz w:val="28"/>
          <w:szCs w:val="28"/>
        </w:rPr>
        <w:t>疏解非首都</w:t>
      </w:r>
      <w:proofErr w:type="gramEnd"/>
      <w:r>
        <w:rPr>
          <w:rFonts w:ascii="Arial" w:eastAsia="仿宋_GB2312;仿宋" w:hAnsi="Arial" w:cs="Arial"/>
          <w:bCs/>
          <w:sz w:val="28"/>
          <w:szCs w:val="28"/>
        </w:rPr>
        <w:t>功能为</w:t>
      </w:r>
      <w:r>
        <w:rPr>
          <w:rFonts w:ascii="Arial" w:eastAsia="仿宋_GB2312;仿宋" w:hAnsi="Arial" w:cs="Arial"/>
          <w:bCs/>
          <w:sz w:val="28"/>
          <w:szCs w:val="28"/>
        </w:rPr>
        <w:t>“</w:t>
      </w:r>
      <w:r>
        <w:rPr>
          <w:rFonts w:ascii="Arial" w:eastAsia="仿宋_GB2312;仿宋" w:hAnsi="Arial" w:cs="Arial"/>
          <w:bCs/>
          <w:sz w:val="28"/>
          <w:szCs w:val="28"/>
        </w:rPr>
        <w:t>牛鼻子</w:t>
      </w:r>
      <w:r>
        <w:rPr>
          <w:rFonts w:ascii="Arial" w:eastAsia="仿宋_GB2312;仿宋" w:hAnsi="Arial" w:cs="Arial"/>
          <w:bCs/>
          <w:sz w:val="28"/>
          <w:szCs w:val="28"/>
        </w:rPr>
        <w:t>”</w:t>
      </w:r>
      <w:r>
        <w:rPr>
          <w:rFonts w:ascii="Arial" w:eastAsia="仿宋_GB2312;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651FA8AF"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《纲要》提出，</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时期要坚决落实创新在现代化建设全局中的核心地位。加快建设</w:t>
      </w:r>
      <w:r>
        <w:rPr>
          <w:rFonts w:ascii="Arial" w:eastAsia="仿宋_GB2312;仿宋" w:hAnsi="Arial" w:cs="Arial"/>
          <w:bCs/>
          <w:sz w:val="28"/>
          <w:szCs w:val="28"/>
        </w:rPr>
        <w:t>“</w:t>
      </w:r>
      <w:r>
        <w:rPr>
          <w:rFonts w:ascii="Arial" w:eastAsia="仿宋_GB2312;仿宋" w:hAnsi="Arial" w:cs="Arial"/>
          <w:bCs/>
          <w:sz w:val="28"/>
          <w:szCs w:val="28"/>
        </w:rPr>
        <w:t>三城一区</w:t>
      </w:r>
      <w:r>
        <w:rPr>
          <w:rFonts w:ascii="Arial" w:eastAsia="仿宋_GB2312;仿宋" w:hAnsi="Arial" w:cs="Arial"/>
          <w:bCs/>
          <w:sz w:val="28"/>
          <w:szCs w:val="28"/>
        </w:rPr>
        <w:t>”</w:t>
      </w:r>
      <w:r>
        <w:rPr>
          <w:rFonts w:ascii="Arial" w:eastAsia="仿宋_GB2312;仿宋" w:hAnsi="Arial" w:cs="Arial"/>
          <w:bCs/>
          <w:sz w:val="28"/>
          <w:szCs w:val="28"/>
        </w:rPr>
        <w:t>主平台和中关村示范区主阵地：</w:t>
      </w:r>
      <w:r>
        <w:rPr>
          <w:rFonts w:ascii="Arial" w:eastAsia="仿宋_GB2312;仿宋" w:hAnsi="Arial" w:cs="Arial"/>
          <w:bCs/>
          <w:sz w:val="28"/>
          <w:szCs w:val="28"/>
        </w:rPr>
        <w:t>1.</w:t>
      </w:r>
      <w:r>
        <w:rPr>
          <w:rFonts w:ascii="Arial" w:eastAsia="仿宋_GB2312;仿宋" w:hAnsi="Arial" w:cs="Arial"/>
          <w:bCs/>
          <w:sz w:val="28"/>
          <w:szCs w:val="28"/>
        </w:rPr>
        <w:t>聚焦中关村科学城，立足</w:t>
      </w:r>
      <w:r>
        <w:rPr>
          <w:rFonts w:ascii="Arial" w:eastAsia="仿宋_GB2312;仿宋" w:hAnsi="Arial" w:cs="Arial"/>
          <w:bCs/>
          <w:sz w:val="28"/>
          <w:szCs w:val="28"/>
        </w:rPr>
        <w:t>“</w:t>
      </w:r>
      <w:r>
        <w:rPr>
          <w:rFonts w:ascii="Arial" w:eastAsia="仿宋_GB2312;仿宋" w:hAnsi="Arial" w:cs="Arial"/>
          <w:bCs/>
          <w:sz w:val="28"/>
          <w:szCs w:val="28"/>
        </w:rPr>
        <w:t>一轴</w:t>
      </w:r>
      <w:proofErr w:type="gramStart"/>
      <w:r>
        <w:rPr>
          <w:rFonts w:ascii="Arial" w:eastAsia="仿宋_GB2312;仿宋" w:hAnsi="Arial" w:cs="Arial"/>
          <w:bCs/>
          <w:sz w:val="28"/>
          <w:szCs w:val="28"/>
        </w:rPr>
        <w:t>一</w:t>
      </w:r>
      <w:proofErr w:type="gramEnd"/>
      <w:r>
        <w:rPr>
          <w:rFonts w:ascii="Arial" w:eastAsia="仿宋_GB2312;仿宋" w:hAnsi="Arial" w:cs="Arial"/>
          <w:bCs/>
          <w:sz w:val="28"/>
          <w:szCs w:val="28"/>
        </w:rPr>
        <w:t>廊一带，一极多组团多节点</w:t>
      </w:r>
      <w:r>
        <w:rPr>
          <w:rFonts w:ascii="Arial" w:eastAsia="仿宋_GB2312;仿宋" w:hAnsi="Arial" w:cs="Arial"/>
          <w:bCs/>
          <w:sz w:val="28"/>
          <w:szCs w:val="28"/>
        </w:rPr>
        <w:t>”</w:t>
      </w:r>
      <w:r>
        <w:rPr>
          <w:rFonts w:ascii="Arial" w:eastAsia="仿宋_GB2312;仿宋" w:hAnsi="Arial" w:cs="Arial"/>
          <w:bCs/>
          <w:sz w:val="28"/>
          <w:szCs w:val="28"/>
        </w:rPr>
        <w:t>，持续推动产业与空间高效匹配。在中关村科学城北区建设国际创新创业示范区，</w:t>
      </w:r>
      <w:proofErr w:type="gramStart"/>
      <w:r>
        <w:rPr>
          <w:rFonts w:ascii="Arial" w:eastAsia="仿宋_GB2312;仿宋" w:hAnsi="Arial" w:cs="Arial"/>
          <w:bCs/>
          <w:sz w:val="28"/>
          <w:szCs w:val="28"/>
        </w:rPr>
        <w:t>搭建全</w:t>
      </w:r>
      <w:proofErr w:type="gramEnd"/>
      <w:r>
        <w:rPr>
          <w:rFonts w:ascii="Arial" w:eastAsia="仿宋_GB2312;仿宋" w:hAnsi="Arial" w:cs="Arial"/>
          <w:bCs/>
          <w:sz w:val="28"/>
          <w:szCs w:val="28"/>
        </w:rPr>
        <w:t>链条、专业化、国际化的综合服务平台，持续优化国际化宜</w:t>
      </w:r>
      <w:proofErr w:type="gramStart"/>
      <w:r>
        <w:rPr>
          <w:rFonts w:ascii="Arial" w:eastAsia="仿宋_GB2312;仿宋" w:hAnsi="Arial" w:cs="Arial"/>
          <w:bCs/>
          <w:sz w:val="28"/>
          <w:szCs w:val="28"/>
        </w:rPr>
        <w:t>居宜业</w:t>
      </w:r>
      <w:proofErr w:type="gramEnd"/>
      <w:r>
        <w:rPr>
          <w:rFonts w:ascii="Arial" w:eastAsia="仿宋_GB2312;仿宋" w:hAnsi="Arial" w:cs="Arial"/>
          <w:bCs/>
          <w:sz w:val="28"/>
          <w:szCs w:val="28"/>
        </w:rPr>
        <w:t>环境，打造北京国际科技创新中心建设新的重要支撑和新增长极。</w:t>
      </w:r>
      <w:r>
        <w:rPr>
          <w:rFonts w:ascii="Arial" w:eastAsia="仿宋_GB2312;仿宋" w:hAnsi="Arial" w:cs="Arial"/>
          <w:bCs/>
          <w:sz w:val="28"/>
          <w:szCs w:val="28"/>
        </w:rPr>
        <w:t>2.</w:t>
      </w:r>
      <w:r>
        <w:rPr>
          <w:rFonts w:ascii="Arial" w:eastAsia="仿宋_GB2312;仿宋" w:hAnsi="Arial" w:cs="Arial"/>
          <w:bCs/>
          <w:sz w:val="28"/>
          <w:szCs w:val="28"/>
        </w:rPr>
        <w:t>突破怀柔科学城，以支撑北京怀柔综合性国家科学中心建设为核心，体系化布局一批设施平台、创新主体。突出科学功能适度集聚与城市发展集约高效的有机融合。聚焦</w:t>
      </w:r>
      <w:r>
        <w:rPr>
          <w:rFonts w:ascii="Arial" w:eastAsia="仿宋_GB2312;仿宋" w:hAnsi="Arial" w:cs="Arial"/>
          <w:bCs/>
          <w:sz w:val="28"/>
          <w:szCs w:val="28"/>
        </w:rPr>
        <w:t>“</w:t>
      </w:r>
      <w:r>
        <w:rPr>
          <w:rFonts w:ascii="Arial" w:eastAsia="仿宋_GB2312;仿宋" w:hAnsi="Arial" w:cs="Arial"/>
          <w:bCs/>
          <w:sz w:val="28"/>
          <w:szCs w:val="28"/>
        </w:rPr>
        <w:t>一心一核</w:t>
      </w:r>
      <w:r>
        <w:rPr>
          <w:rFonts w:ascii="Arial" w:eastAsia="仿宋_GB2312;仿宋" w:hAnsi="Arial" w:cs="Arial"/>
          <w:bCs/>
          <w:sz w:val="28"/>
          <w:szCs w:val="28"/>
        </w:rPr>
        <w:t>”</w:t>
      </w:r>
      <w:r>
        <w:rPr>
          <w:rFonts w:ascii="Arial" w:eastAsia="仿宋_GB2312;仿宋" w:hAnsi="Arial" w:cs="Arial"/>
          <w:bCs/>
          <w:sz w:val="28"/>
          <w:szCs w:val="28"/>
        </w:rPr>
        <w:t>，实施城市客厅等一批城市框架起步区品质提升工程。完善</w:t>
      </w:r>
      <w:r>
        <w:rPr>
          <w:rFonts w:ascii="Arial" w:eastAsia="仿宋_GB2312;仿宋" w:hAnsi="Arial" w:cs="Arial"/>
          <w:bCs/>
          <w:sz w:val="28"/>
          <w:szCs w:val="28"/>
        </w:rPr>
        <w:t>“</w:t>
      </w:r>
      <w:r>
        <w:rPr>
          <w:rFonts w:ascii="Arial" w:eastAsia="仿宋_GB2312;仿宋" w:hAnsi="Arial" w:cs="Arial"/>
          <w:bCs/>
          <w:sz w:val="28"/>
          <w:szCs w:val="28"/>
        </w:rPr>
        <w:t>三片</w:t>
      </w:r>
      <w:r>
        <w:rPr>
          <w:rFonts w:ascii="Arial" w:eastAsia="仿宋_GB2312;仿宋" w:hAnsi="Arial" w:cs="Arial"/>
          <w:bCs/>
          <w:sz w:val="28"/>
          <w:szCs w:val="28"/>
        </w:rPr>
        <w:t>”</w:t>
      </w:r>
      <w:r>
        <w:rPr>
          <w:rFonts w:ascii="Arial" w:eastAsia="仿宋_GB2312;仿宋" w:hAnsi="Arial" w:cs="Arial"/>
          <w:bCs/>
          <w:sz w:val="28"/>
          <w:szCs w:val="28"/>
        </w:rPr>
        <w:t>功能布局。推进怀柔南站交通接驳工程，布局雁栖小镇等重大项目，推进雁</w:t>
      </w:r>
      <w:proofErr w:type="gramStart"/>
      <w:r>
        <w:rPr>
          <w:rFonts w:ascii="Arial" w:eastAsia="仿宋_GB2312;仿宋" w:hAnsi="Arial" w:cs="Arial"/>
          <w:bCs/>
          <w:sz w:val="28"/>
          <w:szCs w:val="28"/>
        </w:rPr>
        <w:t>栖国际</w:t>
      </w:r>
      <w:proofErr w:type="gramEnd"/>
      <w:r>
        <w:rPr>
          <w:rFonts w:ascii="Arial" w:eastAsia="仿宋_GB2312;仿宋" w:hAnsi="Arial" w:cs="Arial"/>
          <w:bCs/>
          <w:sz w:val="28"/>
          <w:szCs w:val="28"/>
        </w:rPr>
        <w:t>人才社区建设，完善多类型分层次住房保障体系。</w:t>
      </w:r>
      <w:r>
        <w:rPr>
          <w:rFonts w:ascii="Arial" w:eastAsia="仿宋_GB2312;仿宋" w:hAnsi="Arial" w:cs="Arial"/>
          <w:bCs/>
          <w:sz w:val="28"/>
          <w:szCs w:val="28"/>
        </w:rPr>
        <w:t xml:space="preserve">3. </w:t>
      </w:r>
      <w:r>
        <w:rPr>
          <w:rFonts w:ascii="Arial" w:eastAsia="仿宋_GB2312;仿宋" w:hAnsi="Arial" w:cs="Arial"/>
          <w:bCs/>
          <w:sz w:val="28"/>
          <w:szCs w:val="28"/>
        </w:rPr>
        <w:t>搞活未来科学城，依托</w:t>
      </w:r>
      <w:r>
        <w:rPr>
          <w:rFonts w:ascii="Arial" w:eastAsia="仿宋_GB2312;仿宋" w:hAnsi="Arial" w:cs="Arial"/>
          <w:bCs/>
          <w:sz w:val="28"/>
          <w:szCs w:val="28"/>
        </w:rPr>
        <w:t>“</w:t>
      </w:r>
      <w:r>
        <w:rPr>
          <w:rFonts w:ascii="Arial" w:eastAsia="仿宋_GB2312;仿宋" w:hAnsi="Arial" w:cs="Arial"/>
          <w:bCs/>
          <w:sz w:val="28"/>
          <w:szCs w:val="28"/>
        </w:rPr>
        <w:t>两谷一园</w:t>
      </w:r>
      <w:r>
        <w:rPr>
          <w:rFonts w:ascii="Arial" w:eastAsia="仿宋_GB2312;仿宋" w:hAnsi="Arial" w:cs="Arial"/>
          <w:bCs/>
          <w:sz w:val="28"/>
          <w:szCs w:val="28"/>
        </w:rPr>
        <w:t>”</w:t>
      </w:r>
      <w:r>
        <w:rPr>
          <w:rFonts w:ascii="Arial" w:eastAsia="仿宋_GB2312;仿宋" w:hAnsi="Arial" w:cs="Arial"/>
          <w:bCs/>
          <w:sz w:val="28"/>
          <w:szCs w:val="28"/>
        </w:rPr>
        <w:t>，积极营造</w:t>
      </w:r>
      <w:r>
        <w:rPr>
          <w:rFonts w:ascii="Arial" w:eastAsia="仿宋_GB2312;仿宋" w:hAnsi="Arial" w:cs="Arial"/>
          <w:bCs/>
          <w:sz w:val="28"/>
          <w:szCs w:val="28"/>
        </w:rPr>
        <w:t>“</w:t>
      </w:r>
      <w:r>
        <w:rPr>
          <w:rFonts w:ascii="Arial" w:eastAsia="仿宋_GB2312;仿宋" w:hAnsi="Arial" w:cs="Arial"/>
          <w:bCs/>
          <w:sz w:val="28"/>
          <w:szCs w:val="28"/>
        </w:rPr>
        <w:t>龙头企业</w:t>
      </w:r>
      <w:r>
        <w:rPr>
          <w:rFonts w:ascii="Arial" w:eastAsia="仿宋_GB2312;仿宋" w:hAnsi="Arial" w:cs="Arial"/>
          <w:bCs/>
          <w:sz w:val="28"/>
          <w:szCs w:val="28"/>
        </w:rPr>
        <w:t>+</w:t>
      </w:r>
      <w:r>
        <w:rPr>
          <w:rFonts w:ascii="Arial" w:eastAsia="仿宋_GB2312;仿宋" w:hAnsi="Arial" w:cs="Arial"/>
          <w:bCs/>
          <w:sz w:val="28"/>
          <w:szCs w:val="28"/>
        </w:rPr>
        <w:t>中小创新企业</w:t>
      </w:r>
      <w:r>
        <w:rPr>
          <w:rFonts w:ascii="Arial" w:eastAsia="Arial" w:hAnsi="Arial" w:cs="Arial"/>
          <w:bCs/>
          <w:sz w:val="28"/>
          <w:szCs w:val="28"/>
        </w:rPr>
        <w:t xml:space="preserve"> </w:t>
      </w:r>
      <w:r>
        <w:rPr>
          <w:rFonts w:ascii="Arial" w:eastAsia="仿宋_GB2312;仿宋" w:hAnsi="Arial" w:cs="Arial"/>
          <w:bCs/>
          <w:sz w:val="28"/>
          <w:szCs w:val="28"/>
        </w:rPr>
        <w:t>+</w:t>
      </w:r>
      <w:r>
        <w:rPr>
          <w:rFonts w:ascii="Arial" w:eastAsia="仿宋_GB2312;仿宋" w:hAnsi="Arial" w:cs="Arial"/>
          <w:bCs/>
          <w:sz w:val="28"/>
          <w:szCs w:val="28"/>
        </w:rPr>
        <w:t>公共服务平台</w:t>
      </w:r>
      <w:r>
        <w:rPr>
          <w:rFonts w:ascii="Arial" w:eastAsia="仿宋_GB2312;仿宋" w:hAnsi="Arial" w:cs="Arial"/>
          <w:bCs/>
          <w:sz w:val="28"/>
          <w:szCs w:val="28"/>
        </w:rPr>
        <w:t>+</w:t>
      </w:r>
      <w:r>
        <w:rPr>
          <w:rFonts w:ascii="Arial" w:eastAsia="仿宋_GB2312;仿宋" w:hAnsi="Arial" w:cs="Arial"/>
          <w:bCs/>
          <w:sz w:val="28"/>
          <w:szCs w:val="28"/>
        </w:rPr>
        <w:t>高校</w:t>
      </w:r>
      <w:r>
        <w:rPr>
          <w:rFonts w:ascii="Arial" w:eastAsia="仿宋_GB2312;仿宋" w:hAnsi="Arial" w:cs="Arial"/>
          <w:bCs/>
          <w:sz w:val="28"/>
          <w:szCs w:val="28"/>
        </w:rPr>
        <w:t>”</w:t>
      </w:r>
      <w:r>
        <w:rPr>
          <w:rFonts w:ascii="Arial" w:eastAsia="仿宋_GB2312;仿宋" w:hAnsi="Arial" w:cs="Arial"/>
          <w:bCs/>
          <w:sz w:val="28"/>
          <w:szCs w:val="28"/>
        </w:rPr>
        <w:t>的创新生态。加快</w:t>
      </w:r>
      <w:r>
        <w:rPr>
          <w:rFonts w:ascii="Arial" w:eastAsia="仿宋_GB2312;仿宋" w:hAnsi="Arial" w:cs="Arial"/>
          <w:bCs/>
          <w:sz w:val="28"/>
          <w:szCs w:val="28"/>
        </w:rPr>
        <w:t>“</w:t>
      </w:r>
      <w:r>
        <w:rPr>
          <w:rFonts w:ascii="Arial" w:eastAsia="仿宋_GB2312;仿宋" w:hAnsi="Arial" w:cs="Arial"/>
          <w:bCs/>
          <w:sz w:val="28"/>
          <w:szCs w:val="28"/>
        </w:rPr>
        <w:t>能源谷</w:t>
      </w:r>
      <w:r>
        <w:rPr>
          <w:rFonts w:ascii="Arial" w:eastAsia="仿宋_GB2312;仿宋" w:hAnsi="Arial" w:cs="Arial"/>
          <w:bCs/>
          <w:sz w:val="28"/>
          <w:szCs w:val="28"/>
        </w:rPr>
        <w:t>”</w:t>
      </w:r>
      <w:r>
        <w:rPr>
          <w:rFonts w:ascii="Arial" w:eastAsia="仿宋_GB2312;仿宋" w:hAnsi="Arial" w:cs="Arial"/>
          <w:bCs/>
          <w:sz w:val="28"/>
          <w:szCs w:val="28"/>
        </w:rPr>
        <w:t>建设，</w:t>
      </w:r>
      <w:r>
        <w:rPr>
          <w:rFonts w:ascii="Arial" w:eastAsia="仿宋_GB2312;仿宋" w:hAnsi="Arial" w:cs="Arial"/>
          <w:bCs/>
          <w:sz w:val="28"/>
          <w:szCs w:val="28"/>
        </w:rPr>
        <w:t>“</w:t>
      </w:r>
      <w:proofErr w:type="gramStart"/>
      <w:r>
        <w:rPr>
          <w:rFonts w:ascii="Arial" w:eastAsia="仿宋_GB2312;仿宋" w:hAnsi="Arial" w:cs="Arial"/>
          <w:bCs/>
          <w:sz w:val="28"/>
          <w:szCs w:val="28"/>
        </w:rPr>
        <w:t>一</w:t>
      </w:r>
      <w:proofErr w:type="gramEnd"/>
      <w:r>
        <w:rPr>
          <w:rFonts w:ascii="Arial" w:eastAsia="仿宋_GB2312;仿宋" w:hAnsi="Arial" w:cs="Arial"/>
          <w:bCs/>
          <w:sz w:val="28"/>
          <w:szCs w:val="28"/>
        </w:rPr>
        <w:t>企</w:t>
      </w:r>
      <w:proofErr w:type="gramStart"/>
      <w:r>
        <w:rPr>
          <w:rFonts w:ascii="Arial" w:eastAsia="仿宋_GB2312;仿宋" w:hAnsi="Arial" w:cs="Arial"/>
          <w:bCs/>
          <w:sz w:val="28"/>
          <w:szCs w:val="28"/>
        </w:rPr>
        <w:t>一</w:t>
      </w:r>
      <w:proofErr w:type="gramEnd"/>
      <w:r>
        <w:rPr>
          <w:rFonts w:ascii="Arial" w:eastAsia="仿宋_GB2312;仿宋" w:hAnsi="Arial" w:cs="Arial"/>
          <w:bCs/>
          <w:sz w:val="28"/>
          <w:szCs w:val="28"/>
        </w:rPr>
        <w:t>策</w:t>
      </w:r>
      <w:r>
        <w:rPr>
          <w:rFonts w:ascii="Arial" w:eastAsia="仿宋_GB2312;仿宋" w:hAnsi="Arial" w:cs="Arial"/>
          <w:bCs/>
          <w:sz w:val="28"/>
          <w:szCs w:val="28"/>
        </w:rPr>
        <w:t>”</w:t>
      </w:r>
      <w:proofErr w:type="gramStart"/>
      <w:r>
        <w:rPr>
          <w:rFonts w:ascii="Arial" w:eastAsia="仿宋_GB2312;仿宋" w:hAnsi="Arial" w:cs="Arial"/>
          <w:bCs/>
          <w:sz w:val="28"/>
          <w:szCs w:val="28"/>
        </w:rPr>
        <w:t>盘活央企存量</w:t>
      </w:r>
      <w:proofErr w:type="gramEnd"/>
      <w:r>
        <w:rPr>
          <w:rFonts w:ascii="Arial" w:eastAsia="仿宋_GB2312;仿宋" w:hAnsi="Arial" w:cs="Arial"/>
          <w:bCs/>
          <w:sz w:val="28"/>
          <w:szCs w:val="28"/>
        </w:rPr>
        <w:t>资源，加速形成更具活力的创新空间。提</w:t>
      </w:r>
      <w:r>
        <w:rPr>
          <w:rFonts w:ascii="Arial" w:eastAsia="Arial" w:hAnsi="Arial" w:cs="Arial"/>
          <w:bCs/>
          <w:sz w:val="28"/>
          <w:szCs w:val="28"/>
        </w:rPr>
        <w:t xml:space="preserve"> </w:t>
      </w:r>
      <w:r>
        <w:rPr>
          <w:rFonts w:ascii="Arial" w:eastAsia="仿宋_GB2312;仿宋" w:hAnsi="Arial" w:cs="Arial"/>
          <w:bCs/>
          <w:sz w:val="28"/>
          <w:szCs w:val="28"/>
        </w:rPr>
        <w:t>升</w:t>
      </w:r>
      <w:r>
        <w:rPr>
          <w:rFonts w:ascii="Arial" w:eastAsia="仿宋_GB2312;仿宋" w:hAnsi="Arial" w:cs="Arial"/>
          <w:bCs/>
          <w:sz w:val="28"/>
          <w:szCs w:val="28"/>
        </w:rPr>
        <w:t>“</w:t>
      </w:r>
      <w:r>
        <w:rPr>
          <w:rFonts w:ascii="Arial" w:eastAsia="仿宋_GB2312;仿宋" w:hAnsi="Arial" w:cs="Arial"/>
          <w:bCs/>
          <w:sz w:val="28"/>
          <w:szCs w:val="28"/>
        </w:rPr>
        <w:t>生命谷</w:t>
      </w:r>
      <w:r>
        <w:rPr>
          <w:rFonts w:ascii="Arial" w:eastAsia="仿宋_GB2312;仿宋" w:hAnsi="Arial" w:cs="Arial"/>
          <w:bCs/>
          <w:sz w:val="28"/>
          <w:szCs w:val="28"/>
        </w:rPr>
        <w:t>”</w:t>
      </w:r>
      <w:r>
        <w:rPr>
          <w:rFonts w:ascii="Arial" w:eastAsia="仿宋_GB2312;仿宋" w:hAnsi="Arial" w:cs="Arial"/>
          <w:bCs/>
          <w:sz w:val="28"/>
          <w:szCs w:val="28"/>
        </w:rPr>
        <w:t>创新能级，推进</w:t>
      </w:r>
      <w:proofErr w:type="gramStart"/>
      <w:r>
        <w:rPr>
          <w:rFonts w:ascii="Arial" w:eastAsia="仿宋_GB2312;仿宋" w:hAnsi="Arial" w:cs="Arial"/>
          <w:bCs/>
          <w:sz w:val="28"/>
          <w:szCs w:val="28"/>
        </w:rPr>
        <w:t>生命园</w:t>
      </w:r>
      <w:proofErr w:type="gramEnd"/>
      <w:r>
        <w:rPr>
          <w:rFonts w:ascii="Arial" w:eastAsia="仿宋_GB2312;仿宋" w:hAnsi="Arial" w:cs="Arial"/>
          <w:bCs/>
          <w:sz w:val="28"/>
          <w:szCs w:val="28"/>
        </w:rPr>
        <w:t>三期建设，进一步拓展居住、产业和商业配套空间。</w:t>
      </w:r>
    </w:p>
    <w:p w14:paraId="0A972AED"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4568868"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构建特色与活力兼备的现代化经济体系，探索构建新发展格局的有效路径，激发</w:t>
      </w:r>
      <w:r>
        <w:rPr>
          <w:rFonts w:ascii="Arial" w:eastAsia="仿宋_GB2312;仿宋" w:hAnsi="Arial" w:cs="Arial"/>
          <w:bCs/>
          <w:sz w:val="28"/>
          <w:szCs w:val="28"/>
        </w:rPr>
        <w:t>“</w:t>
      </w:r>
      <w:r>
        <w:rPr>
          <w:rFonts w:ascii="Arial" w:eastAsia="仿宋_GB2312;仿宋" w:hAnsi="Arial" w:cs="Arial"/>
          <w:bCs/>
          <w:sz w:val="28"/>
          <w:szCs w:val="28"/>
        </w:rPr>
        <w:t>两区</w:t>
      </w:r>
      <w:r>
        <w:rPr>
          <w:rFonts w:ascii="Arial" w:eastAsia="仿宋_GB2312;仿宋" w:hAnsi="Arial" w:cs="Arial"/>
          <w:bCs/>
          <w:sz w:val="28"/>
          <w:szCs w:val="28"/>
        </w:rPr>
        <w:t>”</w:t>
      </w:r>
      <w:r>
        <w:rPr>
          <w:rFonts w:ascii="Arial" w:eastAsia="仿宋_GB2312;仿宋" w:hAnsi="Arial" w:cs="Arial"/>
          <w:bCs/>
          <w:sz w:val="28"/>
          <w:szCs w:val="28"/>
        </w:rPr>
        <w:t>新活力，全方位打造</w:t>
      </w:r>
      <w:r>
        <w:rPr>
          <w:rFonts w:ascii="Arial" w:eastAsia="仿宋_GB2312;仿宋" w:hAnsi="Arial" w:cs="Arial"/>
          <w:bCs/>
          <w:sz w:val="28"/>
          <w:szCs w:val="28"/>
        </w:rPr>
        <w:t>“</w:t>
      </w:r>
      <w:r>
        <w:rPr>
          <w:rFonts w:ascii="Arial" w:eastAsia="仿宋_GB2312;仿宋" w:hAnsi="Arial" w:cs="Arial"/>
          <w:bCs/>
          <w:sz w:val="28"/>
          <w:szCs w:val="28"/>
        </w:rPr>
        <w:t>产业</w:t>
      </w:r>
      <w:r>
        <w:rPr>
          <w:rFonts w:ascii="Arial" w:eastAsia="仿宋_GB2312;仿宋" w:hAnsi="Arial" w:cs="Arial"/>
          <w:bCs/>
          <w:sz w:val="28"/>
          <w:szCs w:val="28"/>
        </w:rPr>
        <w:t>+</w:t>
      </w:r>
      <w:r>
        <w:rPr>
          <w:rFonts w:ascii="Arial" w:eastAsia="仿宋_GB2312;仿宋" w:hAnsi="Arial" w:cs="Arial"/>
          <w:bCs/>
          <w:sz w:val="28"/>
          <w:szCs w:val="28"/>
        </w:rPr>
        <w:t>园区</w:t>
      </w:r>
      <w:r>
        <w:rPr>
          <w:rFonts w:ascii="Arial" w:eastAsia="仿宋_GB2312;仿宋" w:hAnsi="Arial" w:cs="Arial"/>
          <w:bCs/>
          <w:sz w:val="28"/>
          <w:szCs w:val="28"/>
        </w:rPr>
        <w:t>”</w:t>
      </w:r>
      <w:r>
        <w:rPr>
          <w:rFonts w:ascii="Arial" w:eastAsia="仿宋_GB2312;仿宋" w:hAnsi="Arial" w:cs="Arial"/>
          <w:bCs/>
          <w:sz w:val="28"/>
          <w:szCs w:val="28"/>
        </w:rPr>
        <w:t>协同开放，优化产业空间布局；全力建设好国家服务业扩大开放综合示范区和中国</w:t>
      </w:r>
      <w:r>
        <w:rPr>
          <w:rFonts w:ascii="Arial" w:eastAsia="仿宋_GB2312;仿宋" w:hAnsi="Arial" w:cs="Arial"/>
          <w:bCs/>
          <w:sz w:val="28"/>
          <w:szCs w:val="28"/>
        </w:rPr>
        <w:t>(</w:t>
      </w:r>
      <w:r>
        <w:rPr>
          <w:rFonts w:ascii="Arial" w:eastAsia="仿宋_GB2312;仿宋" w:hAnsi="Arial" w:cs="Arial"/>
          <w:bCs/>
          <w:sz w:val="28"/>
          <w:szCs w:val="28"/>
        </w:rPr>
        <w:t>北京</w:t>
      </w:r>
      <w:r>
        <w:rPr>
          <w:rFonts w:ascii="Arial" w:eastAsia="仿宋_GB2312;仿宋" w:hAnsi="Arial" w:cs="Arial"/>
          <w:bCs/>
          <w:sz w:val="28"/>
          <w:szCs w:val="28"/>
        </w:rPr>
        <w:t>)</w:t>
      </w:r>
      <w:r>
        <w:rPr>
          <w:rFonts w:ascii="Arial" w:eastAsia="仿宋_GB2312;仿宋" w:hAnsi="Arial" w:cs="Arial"/>
          <w:bCs/>
          <w:sz w:val="28"/>
          <w:szCs w:val="28"/>
        </w:rPr>
        <w:t>自由贸易试验区。国家服务业扩大开放综合示范区</w:t>
      </w:r>
      <w:r>
        <w:rPr>
          <w:rFonts w:ascii="Arial" w:eastAsia="Arial" w:hAnsi="Arial" w:cs="Arial"/>
          <w:bCs/>
          <w:sz w:val="28"/>
          <w:szCs w:val="28"/>
        </w:rPr>
        <w:t xml:space="preserve"> </w:t>
      </w:r>
      <w:r>
        <w:rPr>
          <w:rFonts w:ascii="Arial" w:eastAsia="仿宋_GB2312;仿宋" w:hAnsi="Arial" w:cs="Arial"/>
          <w:bCs/>
          <w:sz w:val="28"/>
          <w:szCs w:val="28"/>
        </w:rPr>
        <w:t>突出金融街、丽泽金融商务区、通州</w:t>
      </w:r>
      <w:proofErr w:type="gramStart"/>
      <w:r>
        <w:rPr>
          <w:rFonts w:ascii="Arial" w:eastAsia="仿宋_GB2312;仿宋" w:hAnsi="Arial" w:cs="Arial"/>
          <w:bCs/>
          <w:sz w:val="28"/>
          <w:szCs w:val="28"/>
        </w:rPr>
        <w:t>文旅区</w:t>
      </w:r>
      <w:proofErr w:type="gramEnd"/>
      <w:r>
        <w:rPr>
          <w:rFonts w:ascii="Arial" w:eastAsia="仿宋_GB2312;仿宋" w:hAnsi="Arial" w:cs="Arial"/>
          <w:bCs/>
          <w:sz w:val="28"/>
          <w:szCs w:val="28"/>
        </w:rPr>
        <w:t>、</w:t>
      </w:r>
      <w:r>
        <w:rPr>
          <w:rFonts w:ascii="Arial" w:eastAsia="仿宋_GB2312;仿宋" w:hAnsi="Arial" w:cs="Arial"/>
          <w:bCs/>
          <w:sz w:val="28"/>
          <w:szCs w:val="28"/>
        </w:rPr>
        <w:t xml:space="preserve">CBD </w:t>
      </w:r>
      <w:r>
        <w:rPr>
          <w:rFonts w:ascii="Arial" w:eastAsia="仿宋_GB2312;仿宋" w:hAnsi="Arial" w:cs="Arial"/>
          <w:bCs/>
          <w:sz w:val="28"/>
          <w:szCs w:val="28"/>
        </w:rPr>
        <w:t>等</w:t>
      </w:r>
      <w:proofErr w:type="gramStart"/>
      <w:r>
        <w:rPr>
          <w:rFonts w:ascii="Arial" w:eastAsia="仿宋_GB2312;仿宋" w:hAnsi="Arial" w:cs="Arial"/>
          <w:bCs/>
          <w:sz w:val="28"/>
          <w:szCs w:val="28"/>
        </w:rPr>
        <w:t>重点园</w:t>
      </w:r>
      <w:proofErr w:type="gramEnd"/>
      <w:r>
        <w:rPr>
          <w:rFonts w:ascii="Arial" w:eastAsia="Arial" w:hAnsi="Arial" w:cs="Arial"/>
          <w:bCs/>
          <w:sz w:val="28"/>
          <w:szCs w:val="28"/>
        </w:rPr>
        <w:t xml:space="preserve"> </w:t>
      </w:r>
      <w:r>
        <w:rPr>
          <w:rFonts w:ascii="Arial" w:eastAsia="仿宋_GB2312;仿宋" w:hAnsi="Arial" w:cs="Arial"/>
          <w:bCs/>
          <w:sz w:val="28"/>
          <w:szCs w:val="28"/>
        </w:rPr>
        <w:t>区建设，与自贸区三个片区衔接联动。</w:t>
      </w:r>
    </w:p>
    <w:p w14:paraId="66BBF477"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5.</w:t>
      </w:r>
      <w:r>
        <w:rPr>
          <w:rFonts w:ascii="Arial" w:eastAsia="仿宋_GB2312;仿宋" w:hAnsi="Arial" w:cs="Arial"/>
          <w:bCs/>
          <w:sz w:val="28"/>
          <w:szCs w:val="28"/>
        </w:rPr>
        <w:t>城市经济发展运行状况</w:t>
      </w:r>
    </w:p>
    <w:p w14:paraId="539E6EA4"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根据北京市统计局地区生产总值统一核算结果，</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年一季度，北京市实现地区生产总值</w:t>
      </w:r>
      <w:r>
        <w:rPr>
          <w:rFonts w:ascii="Arial" w:eastAsia="仿宋_GB2312;仿宋" w:hAnsi="Arial" w:cs="Arial"/>
          <w:bCs/>
          <w:color w:val="000000"/>
          <w:sz w:val="28"/>
          <w:szCs w:val="28"/>
        </w:rPr>
        <w:t>10581.4</w:t>
      </w:r>
      <w:r>
        <w:rPr>
          <w:rFonts w:ascii="Arial" w:eastAsia="仿宋_GB2312;仿宋" w:hAnsi="Arial" w:cs="Arial"/>
          <w:bCs/>
          <w:color w:val="000000"/>
          <w:sz w:val="28"/>
          <w:szCs w:val="28"/>
        </w:rPr>
        <w:t>亿元，按不变价格计算，同比增长</w:t>
      </w:r>
      <w:r>
        <w:rPr>
          <w:rFonts w:ascii="Arial" w:eastAsia="仿宋_GB2312;仿宋" w:hAnsi="Arial" w:cs="Arial"/>
          <w:bCs/>
          <w:color w:val="000000"/>
          <w:sz w:val="28"/>
          <w:szCs w:val="28"/>
        </w:rPr>
        <w:t>6.0%</w:t>
      </w:r>
      <w:r>
        <w:rPr>
          <w:rFonts w:ascii="Arial" w:eastAsia="仿宋_GB2312;仿宋" w:hAnsi="Arial" w:cs="Arial"/>
          <w:bCs/>
          <w:color w:val="000000"/>
          <w:sz w:val="28"/>
          <w:szCs w:val="28"/>
        </w:rPr>
        <w:t>，高于上年全年增速</w:t>
      </w:r>
      <w:r>
        <w:rPr>
          <w:rFonts w:ascii="Arial" w:eastAsia="仿宋_GB2312;仿宋" w:hAnsi="Arial" w:cs="Arial"/>
          <w:bCs/>
          <w:color w:val="000000"/>
          <w:sz w:val="28"/>
          <w:szCs w:val="28"/>
        </w:rPr>
        <w:t>0.8</w:t>
      </w:r>
      <w:r>
        <w:rPr>
          <w:rFonts w:ascii="Arial" w:eastAsia="仿宋_GB2312;仿宋" w:hAnsi="Arial" w:cs="Arial"/>
          <w:bCs/>
          <w:color w:val="000000"/>
          <w:sz w:val="28"/>
          <w:szCs w:val="28"/>
        </w:rPr>
        <w:t>个百分点。分产业看，第一产业实现增加值</w:t>
      </w:r>
      <w:r>
        <w:rPr>
          <w:rFonts w:ascii="Arial" w:eastAsia="仿宋_GB2312;仿宋" w:hAnsi="Arial" w:cs="Arial"/>
          <w:bCs/>
          <w:color w:val="000000"/>
          <w:sz w:val="28"/>
          <w:szCs w:val="28"/>
        </w:rPr>
        <w:t>15.0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3.2%</w:t>
      </w:r>
      <w:r>
        <w:rPr>
          <w:rFonts w:ascii="Arial" w:eastAsia="仿宋_GB2312;仿宋" w:hAnsi="Arial" w:cs="Arial"/>
          <w:bCs/>
          <w:color w:val="000000"/>
          <w:sz w:val="28"/>
          <w:szCs w:val="28"/>
        </w:rPr>
        <w:t>；第二产业实现增加值</w:t>
      </w:r>
      <w:r>
        <w:rPr>
          <w:rFonts w:ascii="Arial" w:eastAsia="仿宋_GB2312;仿宋" w:hAnsi="Arial" w:cs="Arial"/>
          <w:bCs/>
          <w:color w:val="000000"/>
          <w:sz w:val="28"/>
          <w:szCs w:val="28"/>
        </w:rPr>
        <w:t>1310.4</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7.3%</w:t>
      </w:r>
      <w:r>
        <w:rPr>
          <w:rFonts w:ascii="Arial" w:eastAsia="仿宋_GB2312;仿宋" w:hAnsi="Arial" w:cs="Arial"/>
          <w:bCs/>
          <w:color w:val="000000"/>
          <w:sz w:val="28"/>
          <w:szCs w:val="28"/>
        </w:rPr>
        <w:t>；第三产业实现增加值</w:t>
      </w:r>
      <w:r>
        <w:rPr>
          <w:rFonts w:ascii="Arial" w:eastAsia="仿宋_GB2312;仿宋" w:hAnsi="Arial" w:cs="Arial"/>
          <w:bCs/>
          <w:color w:val="000000"/>
          <w:sz w:val="28"/>
          <w:szCs w:val="28"/>
        </w:rPr>
        <w:t>9256.0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w:t>
      </w:r>
    </w:p>
    <w:p w14:paraId="00077BA0"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w:t>
      </w:r>
      <w:r>
        <w:rPr>
          <w:rFonts w:ascii="Arial" w:eastAsia="仿宋_GB2312;仿宋" w:hAnsi="Arial" w:cs="Arial"/>
          <w:color w:val="000000"/>
          <w:sz w:val="28"/>
          <w:szCs w:val="28"/>
        </w:rPr>
        <w:t>农业生产实现增长，乡村休闲旅游继续恢复</w:t>
      </w:r>
    </w:p>
    <w:p w14:paraId="3A1E47C5"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一季度，北京市实现农林牧渔业总产值</w:t>
      </w:r>
      <w:r>
        <w:rPr>
          <w:rFonts w:ascii="Arial" w:eastAsia="仿宋_GB2312;仿宋" w:hAnsi="Arial" w:cs="Arial"/>
          <w:bCs/>
          <w:color w:val="000000"/>
          <w:sz w:val="28"/>
          <w:szCs w:val="28"/>
        </w:rPr>
        <w:t>38.5</w:t>
      </w:r>
      <w:r>
        <w:rPr>
          <w:rFonts w:ascii="Arial" w:eastAsia="仿宋_GB2312;仿宋" w:hAnsi="Arial" w:cs="Arial"/>
          <w:bCs/>
          <w:color w:val="000000"/>
          <w:sz w:val="28"/>
          <w:szCs w:val="28"/>
        </w:rPr>
        <w:t>亿元，按可比价格计算，同比增长</w:t>
      </w:r>
      <w:r>
        <w:rPr>
          <w:rFonts w:ascii="Arial" w:eastAsia="仿宋_GB2312;仿宋" w:hAnsi="Arial" w:cs="Arial"/>
          <w:bCs/>
          <w:color w:val="000000"/>
          <w:sz w:val="28"/>
          <w:szCs w:val="28"/>
        </w:rPr>
        <w:t>3.0%</w:t>
      </w:r>
      <w:r>
        <w:rPr>
          <w:rFonts w:ascii="Arial" w:eastAsia="仿宋_GB2312;仿宋" w:hAnsi="Arial" w:cs="Arial"/>
          <w:bCs/>
          <w:color w:val="000000"/>
          <w:sz w:val="28"/>
          <w:szCs w:val="28"/>
        </w:rPr>
        <w:t>。其中，实现农业（种植业）产值</w:t>
      </w:r>
      <w:r>
        <w:rPr>
          <w:rFonts w:ascii="Arial" w:eastAsia="仿宋_GB2312;仿宋" w:hAnsi="Arial" w:cs="Arial"/>
          <w:bCs/>
          <w:color w:val="000000"/>
          <w:sz w:val="28"/>
          <w:szCs w:val="28"/>
        </w:rPr>
        <w:t>15.2</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2.7%</w:t>
      </w:r>
      <w:r>
        <w:rPr>
          <w:rFonts w:ascii="Arial" w:eastAsia="仿宋_GB2312;仿宋" w:hAnsi="Arial" w:cs="Arial"/>
          <w:bCs/>
          <w:color w:val="000000"/>
          <w:sz w:val="28"/>
          <w:szCs w:val="28"/>
        </w:rPr>
        <w:t>，稳步推进春耕备耕，冬小麦苗情总体良好，主要粮食作物种植意向持续提升，瓜果类播种面积和产量分别增长</w:t>
      </w:r>
      <w:r>
        <w:rPr>
          <w:rFonts w:ascii="Arial" w:eastAsia="仿宋_GB2312;仿宋" w:hAnsi="Arial" w:cs="Arial"/>
          <w:bCs/>
          <w:color w:val="000000"/>
          <w:sz w:val="28"/>
          <w:szCs w:val="28"/>
        </w:rPr>
        <w:t>9.7%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13.7%</w:t>
      </w:r>
      <w:r>
        <w:rPr>
          <w:rFonts w:ascii="Arial" w:eastAsia="仿宋_GB2312;仿宋" w:hAnsi="Arial" w:cs="Arial"/>
          <w:bCs/>
          <w:color w:val="000000"/>
          <w:sz w:val="28"/>
          <w:szCs w:val="28"/>
        </w:rPr>
        <w:t>；受禽蛋生产带动，实现牧业产值</w:t>
      </w:r>
      <w:r>
        <w:rPr>
          <w:rFonts w:ascii="Arial" w:eastAsia="仿宋_GB2312;仿宋" w:hAnsi="Arial" w:cs="Arial"/>
          <w:bCs/>
          <w:color w:val="000000"/>
          <w:sz w:val="28"/>
          <w:szCs w:val="28"/>
        </w:rPr>
        <w:t>10.3</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10.7%</w:t>
      </w:r>
      <w:r>
        <w:rPr>
          <w:rFonts w:ascii="Arial" w:eastAsia="仿宋_GB2312;仿宋" w:hAnsi="Arial" w:cs="Arial"/>
          <w:bCs/>
          <w:color w:val="000000"/>
          <w:sz w:val="28"/>
          <w:szCs w:val="28"/>
        </w:rPr>
        <w:t>。乡村休闲旅游接待游客</w:t>
      </w:r>
      <w:r>
        <w:rPr>
          <w:rFonts w:ascii="Arial" w:eastAsia="仿宋_GB2312;仿宋" w:hAnsi="Arial" w:cs="Arial"/>
          <w:bCs/>
          <w:color w:val="000000"/>
          <w:sz w:val="28"/>
          <w:szCs w:val="28"/>
        </w:rPr>
        <w:t>381.1</w:t>
      </w:r>
      <w:r>
        <w:rPr>
          <w:rFonts w:ascii="Arial" w:eastAsia="仿宋_GB2312;仿宋" w:hAnsi="Arial" w:cs="Arial"/>
          <w:bCs/>
          <w:color w:val="000000"/>
          <w:sz w:val="28"/>
          <w:szCs w:val="28"/>
        </w:rPr>
        <w:t>万人次，实现收入</w:t>
      </w:r>
      <w:r>
        <w:rPr>
          <w:rFonts w:ascii="Arial" w:eastAsia="仿宋_GB2312;仿宋" w:hAnsi="Arial" w:cs="Arial"/>
          <w:bCs/>
          <w:color w:val="000000"/>
          <w:sz w:val="28"/>
          <w:szCs w:val="28"/>
        </w:rPr>
        <w:t>7.1</w:t>
      </w:r>
      <w:r>
        <w:rPr>
          <w:rFonts w:ascii="Arial" w:eastAsia="仿宋_GB2312;仿宋" w:hAnsi="Arial" w:cs="Arial"/>
          <w:bCs/>
          <w:color w:val="000000"/>
          <w:sz w:val="28"/>
          <w:szCs w:val="28"/>
        </w:rPr>
        <w:t>亿元，分别增长</w:t>
      </w:r>
      <w:r>
        <w:rPr>
          <w:rFonts w:ascii="Arial" w:eastAsia="仿宋_GB2312;仿宋" w:hAnsi="Arial" w:cs="Arial"/>
          <w:bCs/>
          <w:color w:val="000000"/>
          <w:sz w:val="28"/>
          <w:szCs w:val="28"/>
        </w:rPr>
        <w:t>13.6%</w:t>
      </w:r>
      <w:r>
        <w:rPr>
          <w:rFonts w:ascii="Arial" w:eastAsia="仿宋_GB2312;仿宋" w:hAnsi="Arial" w:cs="Arial"/>
          <w:bCs/>
          <w:color w:val="000000"/>
          <w:sz w:val="28"/>
          <w:szCs w:val="28"/>
        </w:rPr>
        <w:t>和</w:t>
      </w:r>
      <w:r>
        <w:rPr>
          <w:rFonts w:ascii="Arial" w:eastAsia="仿宋_GB2312;仿宋" w:hAnsi="Arial" w:cs="Arial"/>
          <w:bCs/>
          <w:color w:val="000000"/>
          <w:sz w:val="28"/>
          <w:szCs w:val="28"/>
        </w:rPr>
        <w:t>0.8%</w:t>
      </w:r>
      <w:r>
        <w:rPr>
          <w:rFonts w:ascii="Arial" w:eastAsia="仿宋_GB2312;仿宋" w:hAnsi="Arial" w:cs="Arial"/>
          <w:bCs/>
          <w:color w:val="000000"/>
          <w:sz w:val="28"/>
          <w:szCs w:val="28"/>
        </w:rPr>
        <w:t>。</w:t>
      </w:r>
    </w:p>
    <w:p w14:paraId="36B43592"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w:t>
      </w:r>
      <w:r>
        <w:rPr>
          <w:rFonts w:ascii="Arial" w:eastAsia="仿宋_GB2312;仿宋" w:hAnsi="Arial" w:cs="Arial"/>
          <w:color w:val="000000"/>
          <w:sz w:val="28"/>
          <w:szCs w:val="28"/>
        </w:rPr>
        <w:t>工业生产加快，重点行业增</w:t>
      </w:r>
      <w:r>
        <w:rPr>
          <w:rFonts w:ascii="Arial" w:eastAsia="仿宋_GB2312;仿宋" w:hAnsi="Arial" w:cs="Arial"/>
          <w:bCs/>
          <w:color w:val="000000"/>
          <w:sz w:val="28"/>
          <w:szCs w:val="28"/>
        </w:rPr>
        <w:t>势较好</w:t>
      </w:r>
    </w:p>
    <w:p w14:paraId="3A7803D2"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规模以上工业增加值按可比价格计算，同比增长</w:t>
      </w:r>
      <w:r>
        <w:rPr>
          <w:rFonts w:ascii="Arial" w:eastAsia="仿宋_GB2312;仿宋" w:hAnsi="Arial" w:cs="Arial"/>
          <w:color w:val="000000"/>
          <w:sz w:val="28"/>
          <w:szCs w:val="28"/>
        </w:rPr>
        <w:t>7.5%</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1.1</w:t>
      </w:r>
      <w:r>
        <w:rPr>
          <w:rFonts w:ascii="Arial" w:eastAsia="仿宋_GB2312;仿宋" w:hAnsi="Arial" w:cs="Arial"/>
          <w:color w:val="000000"/>
          <w:sz w:val="28"/>
          <w:szCs w:val="28"/>
        </w:rPr>
        <w:t>个百分点。重点行业中，计算机、通信和其他电子设备制造业增长</w:t>
      </w:r>
      <w:r>
        <w:rPr>
          <w:rFonts w:ascii="Arial" w:eastAsia="仿宋_GB2312;仿宋" w:hAnsi="Arial" w:cs="Arial"/>
          <w:color w:val="000000"/>
          <w:sz w:val="28"/>
          <w:szCs w:val="28"/>
        </w:rPr>
        <w:t>19.0%</w:t>
      </w:r>
      <w:r>
        <w:rPr>
          <w:rFonts w:ascii="Arial" w:eastAsia="仿宋_GB2312;仿宋" w:hAnsi="Arial" w:cs="Arial"/>
          <w:color w:val="000000"/>
          <w:sz w:val="28"/>
          <w:szCs w:val="28"/>
        </w:rPr>
        <w:t>，汽车制造业增长</w:t>
      </w:r>
      <w:r>
        <w:rPr>
          <w:rFonts w:ascii="Arial" w:eastAsia="仿宋_GB2312;仿宋" w:hAnsi="Arial" w:cs="Arial"/>
          <w:color w:val="000000"/>
          <w:sz w:val="28"/>
          <w:szCs w:val="28"/>
        </w:rPr>
        <w:t>15.2%</w:t>
      </w:r>
      <w:r>
        <w:rPr>
          <w:rFonts w:ascii="Arial" w:eastAsia="仿宋_GB2312;仿宋" w:hAnsi="Arial" w:cs="Arial"/>
          <w:color w:val="000000"/>
          <w:sz w:val="28"/>
          <w:szCs w:val="28"/>
        </w:rPr>
        <w:t>，电力、热力生产和供应业增长</w:t>
      </w:r>
      <w:r>
        <w:rPr>
          <w:rFonts w:ascii="Arial" w:eastAsia="仿宋_GB2312;仿宋" w:hAnsi="Arial" w:cs="Arial"/>
          <w:color w:val="000000"/>
          <w:sz w:val="28"/>
          <w:szCs w:val="28"/>
        </w:rPr>
        <w:t>10.6%</w:t>
      </w:r>
      <w:r>
        <w:rPr>
          <w:rFonts w:ascii="Arial" w:eastAsia="仿宋_GB2312;仿宋" w:hAnsi="Arial" w:cs="Arial"/>
          <w:color w:val="000000"/>
          <w:sz w:val="28"/>
          <w:szCs w:val="28"/>
        </w:rPr>
        <w:t>，医药制造业扭转下降态势，同比持平。新兴领域表现活跃，规模以上工业战略性新兴产业增加值增长</w:t>
      </w:r>
      <w:r>
        <w:rPr>
          <w:rFonts w:ascii="Arial" w:eastAsia="仿宋_GB2312;仿宋" w:hAnsi="Arial" w:cs="Arial"/>
          <w:color w:val="000000"/>
          <w:sz w:val="28"/>
          <w:szCs w:val="28"/>
        </w:rPr>
        <w:t>12.0%</w:t>
      </w:r>
      <w:r>
        <w:rPr>
          <w:rFonts w:ascii="Arial" w:eastAsia="仿宋_GB2312;仿宋" w:hAnsi="Arial" w:cs="Arial"/>
          <w:color w:val="000000"/>
          <w:sz w:val="28"/>
          <w:szCs w:val="28"/>
        </w:rPr>
        <w:t>，新能源汽车、智能电视、工业机器人、集成电路产量分别增长</w:t>
      </w:r>
      <w:r>
        <w:rPr>
          <w:rFonts w:ascii="Arial" w:eastAsia="仿宋_GB2312;仿宋" w:hAnsi="Arial" w:cs="Arial"/>
          <w:color w:val="000000"/>
          <w:sz w:val="28"/>
          <w:szCs w:val="28"/>
        </w:rPr>
        <w:t>2.4</w:t>
      </w:r>
      <w:r>
        <w:rPr>
          <w:rFonts w:ascii="Arial" w:eastAsia="仿宋_GB2312;仿宋" w:hAnsi="Arial" w:cs="Arial"/>
          <w:color w:val="000000"/>
          <w:sz w:val="28"/>
          <w:szCs w:val="28"/>
        </w:rPr>
        <w:t>倍、</w:t>
      </w:r>
      <w:r>
        <w:rPr>
          <w:rFonts w:ascii="Arial" w:eastAsia="仿宋_GB2312;仿宋" w:hAnsi="Arial" w:cs="Arial"/>
          <w:color w:val="000000"/>
          <w:sz w:val="28"/>
          <w:szCs w:val="28"/>
        </w:rPr>
        <w:t>2</w:t>
      </w:r>
      <w:r>
        <w:rPr>
          <w:rFonts w:ascii="Arial" w:eastAsia="仿宋_GB2312;仿宋" w:hAnsi="Arial" w:cs="Arial"/>
          <w:color w:val="000000"/>
          <w:sz w:val="28"/>
          <w:szCs w:val="28"/>
        </w:rPr>
        <w:t>倍、</w:t>
      </w:r>
      <w:r>
        <w:rPr>
          <w:rFonts w:ascii="Arial" w:eastAsia="仿宋_GB2312;仿宋" w:hAnsi="Arial" w:cs="Arial"/>
          <w:color w:val="000000"/>
          <w:sz w:val="28"/>
          <w:szCs w:val="28"/>
        </w:rPr>
        <w:t>1.6</w:t>
      </w:r>
      <w:r>
        <w:rPr>
          <w:rFonts w:ascii="Arial" w:eastAsia="仿宋_GB2312;仿宋" w:hAnsi="Arial" w:cs="Arial"/>
          <w:color w:val="000000"/>
          <w:sz w:val="28"/>
          <w:szCs w:val="28"/>
        </w:rPr>
        <w:t>倍和</w:t>
      </w:r>
      <w:r>
        <w:rPr>
          <w:rFonts w:ascii="Arial" w:eastAsia="仿宋_GB2312;仿宋" w:hAnsi="Arial" w:cs="Arial"/>
          <w:color w:val="000000"/>
          <w:sz w:val="28"/>
          <w:szCs w:val="28"/>
        </w:rPr>
        <w:t>22.6%</w:t>
      </w:r>
      <w:r>
        <w:rPr>
          <w:rFonts w:ascii="Arial" w:eastAsia="仿宋_GB2312;仿宋" w:hAnsi="Arial" w:cs="Arial"/>
          <w:color w:val="000000"/>
          <w:sz w:val="28"/>
          <w:szCs w:val="28"/>
        </w:rPr>
        <w:t>。</w:t>
      </w:r>
    </w:p>
    <w:p w14:paraId="29376AB4"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3</w:t>
      </w:r>
      <w:r>
        <w:rPr>
          <w:rFonts w:ascii="Arial" w:eastAsia="仿宋_GB2312;仿宋" w:hAnsi="Arial" w:cs="Arial"/>
          <w:color w:val="000000"/>
          <w:sz w:val="28"/>
          <w:szCs w:val="28"/>
        </w:rPr>
        <w:t>）服务业总体平稳，优势行业带动突出</w:t>
      </w:r>
    </w:p>
    <w:p w14:paraId="4E0545F2"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第三产业增加值按不变价格计算，同比增长</w:t>
      </w:r>
      <w:r>
        <w:rPr>
          <w:rFonts w:ascii="Arial" w:eastAsia="仿宋_GB2312;仿宋" w:hAnsi="Arial" w:cs="Arial"/>
          <w:color w:val="000000"/>
          <w:sz w:val="28"/>
          <w:szCs w:val="28"/>
        </w:rPr>
        <w:t>5.8%</w:t>
      </w:r>
      <w:r>
        <w:rPr>
          <w:rFonts w:ascii="Arial" w:eastAsia="仿宋_GB2312;仿宋" w:hAnsi="Arial" w:cs="Arial"/>
          <w:color w:val="000000"/>
          <w:sz w:val="28"/>
          <w:szCs w:val="28"/>
        </w:rPr>
        <w:t>。其中，信息传输、软件和信息技术服务业快速增长，实现增加值</w:t>
      </w:r>
      <w:r>
        <w:rPr>
          <w:rFonts w:ascii="Arial" w:eastAsia="仿宋_GB2312;仿宋" w:hAnsi="Arial" w:cs="Arial"/>
          <w:color w:val="000000"/>
          <w:sz w:val="28"/>
          <w:szCs w:val="28"/>
        </w:rPr>
        <w:t>2379.2</w:t>
      </w:r>
      <w:r>
        <w:rPr>
          <w:rFonts w:ascii="Arial" w:eastAsia="仿宋_GB2312;仿宋" w:hAnsi="Arial" w:cs="Arial"/>
          <w:color w:val="000000"/>
          <w:sz w:val="28"/>
          <w:szCs w:val="28"/>
        </w:rPr>
        <w:t>亿元，增长</w:t>
      </w:r>
      <w:r>
        <w:rPr>
          <w:rFonts w:ascii="Arial" w:eastAsia="仿宋_GB2312;仿宋" w:hAnsi="Arial" w:cs="Arial"/>
          <w:color w:val="000000"/>
          <w:sz w:val="28"/>
          <w:szCs w:val="28"/>
        </w:rPr>
        <w:t>13.7%</w:t>
      </w:r>
      <w:r>
        <w:rPr>
          <w:rFonts w:ascii="Arial" w:eastAsia="仿宋_GB2312;仿宋" w:hAnsi="Arial" w:cs="Arial"/>
          <w:color w:val="000000"/>
          <w:sz w:val="28"/>
          <w:szCs w:val="28"/>
        </w:rPr>
        <w:t>；金融业平稳支撑，实现增加值</w:t>
      </w:r>
      <w:r>
        <w:rPr>
          <w:rFonts w:ascii="Arial" w:eastAsia="仿宋_GB2312;仿宋" w:hAnsi="Arial" w:cs="Arial"/>
          <w:color w:val="000000"/>
          <w:sz w:val="28"/>
          <w:szCs w:val="28"/>
        </w:rPr>
        <w:t>2197.0</w:t>
      </w:r>
      <w:r>
        <w:rPr>
          <w:rFonts w:ascii="Arial" w:eastAsia="仿宋_GB2312;仿宋" w:hAnsi="Arial" w:cs="Arial"/>
          <w:color w:val="000000"/>
          <w:sz w:val="28"/>
          <w:szCs w:val="28"/>
        </w:rPr>
        <w:t>亿元，增长</w:t>
      </w:r>
      <w:r>
        <w:rPr>
          <w:rFonts w:ascii="Arial" w:eastAsia="仿宋_GB2312;仿宋" w:hAnsi="Arial" w:cs="Arial"/>
          <w:color w:val="000000"/>
          <w:sz w:val="28"/>
          <w:szCs w:val="28"/>
        </w:rPr>
        <w:t>4.7%</w:t>
      </w:r>
      <w:r>
        <w:rPr>
          <w:rFonts w:ascii="Arial" w:eastAsia="仿宋_GB2312;仿宋" w:hAnsi="Arial" w:cs="Arial"/>
          <w:color w:val="000000"/>
          <w:sz w:val="28"/>
          <w:szCs w:val="28"/>
        </w:rPr>
        <w:t>；接触性行业继续恢复，租赁和商务服务业实现增加值</w:t>
      </w:r>
      <w:r>
        <w:rPr>
          <w:rFonts w:ascii="Arial" w:eastAsia="仿宋_GB2312;仿宋" w:hAnsi="Arial" w:cs="Arial"/>
          <w:color w:val="000000"/>
          <w:sz w:val="28"/>
          <w:szCs w:val="28"/>
        </w:rPr>
        <w:t>582.2</w:t>
      </w:r>
      <w:r>
        <w:rPr>
          <w:rFonts w:ascii="Arial" w:eastAsia="仿宋_GB2312;仿宋" w:hAnsi="Arial" w:cs="Arial"/>
          <w:color w:val="000000"/>
          <w:sz w:val="28"/>
          <w:szCs w:val="28"/>
        </w:rPr>
        <w:t>亿元，增长</w:t>
      </w:r>
      <w:r>
        <w:rPr>
          <w:rFonts w:ascii="Arial" w:eastAsia="仿宋_GB2312;仿宋" w:hAnsi="Arial" w:cs="Arial"/>
          <w:color w:val="000000"/>
          <w:sz w:val="28"/>
          <w:szCs w:val="28"/>
        </w:rPr>
        <w:t>8.3%</w:t>
      </w:r>
      <w:r>
        <w:rPr>
          <w:rFonts w:ascii="Arial" w:eastAsia="仿宋_GB2312;仿宋" w:hAnsi="Arial" w:cs="Arial"/>
          <w:color w:val="000000"/>
          <w:sz w:val="28"/>
          <w:szCs w:val="28"/>
        </w:rPr>
        <w:t>；交通运输、仓储和邮政业实现增加值</w:t>
      </w:r>
      <w:r>
        <w:rPr>
          <w:rFonts w:ascii="Arial" w:eastAsia="仿宋_GB2312;仿宋" w:hAnsi="Arial" w:cs="Arial"/>
          <w:color w:val="000000"/>
          <w:sz w:val="28"/>
          <w:szCs w:val="28"/>
        </w:rPr>
        <w:t>243.8</w:t>
      </w:r>
      <w:r>
        <w:rPr>
          <w:rFonts w:ascii="Arial" w:eastAsia="仿宋_GB2312;仿宋" w:hAnsi="Arial" w:cs="Arial"/>
          <w:color w:val="000000"/>
          <w:sz w:val="28"/>
          <w:szCs w:val="28"/>
        </w:rPr>
        <w:t>亿元，增长</w:t>
      </w:r>
      <w:r>
        <w:rPr>
          <w:rFonts w:ascii="Arial" w:eastAsia="仿宋_GB2312;仿宋" w:hAnsi="Arial" w:cs="Arial"/>
          <w:color w:val="000000"/>
          <w:sz w:val="28"/>
          <w:szCs w:val="28"/>
        </w:rPr>
        <w:t>12.0%</w:t>
      </w:r>
      <w:r>
        <w:rPr>
          <w:rFonts w:ascii="Arial" w:eastAsia="仿宋_GB2312;仿宋" w:hAnsi="Arial" w:cs="Arial"/>
          <w:color w:val="000000"/>
          <w:sz w:val="28"/>
          <w:szCs w:val="28"/>
        </w:rPr>
        <w:t>。</w:t>
      </w:r>
    </w:p>
    <w:p w14:paraId="3B59247D"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4</w:t>
      </w:r>
      <w:r>
        <w:rPr>
          <w:rFonts w:ascii="Arial" w:eastAsia="仿宋_GB2312;仿宋" w:hAnsi="Arial" w:cs="Arial"/>
          <w:color w:val="000000"/>
          <w:sz w:val="28"/>
          <w:szCs w:val="28"/>
        </w:rPr>
        <w:t>）</w:t>
      </w:r>
      <w:r>
        <w:rPr>
          <w:rFonts w:ascii="Arial" w:eastAsia="仿宋_GB2312;仿宋" w:hAnsi="Arial" w:cs="Arial"/>
          <w:bCs/>
          <w:color w:val="000000"/>
          <w:sz w:val="28"/>
          <w:szCs w:val="28"/>
        </w:rPr>
        <w:t>固定资产投资较快增长，高技术产业彰显活力</w:t>
      </w:r>
    </w:p>
    <w:p w14:paraId="65D9A580"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固定资产投资（不含农户）同比增长</w:t>
      </w:r>
      <w:r>
        <w:rPr>
          <w:rFonts w:ascii="Arial" w:eastAsia="仿宋_GB2312;仿宋" w:hAnsi="Arial" w:cs="Arial"/>
          <w:color w:val="000000"/>
          <w:sz w:val="28"/>
          <w:szCs w:val="28"/>
        </w:rPr>
        <w:t>13.6%</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4.2</w:t>
      </w:r>
      <w:r>
        <w:rPr>
          <w:rFonts w:ascii="Arial" w:eastAsia="仿宋_GB2312;仿宋" w:hAnsi="Arial" w:cs="Arial"/>
          <w:color w:val="000000"/>
          <w:sz w:val="28"/>
          <w:szCs w:val="28"/>
        </w:rPr>
        <w:t>个百分点。其中，反映企业扩大生产能力的设备购置投资增长</w:t>
      </w:r>
      <w:r>
        <w:rPr>
          <w:rFonts w:ascii="Arial" w:eastAsia="仿宋_GB2312;仿宋" w:hAnsi="Arial" w:cs="Arial"/>
          <w:color w:val="000000"/>
          <w:sz w:val="28"/>
          <w:szCs w:val="28"/>
        </w:rPr>
        <w:t>53.5%</w:t>
      </w:r>
      <w:r>
        <w:rPr>
          <w:rFonts w:ascii="Arial" w:eastAsia="仿宋_GB2312;仿宋" w:hAnsi="Arial" w:cs="Arial"/>
          <w:color w:val="000000"/>
          <w:sz w:val="28"/>
          <w:szCs w:val="28"/>
        </w:rPr>
        <w:t>，反映实物工作量的建筑安装工程投资增长</w:t>
      </w:r>
      <w:r>
        <w:rPr>
          <w:rFonts w:ascii="Arial" w:eastAsia="仿宋_GB2312;仿宋" w:hAnsi="Arial" w:cs="Arial"/>
          <w:color w:val="000000"/>
          <w:sz w:val="28"/>
          <w:szCs w:val="28"/>
        </w:rPr>
        <w:t>16.9%</w:t>
      </w:r>
      <w:r>
        <w:rPr>
          <w:rFonts w:ascii="Arial" w:eastAsia="仿宋_GB2312;仿宋" w:hAnsi="Arial" w:cs="Arial"/>
          <w:color w:val="000000"/>
          <w:sz w:val="28"/>
          <w:szCs w:val="28"/>
        </w:rPr>
        <w:t>。分领域看，基础设施投资增长</w:t>
      </w:r>
      <w:r>
        <w:rPr>
          <w:rFonts w:ascii="Arial" w:eastAsia="仿宋_GB2312;仿宋" w:hAnsi="Arial" w:cs="Arial"/>
          <w:color w:val="000000"/>
          <w:sz w:val="28"/>
          <w:szCs w:val="28"/>
        </w:rPr>
        <w:t>25.2%</w:t>
      </w:r>
      <w:r>
        <w:rPr>
          <w:rFonts w:ascii="Arial" w:eastAsia="仿宋_GB2312;仿宋" w:hAnsi="Arial" w:cs="Arial"/>
          <w:color w:val="000000"/>
          <w:sz w:val="28"/>
          <w:szCs w:val="28"/>
        </w:rPr>
        <w:t>，制造业投资增长</w:t>
      </w:r>
      <w:r>
        <w:rPr>
          <w:rFonts w:ascii="Arial" w:eastAsia="仿宋_GB2312;仿宋" w:hAnsi="Arial" w:cs="Arial"/>
          <w:color w:val="000000"/>
          <w:sz w:val="28"/>
          <w:szCs w:val="28"/>
        </w:rPr>
        <w:t>15.0%</w:t>
      </w:r>
      <w:r>
        <w:rPr>
          <w:rFonts w:ascii="Arial" w:eastAsia="仿宋_GB2312;仿宋" w:hAnsi="Arial" w:cs="Arial"/>
          <w:color w:val="000000"/>
          <w:sz w:val="28"/>
          <w:szCs w:val="28"/>
        </w:rPr>
        <w:t>，房地产开发投资增长</w:t>
      </w:r>
      <w:r>
        <w:rPr>
          <w:rFonts w:ascii="Arial" w:eastAsia="仿宋_GB2312;仿宋" w:hAnsi="Arial" w:cs="Arial"/>
          <w:color w:val="000000"/>
          <w:sz w:val="28"/>
          <w:szCs w:val="28"/>
        </w:rPr>
        <w:t>2.0%</w:t>
      </w:r>
      <w:r>
        <w:rPr>
          <w:rFonts w:ascii="Arial" w:eastAsia="仿宋_GB2312;仿宋" w:hAnsi="Arial" w:cs="Arial"/>
          <w:color w:val="000000"/>
          <w:sz w:val="28"/>
          <w:szCs w:val="28"/>
        </w:rPr>
        <w:t>。分产业看，第一产业投资下降</w:t>
      </w:r>
      <w:r>
        <w:rPr>
          <w:rFonts w:ascii="Arial" w:eastAsia="仿宋_GB2312;仿宋" w:hAnsi="Arial" w:cs="Arial"/>
          <w:color w:val="000000"/>
          <w:sz w:val="28"/>
          <w:szCs w:val="28"/>
        </w:rPr>
        <w:t>54.3%</w:t>
      </w:r>
      <w:r>
        <w:rPr>
          <w:rFonts w:ascii="Arial" w:eastAsia="仿宋_GB2312;仿宋" w:hAnsi="Arial" w:cs="Arial"/>
          <w:color w:val="000000"/>
          <w:sz w:val="28"/>
          <w:szCs w:val="28"/>
        </w:rPr>
        <w:t>，第二产业投资增长</w:t>
      </w:r>
      <w:r>
        <w:rPr>
          <w:rFonts w:ascii="Arial" w:eastAsia="仿宋_GB2312;仿宋" w:hAnsi="Arial" w:cs="Arial"/>
          <w:color w:val="000000"/>
          <w:sz w:val="28"/>
          <w:szCs w:val="28"/>
        </w:rPr>
        <w:t>9.2%</w:t>
      </w:r>
      <w:r>
        <w:rPr>
          <w:rFonts w:ascii="Arial" w:eastAsia="仿宋_GB2312;仿宋" w:hAnsi="Arial" w:cs="Arial"/>
          <w:color w:val="000000"/>
          <w:sz w:val="28"/>
          <w:szCs w:val="28"/>
        </w:rPr>
        <w:t>，第三产业投资增长</w:t>
      </w:r>
      <w:r>
        <w:rPr>
          <w:rFonts w:ascii="Arial" w:eastAsia="仿宋_GB2312;仿宋" w:hAnsi="Arial" w:cs="Arial"/>
          <w:color w:val="000000"/>
          <w:sz w:val="28"/>
          <w:szCs w:val="28"/>
        </w:rPr>
        <w:t>14.5%</w:t>
      </w:r>
      <w:r>
        <w:rPr>
          <w:rFonts w:ascii="Arial" w:eastAsia="仿宋_GB2312;仿宋" w:hAnsi="Arial" w:cs="Arial"/>
          <w:color w:val="000000"/>
          <w:sz w:val="28"/>
          <w:szCs w:val="28"/>
        </w:rPr>
        <w:t>。高技术产业投资快速增长，高技术制造业投资增长</w:t>
      </w:r>
      <w:r>
        <w:rPr>
          <w:rFonts w:ascii="Arial" w:eastAsia="仿宋_GB2312;仿宋" w:hAnsi="Arial" w:cs="Arial"/>
          <w:color w:val="000000"/>
          <w:sz w:val="28"/>
          <w:szCs w:val="28"/>
        </w:rPr>
        <w:t>28.6%</w:t>
      </w:r>
      <w:r>
        <w:rPr>
          <w:rFonts w:ascii="Arial" w:eastAsia="仿宋_GB2312;仿宋" w:hAnsi="Arial" w:cs="Arial"/>
          <w:color w:val="000000"/>
          <w:sz w:val="28"/>
          <w:szCs w:val="28"/>
        </w:rPr>
        <w:t>，其中，计算机、通信和其他电子设备制造业，专用设备制造业分别增长</w:t>
      </w:r>
      <w:r>
        <w:rPr>
          <w:rFonts w:ascii="Arial" w:eastAsia="仿宋_GB2312;仿宋" w:hAnsi="Arial" w:cs="Arial"/>
          <w:color w:val="000000"/>
          <w:sz w:val="28"/>
          <w:szCs w:val="28"/>
        </w:rPr>
        <w:t>37.5%</w:t>
      </w:r>
      <w:r>
        <w:rPr>
          <w:rFonts w:ascii="Arial" w:eastAsia="仿宋_GB2312;仿宋" w:hAnsi="Arial" w:cs="Arial"/>
          <w:color w:val="000000"/>
          <w:sz w:val="28"/>
          <w:szCs w:val="28"/>
        </w:rPr>
        <w:t>和</w:t>
      </w:r>
      <w:r>
        <w:rPr>
          <w:rFonts w:ascii="Arial" w:eastAsia="仿宋_GB2312;仿宋" w:hAnsi="Arial" w:cs="Arial"/>
          <w:color w:val="000000"/>
          <w:sz w:val="28"/>
          <w:szCs w:val="28"/>
        </w:rPr>
        <w:t>9.5%</w:t>
      </w:r>
      <w:r>
        <w:rPr>
          <w:rFonts w:ascii="Arial" w:eastAsia="仿宋_GB2312;仿宋" w:hAnsi="Arial" w:cs="Arial"/>
          <w:color w:val="000000"/>
          <w:sz w:val="28"/>
          <w:szCs w:val="28"/>
        </w:rPr>
        <w:t>；高技术服务业投资增长</w:t>
      </w:r>
      <w:r>
        <w:rPr>
          <w:rFonts w:ascii="Arial" w:eastAsia="仿宋_GB2312;仿宋" w:hAnsi="Arial" w:cs="Arial"/>
          <w:color w:val="000000"/>
          <w:sz w:val="28"/>
          <w:szCs w:val="28"/>
        </w:rPr>
        <w:t>37.0%</w:t>
      </w:r>
      <w:r>
        <w:rPr>
          <w:rFonts w:ascii="Arial" w:eastAsia="仿宋_GB2312;仿宋" w:hAnsi="Arial" w:cs="Arial"/>
          <w:color w:val="000000"/>
          <w:sz w:val="28"/>
          <w:szCs w:val="28"/>
        </w:rPr>
        <w:t>，其中，研发与设计服务、信息服务投资分别增长</w:t>
      </w:r>
      <w:r>
        <w:rPr>
          <w:rFonts w:ascii="Arial" w:eastAsia="仿宋_GB2312;仿宋" w:hAnsi="Arial" w:cs="Arial"/>
          <w:color w:val="000000"/>
          <w:sz w:val="28"/>
          <w:szCs w:val="28"/>
        </w:rPr>
        <w:t>87.2%</w:t>
      </w:r>
      <w:r>
        <w:rPr>
          <w:rFonts w:ascii="Arial" w:eastAsia="仿宋_GB2312;仿宋" w:hAnsi="Arial" w:cs="Arial"/>
          <w:color w:val="000000"/>
          <w:sz w:val="28"/>
          <w:szCs w:val="28"/>
        </w:rPr>
        <w:t>和</w:t>
      </w:r>
      <w:r>
        <w:rPr>
          <w:rFonts w:ascii="Arial" w:eastAsia="仿宋_GB2312;仿宋" w:hAnsi="Arial" w:cs="Arial"/>
          <w:color w:val="000000"/>
          <w:sz w:val="28"/>
          <w:szCs w:val="28"/>
        </w:rPr>
        <w:t>55.0%</w:t>
      </w:r>
      <w:r>
        <w:rPr>
          <w:rFonts w:ascii="Arial" w:eastAsia="仿宋_GB2312;仿宋" w:hAnsi="Arial" w:cs="Arial"/>
          <w:color w:val="000000"/>
          <w:sz w:val="28"/>
          <w:szCs w:val="28"/>
        </w:rPr>
        <w:t>。</w:t>
      </w:r>
    </w:p>
    <w:p w14:paraId="69AF1463"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房屋施工面积</w:t>
      </w:r>
      <w:r>
        <w:rPr>
          <w:rFonts w:ascii="Arial" w:eastAsia="仿宋_GB2312;仿宋" w:hAnsi="Arial" w:cs="Arial"/>
          <w:color w:val="000000"/>
          <w:sz w:val="28"/>
          <w:szCs w:val="28"/>
        </w:rPr>
        <w:t>10323</w:t>
      </w:r>
      <w:r>
        <w:rPr>
          <w:rFonts w:ascii="Arial" w:eastAsia="仿宋_GB2312;仿宋" w:hAnsi="Arial" w:cs="Arial"/>
          <w:color w:val="000000"/>
          <w:sz w:val="28"/>
          <w:szCs w:val="28"/>
        </w:rPr>
        <w:t>万平方米，同比下降</w:t>
      </w:r>
      <w:r>
        <w:rPr>
          <w:rFonts w:ascii="Arial" w:eastAsia="仿宋_GB2312;仿宋" w:hAnsi="Arial" w:cs="Arial"/>
          <w:color w:val="000000"/>
          <w:sz w:val="28"/>
          <w:szCs w:val="28"/>
        </w:rPr>
        <w:t>11.3%</w:t>
      </w:r>
      <w:r>
        <w:rPr>
          <w:rFonts w:ascii="Arial" w:eastAsia="仿宋_GB2312;仿宋" w:hAnsi="Arial" w:cs="Arial"/>
          <w:color w:val="000000"/>
          <w:sz w:val="28"/>
          <w:szCs w:val="28"/>
        </w:rPr>
        <w:t>，其中住宅施工面积</w:t>
      </w:r>
      <w:r>
        <w:rPr>
          <w:rFonts w:ascii="Arial" w:eastAsia="仿宋_GB2312;仿宋" w:hAnsi="Arial" w:cs="Arial"/>
          <w:color w:val="000000"/>
          <w:sz w:val="28"/>
          <w:szCs w:val="28"/>
        </w:rPr>
        <w:t>5066.5</w:t>
      </w:r>
      <w:r>
        <w:rPr>
          <w:rFonts w:ascii="Arial" w:eastAsia="仿宋_GB2312;仿宋" w:hAnsi="Arial" w:cs="Arial"/>
          <w:color w:val="000000"/>
          <w:sz w:val="28"/>
          <w:szCs w:val="28"/>
        </w:rPr>
        <w:t>万平方米，下降</w:t>
      </w:r>
      <w:r>
        <w:rPr>
          <w:rFonts w:ascii="Arial" w:eastAsia="仿宋_GB2312;仿宋" w:hAnsi="Arial" w:cs="Arial"/>
          <w:color w:val="000000"/>
          <w:sz w:val="28"/>
          <w:szCs w:val="28"/>
        </w:rPr>
        <w:t>12.0%</w:t>
      </w:r>
      <w:r>
        <w:rPr>
          <w:rFonts w:ascii="Arial" w:eastAsia="仿宋_GB2312;仿宋" w:hAnsi="Arial" w:cs="Arial"/>
          <w:color w:val="000000"/>
          <w:sz w:val="28"/>
          <w:szCs w:val="28"/>
        </w:rPr>
        <w:t>。全市商品房销售面积</w:t>
      </w:r>
      <w:r>
        <w:rPr>
          <w:rFonts w:ascii="Arial" w:eastAsia="仿宋_GB2312;仿宋" w:hAnsi="Arial" w:cs="Arial"/>
          <w:color w:val="000000"/>
          <w:sz w:val="28"/>
          <w:szCs w:val="28"/>
        </w:rPr>
        <w:t>232.8</w:t>
      </w:r>
      <w:r>
        <w:rPr>
          <w:rFonts w:ascii="Arial" w:eastAsia="仿宋_GB2312;仿宋" w:hAnsi="Arial" w:cs="Arial"/>
          <w:color w:val="000000"/>
          <w:sz w:val="28"/>
          <w:szCs w:val="28"/>
        </w:rPr>
        <w:t>万平方米，在保障</w:t>
      </w:r>
      <w:proofErr w:type="gramStart"/>
      <w:r>
        <w:rPr>
          <w:rFonts w:ascii="Arial" w:eastAsia="仿宋_GB2312;仿宋" w:hAnsi="Arial" w:cs="Arial"/>
          <w:color w:val="000000"/>
          <w:sz w:val="28"/>
          <w:szCs w:val="28"/>
        </w:rPr>
        <w:t>房集中</w:t>
      </w:r>
      <w:proofErr w:type="gramEnd"/>
      <w:r>
        <w:rPr>
          <w:rFonts w:ascii="Arial" w:eastAsia="仿宋_GB2312;仿宋" w:hAnsi="Arial" w:cs="Arial"/>
          <w:color w:val="000000"/>
          <w:sz w:val="28"/>
          <w:szCs w:val="28"/>
        </w:rPr>
        <w:t>签约带动下，同比增长</w:t>
      </w:r>
      <w:r>
        <w:rPr>
          <w:rFonts w:ascii="Arial" w:eastAsia="仿宋_GB2312;仿宋" w:hAnsi="Arial" w:cs="Arial"/>
          <w:color w:val="000000"/>
          <w:sz w:val="28"/>
          <w:szCs w:val="28"/>
        </w:rPr>
        <w:t>6.5%</w:t>
      </w:r>
      <w:r>
        <w:rPr>
          <w:rFonts w:ascii="Arial" w:eastAsia="仿宋_GB2312;仿宋" w:hAnsi="Arial" w:cs="Arial"/>
          <w:color w:val="000000"/>
          <w:sz w:val="28"/>
          <w:szCs w:val="28"/>
        </w:rPr>
        <w:t>，其中住宅销售面积</w:t>
      </w:r>
      <w:r>
        <w:rPr>
          <w:rFonts w:ascii="Arial" w:eastAsia="仿宋_GB2312;仿宋" w:hAnsi="Arial" w:cs="Arial"/>
          <w:color w:val="000000"/>
          <w:sz w:val="28"/>
          <w:szCs w:val="28"/>
        </w:rPr>
        <w:t>160.3</w:t>
      </w:r>
      <w:r>
        <w:rPr>
          <w:rFonts w:ascii="Arial" w:eastAsia="仿宋_GB2312;仿宋" w:hAnsi="Arial" w:cs="Arial"/>
          <w:color w:val="000000"/>
          <w:sz w:val="28"/>
          <w:szCs w:val="28"/>
        </w:rPr>
        <w:t>万平方米，增长</w:t>
      </w:r>
      <w:r>
        <w:rPr>
          <w:rFonts w:ascii="Arial" w:eastAsia="仿宋_GB2312;仿宋" w:hAnsi="Arial" w:cs="Arial"/>
          <w:color w:val="000000"/>
          <w:sz w:val="28"/>
          <w:szCs w:val="28"/>
        </w:rPr>
        <w:t>8.8%</w:t>
      </w:r>
      <w:r>
        <w:rPr>
          <w:rFonts w:ascii="Arial" w:eastAsia="仿宋_GB2312;仿宋" w:hAnsi="Arial" w:cs="Arial"/>
          <w:color w:val="000000"/>
          <w:sz w:val="28"/>
          <w:szCs w:val="28"/>
        </w:rPr>
        <w:t>。</w:t>
      </w:r>
    </w:p>
    <w:p w14:paraId="7CAE0196"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5</w:t>
      </w:r>
      <w:r>
        <w:rPr>
          <w:rFonts w:ascii="Arial" w:eastAsia="仿宋_GB2312;仿宋" w:hAnsi="Arial" w:cs="Arial"/>
          <w:bCs/>
          <w:color w:val="000000"/>
          <w:sz w:val="28"/>
          <w:szCs w:val="28"/>
        </w:rPr>
        <w:t>）市场消费继续恢复，服务消费增长较快</w:t>
      </w:r>
    </w:p>
    <w:p w14:paraId="3A7FDFB6"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一季度，北京市市场总消费额同比增长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。其中，服务性消费额增长</w:t>
      </w:r>
      <w:r>
        <w:rPr>
          <w:rFonts w:ascii="Arial" w:eastAsia="仿宋_GB2312;仿宋" w:hAnsi="Arial" w:cs="Arial"/>
          <w:bCs/>
          <w:color w:val="000000"/>
          <w:sz w:val="28"/>
          <w:szCs w:val="28"/>
        </w:rPr>
        <w:t>12.0%</w:t>
      </w:r>
      <w:r>
        <w:rPr>
          <w:rFonts w:ascii="Arial" w:eastAsia="仿宋_GB2312;仿宋" w:hAnsi="Arial" w:cs="Arial"/>
          <w:bCs/>
          <w:color w:val="000000"/>
          <w:sz w:val="28"/>
          <w:szCs w:val="28"/>
        </w:rPr>
        <w:t>，</w:t>
      </w:r>
      <w:proofErr w:type="gramStart"/>
      <w:r>
        <w:rPr>
          <w:rFonts w:ascii="Arial" w:eastAsia="仿宋_GB2312;仿宋" w:hAnsi="Arial" w:cs="Arial"/>
          <w:bCs/>
          <w:color w:val="000000"/>
          <w:sz w:val="28"/>
          <w:szCs w:val="28"/>
        </w:rPr>
        <w:t>文旅需求</w:t>
      </w:r>
      <w:proofErr w:type="gramEnd"/>
      <w:r>
        <w:rPr>
          <w:rFonts w:ascii="Arial" w:eastAsia="仿宋_GB2312;仿宋" w:hAnsi="Arial" w:cs="Arial"/>
          <w:bCs/>
          <w:color w:val="000000"/>
          <w:sz w:val="28"/>
          <w:szCs w:val="28"/>
        </w:rPr>
        <w:t>旺盛，交通、信息服务持续向好；实现社会消费品零售总额</w:t>
      </w:r>
      <w:r>
        <w:rPr>
          <w:rFonts w:ascii="Arial" w:eastAsia="仿宋_GB2312;仿宋" w:hAnsi="Arial" w:cs="Arial"/>
          <w:bCs/>
          <w:color w:val="000000"/>
          <w:sz w:val="28"/>
          <w:szCs w:val="28"/>
        </w:rPr>
        <w:t>3553.1</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。社会消费品零售总额中，按消费形态分，商品零售</w:t>
      </w:r>
      <w:r>
        <w:rPr>
          <w:rFonts w:ascii="Arial" w:eastAsia="仿宋_GB2312;仿宋" w:hAnsi="Arial" w:cs="Arial"/>
          <w:bCs/>
          <w:color w:val="000000"/>
          <w:sz w:val="28"/>
          <w:szCs w:val="28"/>
        </w:rPr>
        <w:t>3235.0</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，餐饮收入</w:t>
      </w:r>
      <w:r>
        <w:rPr>
          <w:rFonts w:ascii="Arial" w:eastAsia="仿宋_GB2312;仿宋" w:hAnsi="Arial" w:cs="Arial"/>
          <w:bCs/>
          <w:color w:val="000000"/>
          <w:sz w:val="28"/>
          <w:szCs w:val="28"/>
        </w:rPr>
        <w:t>318.0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0.1%</w:t>
      </w:r>
      <w:r>
        <w:rPr>
          <w:rFonts w:ascii="Arial" w:eastAsia="仿宋_GB2312;仿宋" w:hAnsi="Arial" w:cs="Arial"/>
          <w:bCs/>
          <w:color w:val="000000"/>
          <w:sz w:val="28"/>
          <w:szCs w:val="28"/>
        </w:rPr>
        <w:t>。按商品类别分，限额以上批发和零售业中，与升级类消费相关的金银珠宝类、体育娱乐用品类、通讯器材类商品零售额分别增长</w:t>
      </w:r>
      <w:r>
        <w:rPr>
          <w:rFonts w:ascii="Arial" w:eastAsia="仿宋_GB2312;仿宋" w:hAnsi="Arial" w:cs="Arial"/>
          <w:bCs/>
          <w:color w:val="000000"/>
          <w:sz w:val="28"/>
          <w:szCs w:val="28"/>
        </w:rPr>
        <w:t>24.7%</w:t>
      </w:r>
      <w:r>
        <w:rPr>
          <w:rFonts w:ascii="Arial" w:eastAsia="仿宋_GB2312;仿宋" w:hAnsi="Arial" w:cs="Arial"/>
          <w:bCs/>
          <w:color w:val="000000"/>
          <w:sz w:val="28"/>
          <w:szCs w:val="28"/>
        </w:rPr>
        <w:t>、</w:t>
      </w:r>
      <w:r>
        <w:rPr>
          <w:rFonts w:ascii="Arial" w:eastAsia="仿宋_GB2312;仿宋" w:hAnsi="Arial" w:cs="Arial"/>
          <w:bCs/>
          <w:color w:val="000000"/>
          <w:sz w:val="28"/>
          <w:szCs w:val="28"/>
        </w:rPr>
        <w:t>12.7%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7.6%</w:t>
      </w:r>
      <w:r>
        <w:rPr>
          <w:rFonts w:ascii="Arial" w:eastAsia="仿宋_GB2312;仿宋" w:hAnsi="Arial" w:cs="Arial"/>
          <w:bCs/>
          <w:color w:val="000000"/>
          <w:sz w:val="28"/>
          <w:szCs w:val="28"/>
        </w:rPr>
        <w:t>，汽车类商品零售额增长</w:t>
      </w:r>
      <w:r>
        <w:rPr>
          <w:rFonts w:ascii="Arial" w:eastAsia="仿宋_GB2312;仿宋" w:hAnsi="Arial" w:cs="Arial"/>
          <w:bCs/>
          <w:color w:val="000000"/>
          <w:sz w:val="28"/>
          <w:szCs w:val="28"/>
        </w:rPr>
        <w:t>2.3%</w:t>
      </w:r>
      <w:r>
        <w:rPr>
          <w:rFonts w:ascii="Arial" w:eastAsia="仿宋_GB2312;仿宋" w:hAnsi="Arial" w:cs="Arial"/>
          <w:bCs/>
          <w:color w:val="000000"/>
          <w:sz w:val="28"/>
          <w:szCs w:val="28"/>
        </w:rPr>
        <w:t>，其中新能源汽车增长</w:t>
      </w:r>
      <w:r>
        <w:rPr>
          <w:rFonts w:ascii="Arial" w:eastAsia="仿宋_GB2312;仿宋" w:hAnsi="Arial" w:cs="Arial"/>
          <w:bCs/>
          <w:color w:val="000000"/>
          <w:sz w:val="28"/>
          <w:szCs w:val="28"/>
        </w:rPr>
        <w:t>18.9%</w:t>
      </w:r>
      <w:r>
        <w:rPr>
          <w:rFonts w:ascii="Arial" w:eastAsia="仿宋_GB2312;仿宋" w:hAnsi="Arial" w:cs="Arial"/>
          <w:bCs/>
          <w:color w:val="000000"/>
          <w:sz w:val="28"/>
          <w:szCs w:val="28"/>
        </w:rPr>
        <w:t>。</w:t>
      </w:r>
    </w:p>
    <w:p w14:paraId="56B62BA6"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6</w:t>
      </w:r>
      <w:r>
        <w:rPr>
          <w:rFonts w:ascii="Arial" w:eastAsia="仿宋_GB2312;仿宋" w:hAnsi="Arial" w:cs="Arial"/>
          <w:bCs/>
          <w:color w:val="000000"/>
          <w:sz w:val="28"/>
          <w:szCs w:val="28"/>
        </w:rPr>
        <w:t>）</w:t>
      </w:r>
      <w:r>
        <w:rPr>
          <w:rFonts w:ascii="Arial" w:eastAsia="仿宋_GB2312;仿宋" w:hAnsi="Arial" w:cs="Arial"/>
          <w:color w:val="000000"/>
          <w:sz w:val="28"/>
          <w:szCs w:val="28"/>
        </w:rPr>
        <w:t>居民消费价格温和上涨，工业生产者出厂价格同比下降</w:t>
      </w:r>
    </w:p>
    <w:p w14:paraId="25B553AD"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一季度，北京市居民消费价格同比上涨</w:t>
      </w:r>
      <w:r>
        <w:rPr>
          <w:rFonts w:ascii="Arial" w:eastAsia="仿宋_GB2312;仿宋" w:hAnsi="Arial" w:cs="Arial"/>
          <w:bCs/>
          <w:color w:val="000000"/>
          <w:sz w:val="28"/>
          <w:szCs w:val="28"/>
        </w:rPr>
        <w:t>0.2%</w:t>
      </w:r>
      <w:r>
        <w:rPr>
          <w:rFonts w:ascii="Arial" w:eastAsia="仿宋_GB2312;仿宋" w:hAnsi="Arial" w:cs="Arial"/>
          <w:bCs/>
          <w:color w:val="000000"/>
          <w:sz w:val="28"/>
          <w:szCs w:val="28"/>
        </w:rPr>
        <w:t>。其中，消费品价格下降</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，服务价格上涨</w:t>
      </w:r>
      <w:r>
        <w:rPr>
          <w:rFonts w:ascii="Arial" w:eastAsia="仿宋_GB2312;仿宋" w:hAnsi="Arial" w:cs="Arial"/>
          <w:bCs/>
          <w:color w:val="000000"/>
          <w:sz w:val="28"/>
          <w:szCs w:val="28"/>
        </w:rPr>
        <w:t>1.7%</w:t>
      </w:r>
      <w:r>
        <w:rPr>
          <w:rFonts w:ascii="Arial" w:eastAsia="仿宋_GB2312;仿宋" w:hAnsi="Arial" w:cs="Arial"/>
          <w:bCs/>
          <w:color w:val="000000"/>
          <w:sz w:val="28"/>
          <w:szCs w:val="28"/>
        </w:rPr>
        <w:t>。八大类商品和服务项目中，教育文化娱乐类价格上涨</w:t>
      </w:r>
      <w:r>
        <w:rPr>
          <w:rFonts w:ascii="Arial" w:eastAsia="仿宋_GB2312;仿宋" w:hAnsi="Arial" w:cs="Arial"/>
          <w:bCs/>
          <w:color w:val="000000"/>
          <w:sz w:val="28"/>
          <w:szCs w:val="28"/>
        </w:rPr>
        <w:t>6.2%</w:t>
      </w:r>
      <w:r>
        <w:rPr>
          <w:rFonts w:ascii="Arial" w:eastAsia="仿宋_GB2312;仿宋" w:hAnsi="Arial" w:cs="Arial"/>
          <w:bCs/>
          <w:color w:val="000000"/>
          <w:sz w:val="28"/>
          <w:szCs w:val="28"/>
        </w:rPr>
        <w:t>，其他用品及服务类价格上涨</w:t>
      </w:r>
      <w:r>
        <w:rPr>
          <w:rFonts w:ascii="Arial" w:eastAsia="仿宋_GB2312;仿宋" w:hAnsi="Arial" w:cs="Arial"/>
          <w:bCs/>
          <w:color w:val="000000"/>
          <w:sz w:val="28"/>
          <w:szCs w:val="28"/>
        </w:rPr>
        <w:t>3.5%</w:t>
      </w:r>
      <w:r>
        <w:rPr>
          <w:rFonts w:ascii="Arial" w:eastAsia="仿宋_GB2312;仿宋" w:hAnsi="Arial" w:cs="Arial"/>
          <w:bCs/>
          <w:color w:val="000000"/>
          <w:sz w:val="28"/>
          <w:szCs w:val="28"/>
        </w:rPr>
        <w:t>，衣着类价格上涨</w:t>
      </w:r>
      <w:r>
        <w:rPr>
          <w:rFonts w:ascii="Arial" w:eastAsia="仿宋_GB2312;仿宋" w:hAnsi="Arial" w:cs="Arial"/>
          <w:bCs/>
          <w:color w:val="000000"/>
          <w:sz w:val="28"/>
          <w:szCs w:val="28"/>
        </w:rPr>
        <w:t>0.4%</w:t>
      </w:r>
      <w:r>
        <w:rPr>
          <w:rFonts w:ascii="Arial" w:eastAsia="仿宋_GB2312;仿宋" w:hAnsi="Arial" w:cs="Arial"/>
          <w:bCs/>
          <w:color w:val="000000"/>
          <w:sz w:val="28"/>
          <w:szCs w:val="28"/>
        </w:rPr>
        <w:t>，生活用品及服务类价格上涨</w:t>
      </w:r>
      <w:r>
        <w:rPr>
          <w:rFonts w:ascii="Arial" w:eastAsia="仿宋_GB2312;仿宋" w:hAnsi="Arial" w:cs="Arial"/>
          <w:bCs/>
          <w:color w:val="000000"/>
          <w:sz w:val="28"/>
          <w:szCs w:val="28"/>
        </w:rPr>
        <w:t>0.3%</w:t>
      </w:r>
      <w:r>
        <w:rPr>
          <w:rFonts w:ascii="Arial" w:eastAsia="仿宋_GB2312;仿宋" w:hAnsi="Arial" w:cs="Arial"/>
          <w:bCs/>
          <w:color w:val="000000"/>
          <w:sz w:val="28"/>
          <w:szCs w:val="28"/>
        </w:rPr>
        <w:t>，医疗保健类价格上涨</w:t>
      </w:r>
      <w:r>
        <w:rPr>
          <w:rFonts w:ascii="Arial" w:eastAsia="仿宋_GB2312;仿宋" w:hAnsi="Arial" w:cs="Arial"/>
          <w:bCs/>
          <w:color w:val="000000"/>
          <w:sz w:val="28"/>
          <w:szCs w:val="28"/>
        </w:rPr>
        <w:t>0.1%</w:t>
      </w:r>
      <w:r>
        <w:rPr>
          <w:rFonts w:ascii="Arial" w:eastAsia="仿宋_GB2312;仿宋" w:hAnsi="Arial" w:cs="Arial"/>
          <w:bCs/>
          <w:color w:val="000000"/>
          <w:sz w:val="28"/>
          <w:szCs w:val="28"/>
        </w:rPr>
        <w:t>，居住类价格同比持平，食品烟酒类价格下降</w:t>
      </w:r>
      <w:r>
        <w:rPr>
          <w:rFonts w:ascii="Arial" w:eastAsia="仿宋_GB2312;仿宋" w:hAnsi="Arial" w:cs="Arial"/>
          <w:bCs/>
          <w:color w:val="000000"/>
          <w:sz w:val="28"/>
          <w:szCs w:val="28"/>
        </w:rPr>
        <w:t>2.7%</w:t>
      </w:r>
      <w:r>
        <w:rPr>
          <w:rFonts w:ascii="Arial" w:eastAsia="仿宋_GB2312;仿宋" w:hAnsi="Arial" w:cs="Arial"/>
          <w:bCs/>
          <w:color w:val="000000"/>
          <w:sz w:val="28"/>
          <w:szCs w:val="28"/>
        </w:rPr>
        <w:t>，交通通信类价格下降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月份，居民消费价格同比持平，环比下降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w:t>
      </w:r>
    </w:p>
    <w:p w14:paraId="3857DB8E"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一季度，北京市工业生产者出厂价格同比下降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月份，工业生产者出厂价格同比下降</w:t>
      </w:r>
      <w:r>
        <w:rPr>
          <w:rFonts w:ascii="Arial" w:eastAsia="仿宋_GB2312;仿宋" w:hAnsi="Arial" w:cs="Arial"/>
          <w:bCs/>
          <w:color w:val="000000"/>
          <w:sz w:val="28"/>
          <w:szCs w:val="28"/>
        </w:rPr>
        <w:t>1.5%</w:t>
      </w:r>
      <w:r>
        <w:rPr>
          <w:rFonts w:ascii="Arial" w:eastAsia="仿宋_GB2312;仿宋" w:hAnsi="Arial" w:cs="Arial"/>
          <w:bCs/>
          <w:color w:val="000000"/>
          <w:sz w:val="28"/>
          <w:szCs w:val="28"/>
        </w:rPr>
        <w:t>，环比下降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，环比持平。</w:t>
      </w:r>
    </w:p>
    <w:p w14:paraId="1D8EA9E9"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7</w:t>
      </w:r>
      <w:r>
        <w:rPr>
          <w:rFonts w:ascii="Arial" w:eastAsia="仿宋_GB2312;仿宋" w:hAnsi="Arial" w:cs="Arial"/>
          <w:bCs/>
          <w:color w:val="000000"/>
          <w:sz w:val="28"/>
          <w:szCs w:val="28"/>
        </w:rPr>
        <w:t>）</w:t>
      </w:r>
      <w:r>
        <w:rPr>
          <w:rFonts w:ascii="Arial" w:eastAsia="仿宋_GB2312;仿宋" w:hAnsi="Arial" w:cs="Arial"/>
          <w:color w:val="000000"/>
          <w:sz w:val="28"/>
          <w:szCs w:val="28"/>
        </w:rPr>
        <w:t>就业形势总体稳定，居民收入稳步增加</w:t>
      </w:r>
    </w:p>
    <w:p w14:paraId="05190286"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一季度，北京市城镇调查失业率均值为</w:t>
      </w:r>
      <w:r>
        <w:rPr>
          <w:rFonts w:ascii="Arial" w:eastAsia="仿宋_GB2312;仿宋" w:hAnsi="Arial" w:cs="Arial"/>
          <w:bCs/>
          <w:color w:val="000000"/>
          <w:sz w:val="28"/>
          <w:szCs w:val="28"/>
        </w:rPr>
        <w:t>4.2%</w:t>
      </w:r>
      <w:r>
        <w:rPr>
          <w:rFonts w:ascii="Arial" w:eastAsia="仿宋_GB2312;仿宋" w:hAnsi="Arial" w:cs="Arial"/>
          <w:bCs/>
          <w:color w:val="000000"/>
          <w:sz w:val="28"/>
          <w:szCs w:val="28"/>
        </w:rPr>
        <w:t>，低于上年同期</w:t>
      </w:r>
      <w:r>
        <w:rPr>
          <w:rFonts w:ascii="Arial" w:eastAsia="仿宋_GB2312;仿宋" w:hAnsi="Arial" w:cs="Arial"/>
          <w:bCs/>
          <w:color w:val="000000"/>
          <w:sz w:val="28"/>
          <w:szCs w:val="28"/>
        </w:rPr>
        <w:t>0.4</w:t>
      </w:r>
      <w:r>
        <w:rPr>
          <w:rFonts w:ascii="Arial" w:eastAsia="仿宋_GB2312;仿宋" w:hAnsi="Arial" w:cs="Arial"/>
          <w:bCs/>
          <w:color w:val="000000"/>
          <w:sz w:val="28"/>
          <w:szCs w:val="28"/>
        </w:rPr>
        <w:t>个百分点；</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月份，城镇调查失业率为</w:t>
      </w:r>
      <w:r>
        <w:rPr>
          <w:rFonts w:ascii="Arial" w:eastAsia="仿宋_GB2312;仿宋" w:hAnsi="Arial" w:cs="Arial"/>
          <w:bCs/>
          <w:color w:val="000000"/>
          <w:sz w:val="28"/>
          <w:szCs w:val="28"/>
        </w:rPr>
        <w:t>4.3%</w:t>
      </w:r>
      <w:r>
        <w:rPr>
          <w:rFonts w:ascii="Arial" w:eastAsia="仿宋_GB2312;仿宋" w:hAnsi="Arial" w:cs="Arial"/>
          <w:bCs/>
          <w:color w:val="000000"/>
          <w:sz w:val="28"/>
          <w:szCs w:val="28"/>
        </w:rPr>
        <w:t>，环比持平。</w:t>
      </w:r>
    </w:p>
    <w:p w14:paraId="2B828EF8"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一季度，北京市居民人均可支配收入</w:t>
      </w:r>
      <w:r>
        <w:rPr>
          <w:rFonts w:ascii="Arial" w:eastAsia="仿宋_GB2312;仿宋" w:hAnsi="Arial" w:cs="Arial"/>
          <w:bCs/>
          <w:color w:val="000000"/>
          <w:sz w:val="28"/>
          <w:szCs w:val="28"/>
        </w:rPr>
        <w:t>22481</w:t>
      </w:r>
      <w:r>
        <w:rPr>
          <w:rFonts w:ascii="Arial" w:eastAsia="仿宋_GB2312;仿宋" w:hAnsi="Arial" w:cs="Arial"/>
          <w:bCs/>
          <w:color w:val="000000"/>
          <w:sz w:val="28"/>
          <w:szCs w:val="28"/>
        </w:rPr>
        <w:t>元，同比名义增长</w:t>
      </w:r>
      <w:r>
        <w:rPr>
          <w:rFonts w:ascii="Arial" w:eastAsia="仿宋_GB2312;仿宋" w:hAnsi="Arial" w:cs="Arial"/>
          <w:bCs/>
          <w:color w:val="000000"/>
          <w:sz w:val="28"/>
          <w:szCs w:val="28"/>
        </w:rPr>
        <w:t>5.2%</w:t>
      </w:r>
      <w:r>
        <w:rPr>
          <w:rFonts w:ascii="Arial" w:eastAsia="仿宋_GB2312;仿宋" w:hAnsi="Arial" w:cs="Arial"/>
          <w:bCs/>
          <w:color w:val="000000"/>
          <w:sz w:val="28"/>
          <w:szCs w:val="28"/>
        </w:rPr>
        <w:t>，扣除价格因素实际增长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。其中，工资性收入增长</w:t>
      </w:r>
      <w:r>
        <w:rPr>
          <w:rFonts w:ascii="Arial" w:eastAsia="仿宋_GB2312;仿宋" w:hAnsi="Arial" w:cs="Arial"/>
          <w:bCs/>
          <w:color w:val="000000"/>
          <w:sz w:val="28"/>
          <w:szCs w:val="28"/>
        </w:rPr>
        <w:t>6.5%</w:t>
      </w:r>
      <w:r>
        <w:rPr>
          <w:rFonts w:ascii="Arial" w:eastAsia="仿宋_GB2312;仿宋" w:hAnsi="Arial" w:cs="Arial"/>
          <w:bCs/>
          <w:color w:val="000000"/>
          <w:sz w:val="28"/>
          <w:szCs w:val="28"/>
        </w:rPr>
        <w:t>，经营净收入增长</w:t>
      </w:r>
      <w:r>
        <w:rPr>
          <w:rFonts w:ascii="Arial" w:eastAsia="仿宋_GB2312;仿宋" w:hAnsi="Arial" w:cs="Arial"/>
          <w:bCs/>
          <w:color w:val="000000"/>
          <w:sz w:val="28"/>
          <w:szCs w:val="28"/>
        </w:rPr>
        <w:t>0.4%</w:t>
      </w:r>
      <w:r>
        <w:rPr>
          <w:rFonts w:ascii="Arial" w:eastAsia="仿宋_GB2312;仿宋" w:hAnsi="Arial" w:cs="Arial"/>
          <w:bCs/>
          <w:color w:val="000000"/>
          <w:sz w:val="28"/>
          <w:szCs w:val="28"/>
        </w:rPr>
        <w:t>，财产净收入增长</w:t>
      </w:r>
      <w:r>
        <w:rPr>
          <w:rFonts w:ascii="Arial" w:eastAsia="仿宋_GB2312;仿宋" w:hAnsi="Arial" w:cs="Arial"/>
          <w:bCs/>
          <w:color w:val="000000"/>
          <w:sz w:val="28"/>
          <w:szCs w:val="28"/>
        </w:rPr>
        <w:t>2.5%</w:t>
      </w:r>
      <w:r>
        <w:rPr>
          <w:rFonts w:ascii="Arial" w:eastAsia="仿宋_GB2312;仿宋" w:hAnsi="Arial" w:cs="Arial"/>
          <w:bCs/>
          <w:color w:val="000000"/>
          <w:sz w:val="28"/>
          <w:szCs w:val="28"/>
        </w:rPr>
        <w:t>，转移净收入增长</w:t>
      </w:r>
      <w:r>
        <w:rPr>
          <w:rFonts w:ascii="Arial" w:eastAsia="仿宋_GB2312;仿宋" w:hAnsi="Arial" w:cs="Arial"/>
          <w:bCs/>
          <w:color w:val="000000"/>
          <w:sz w:val="28"/>
          <w:szCs w:val="28"/>
        </w:rPr>
        <w:t>3.3%</w:t>
      </w:r>
      <w:r>
        <w:rPr>
          <w:rFonts w:ascii="Arial" w:eastAsia="仿宋_GB2312;仿宋" w:hAnsi="Arial" w:cs="Arial"/>
          <w:bCs/>
          <w:color w:val="000000"/>
          <w:sz w:val="28"/>
          <w:szCs w:val="28"/>
        </w:rPr>
        <w:t>。城镇居民人均可支配收入</w:t>
      </w:r>
      <w:r>
        <w:rPr>
          <w:rFonts w:ascii="Arial" w:eastAsia="仿宋_GB2312;仿宋" w:hAnsi="Arial" w:cs="Arial"/>
          <w:bCs/>
          <w:color w:val="000000"/>
          <w:sz w:val="28"/>
          <w:szCs w:val="28"/>
        </w:rPr>
        <w:t>24210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，农村居民人均可支配收入</w:t>
      </w:r>
      <w:r>
        <w:rPr>
          <w:rFonts w:ascii="Arial" w:eastAsia="仿宋_GB2312;仿宋" w:hAnsi="Arial" w:cs="Arial"/>
          <w:bCs/>
          <w:color w:val="000000"/>
          <w:sz w:val="28"/>
          <w:szCs w:val="28"/>
        </w:rPr>
        <w:t>11305</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7.1%</w:t>
      </w:r>
      <w:r>
        <w:rPr>
          <w:rFonts w:ascii="Arial" w:eastAsia="仿宋_GB2312;仿宋" w:hAnsi="Arial" w:cs="Arial"/>
          <w:bCs/>
          <w:color w:val="000000"/>
          <w:sz w:val="28"/>
          <w:szCs w:val="28"/>
        </w:rPr>
        <w:t>。</w:t>
      </w:r>
    </w:p>
    <w:p w14:paraId="4AB39417"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一季度，北京市居民人均消费支出</w:t>
      </w:r>
      <w:r>
        <w:rPr>
          <w:rFonts w:ascii="Arial" w:eastAsia="仿宋_GB2312;仿宋" w:hAnsi="Arial" w:cs="Arial"/>
          <w:bCs/>
          <w:color w:val="000000"/>
          <w:sz w:val="28"/>
          <w:szCs w:val="28"/>
        </w:rPr>
        <w:t>13034</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8.2%,</w:t>
      </w:r>
      <w:r>
        <w:rPr>
          <w:rFonts w:ascii="Arial" w:eastAsia="仿宋_GB2312;仿宋" w:hAnsi="Arial" w:cs="Arial"/>
          <w:bCs/>
          <w:color w:val="000000"/>
          <w:sz w:val="28"/>
          <w:szCs w:val="28"/>
        </w:rPr>
        <w:t>其中，城镇居民人均消费支出</w:t>
      </w:r>
      <w:r>
        <w:rPr>
          <w:rFonts w:ascii="Arial" w:eastAsia="仿宋_GB2312;仿宋" w:hAnsi="Arial" w:cs="Arial"/>
          <w:bCs/>
          <w:color w:val="000000"/>
          <w:sz w:val="28"/>
          <w:szCs w:val="28"/>
        </w:rPr>
        <w:t>13938</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8.3%</w:t>
      </w:r>
      <w:r>
        <w:rPr>
          <w:rFonts w:ascii="Arial" w:eastAsia="仿宋_GB2312;仿宋" w:hAnsi="Arial" w:cs="Arial"/>
          <w:bCs/>
          <w:color w:val="000000"/>
          <w:sz w:val="28"/>
          <w:szCs w:val="28"/>
        </w:rPr>
        <w:t>，农村居民人均消费支出</w:t>
      </w:r>
      <w:r>
        <w:rPr>
          <w:rFonts w:ascii="Arial" w:eastAsia="仿宋_GB2312;仿宋" w:hAnsi="Arial" w:cs="Arial"/>
          <w:bCs/>
          <w:color w:val="000000"/>
          <w:sz w:val="28"/>
          <w:szCs w:val="28"/>
        </w:rPr>
        <w:t>7190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7.2%</w:t>
      </w:r>
      <w:r>
        <w:rPr>
          <w:rFonts w:ascii="Arial" w:eastAsia="仿宋_GB2312;仿宋" w:hAnsi="Arial" w:cs="Arial"/>
          <w:bCs/>
          <w:color w:val="000000"/>
          <w:sz w:val="28"/>
          <w:szCs w:val="28"/>
        </w:rPr>
        <w:t>。</w:t>
      </w:r>
    </w:p>
    <w:p w14:paraId="66450195"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总的来看，一季度北京市经济呈现回升向好态势，在市委、市政府坚强领导下，全市上下坚决贯彻落实党中央、国务院决策部署，坚持稳中求进、以</w:t>
      </w:r>
      <w:proofErr w:type="gramStart"/>
      <w:r>
        <w:rPr>
          <w:rFonts w:ascii="Arial" w:eastAsia="仿宋_GB2312;仿宋" w:hAnsi="Arial" w:cs="Arial"/>
          <w:bCs/>
          <w:color w:val="000000"/>
          <w:sz w:val="28"/>
          <w:szCs w:val="28"/>
        </w:rPr>
        <w:t>进促稳</w:t>
      </w:r>
      <w:proofErr w:type="gramEnd"/>
      <w:r>
        <w:rPr>
          <w:rFonts w:ascii="Arial" w:eastAsia="仿宋_GB2312;仿宋" w:hAnsi="Arial" w:cs="Arial"/>
          <w:bCs/>
          <w:color w:val="000000"/>
          <w:sz w:val="28"/>
          <w:szCs w:val="28"/>
        </w:rPr>
        <w:t>、先立后破，统筹协调各项政策措施，着力扩内需、优结构、提信心、防风险，扎实推动高质量发展，生产需求继续好转，就业物价保持稳定，市场预期不断改善，总体经济回升向好，实现良好开局。</w:t>
      </w:r>
    </w:p>
    <w:p w14:paraId="005A990F"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（二）区域因素</w:t>
      </w:r>
    </w:p>
    <w:p w14:paraId="2EAE857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 xml:space="preserve">1. </w:t>
      </w:r>
      <w:r>
        <w:rPr>
          <w:rFonts w:ascii="Arial" w:eastAsia="仿宋_GB2312;仿宋" w:hAnsi="Arial" w:cs="Arial"/>
          <w:sz w:val="28"/>
        </w:rPr>
        <w:t>位置状况</w:t>
      </w:r>
    </w:p>
    <w:p w14:paraId="78428509" w14:textId="77777777" w:rsidR="00E70101" w:rsidRDefault="0060680B">
      <w:pPr>
        <w:spacing w:line="360" w:lineRule="auto"/>
        <w:ind w:firstLine="560"/>
        <w:jc w:val="both"/>
        <w:rPr>
          <w:rFonts w:eastAsia="仿宋_GB2312;仿宋"/>
        </w:rPr>
      </w:pPr>
      <w:r>
        <w:rPr>
          <w:rFonts w:ascii="Arial" w:eastAsia="仿宋_GB2312;仿宋" w:hAnsi="Arial" w:cs="Arial"/>
          <w:sz w:val="28"/>
        </w:rPr>
        <w:t>咨询对象位于北京市昌平区北七家镇八仙庄村。北七家镇，北京市</w:t>
      </w:r>
      <w:proofErr w:type="gramStart"/>
      <w:r>
        <w:rPr>
          <w:rFonts w:ascii="Arial" w:eastAsia="仿宋_GB2312;仿宋" w:hAnsi="Arial" w:cs="Arial"/>
          <w:sz w:val="28"/>
        </w:rPr>
        <w:t>昌平区</w:t>
      </w:r>
      <w:proofErr w:type="gramEnd"/>
      <w:r>
        <w:rPr>
          <w:rFonts w:ascii="Arial" w:eastAsia="仿宋_GB2312;仿宋" w:hAnsi="Arial" w:cs="Arial"/>
          <w:sz w:val="28"/>
        </w:rPr>
        <w:t>下辖镇，地处</w:t>
      </w:r>
      <w:proofErr w:type="gramStart"/>
      <w:r>
        <w:rPr>
          <w:rFonts w:ascii="Arial" w:eastAsia="仿宋_GB2312;仿宋" w:hAnsi="Arial" w:cs="Arial"/>
          <w:sz w:val="28"/>
        </w:rPr>
        <w:t>昌平区</w:t>
      </w:r>
      <w:proofErr w:type="gramEnd"/>
      <w:r>
        <w:rPr>
          <w:rFonts w:ascii="Arial" w:eastAsia="仿宋_GB2312;仿宋" w:hAnsi="Arial" w:cs="Arial"/>
          <w:sz w:val="28"/>
        </w:rPr>
        <w:t>东南部，位于东经</w:t>
      </w:r>
      <w:r>
        <w:rPr>
          <w:rFonts w:ascii="Arial" w:eastAsia="仿宋_GB2312;仿宋" w:hAnsi="Arial" w:cs="Arial"/>
          <w:sz w:val="28"/>
        </w:rPr>
        <w:t>116°20</w:t>
      </w:r>
      <w:r>
        <w:rPr>
          <w:rFonts w:ascii="仿宋_GB2312;仿宋" w:eastAsia="仿宋_GB2312;仿宋" w:hAnsi="仿宋_GB2312;仿宋" w:cs="仿宋_GB2312;仿宋"/>
          <w:sz w:val="28"/>
        </w:rPr>
        <w:t>′</w:t>
      </w:r>
      <w:r>
        <w:rPr>
          <w:rFonts w:ascii="Arial" w:eastAsia="仿宋_GB2312;仿宋" w:hAnsi="Arial" w:cs="Arial"/>
          <w:sz w:val="28"/>
        </w:rPr>
        <w:t>45</w:t>
      </w:r>
      <w:r>
        <w:rPr>
          <w:rFonts w:ascii="仿宋_GB2312;仿宋" w:eastAsia="仿宋_GB2312;仿宋" w:hAnsi="仿宋_GB2312;仿宋" w:cs="仿宋_GB2312;仿宋"/>
          <w:sz w:val="28"/>
        </w:rPr>
        <w:t>″</w:t>
      </w:r>
      <w:r>
        <w:rPr>
          <w:rFonts w:ascii="Arial" w:eastAsia="仿宋_GB2312;仿宋" w:hAnsi="Arial" w:cs="Arial"/>
          <w:sz w:val="28"/>
        </w:rPr>
        <w:t>~116°29</w:t>
      </w:r>
      <w:r>
        <w:rPr>
          <w:rFonts w:ascii="仿宋_GB2312;仿宋" w:eastAsia="仿宋_GB2312;仿宋" w:hAnsi="仿宋_GB2312;仿宋" w:cs="仿宋_GB2312;仿宋"/>
          <w:sz w:val="28"/>
        </w:rPr>
        <w:t>′</w:t>
      </w:r>
      <w:r>
        <w:rPr>
          <w:rFonts w:ascii="Arial" w:eastAsia="仿宋_GB2312;仿宋" w:hAnsi="Arial" w:cs="Arial"/>
          <w:sz w:val="28"/>
        </w:rPr>
        <w:t>11</w:t>
      </w:r>
      <w:r>
        <w:rPr>
          <w:rFonts w:ascii="仿宋_GB2312;仿宋" w:eastAsia="仿宋_GB2312;仿宋" w:hAnsi="仿宋_GB2312;仿宋" w:cs="仿宋_GB2312;仿宋"/>
          <w:sz w:val="28"/>
        </w:rPr>
        <w:t>″</w:t>
      </w:r>
      <w:r>
        <w:rPr>
          <w:rFonts w:ascii="Arial" w:eastAsia="仿宋_GB2312;仿宋" w:hAnsi="Arial" w:cs="Arial"/>
          <w:sz w:val="28"/>
        </w:rPr>
        <w:t>，北纬</w:t>
      </w:r>
      <w:r>
        <w:rPr>
          <w:rFonts w:ascii="Arial" w:eastAsia="仿宋_GB2312;仿宋" w:hAnsi="Arial" w:cs="Arial"/>
          <w:sz w:val="28"/>
        </w:rPr>
        <w:t>40°03</w:t>
      </w:r>
      <w:r>
        <w:rPr>
          <w:rFonts w:ascii="仿宋_GB2312;仿宋" w:eastAsia="仿宋_GB2312;仿宋" w:hAnsi="仿宋_GB2312;仿宋" w:cs="仿宋_GB2312;仿宋"/>
          <w:sz w:val="28"/>
        </w:rPr>
        <w:t>′</w:t>
      </w:r>
      <w:r>
        <w:rPr>
          <w:rFonts w:ascii="Arial" w:eastAsia="仿宋_GB2312;仿宋" w:hAnsi="Arial" w:cs="Arial"/>
          <w:sz w:val="28"/>
        </w:rPr>
        <w:t>27</w:t>
      </w:r>
      <w:r>
        <w:rPr>
          <w:rFonts w:ascii="仿宋_GB2312;仿宋" w:eastAsia="仿宋_GB2312;仿宋" w:hAnsi="仿宋_GB2312;仿宋" w:cs="仿宋_GB2312;仿宋"/>
          <w:sz w:val="28"/>
        </w:rPr>
        <w:t>″</w:t>
      </w:r>
      <w:r>
        <w:rPr>
          <w:rFonts w:ascii="Arial" w:eastAsia="仿宋_GB2312;仿宋" w:hAnsi="Arial" w:cs="Arial"/>
          <w:sz w:val="28"/>
        </w:rPr>
        <w:t>~40°09</w:t>
      </w:r>
      <w:r>
        <w:rPr>
          <w:rFonts w:ascii="仿宋_GB2312;仿宋" w:eastAsia="仿宋_GB2312;仿宋" w:hAnsi="仿宋_GB2312;仿宋" w:cs="仿宋_GB2312;仿宋"/>
          <w:sz w:val="28"/>
        </w:rPr>
        <w:t>′</w:t>
      </w:r>
      <w:r>
        <w:rPr>
          <w:rFonts w:ascii="Arial" w:eastAsia="仿宋_GB2312;仿宋" w:hAnsi="Arial" w:cs="Arial"/>
          <w:sz w:val="28"/>
        </w:rPr>
        <w:t>10</w:t>
      </w:r>
      <w:r>
        <w:rPr>
          <w:rFonts w:ascii="仿宋_GB2312;仿宋" w:eastAsia="仿宋_GB2312;仿宋" w:hAnsi="仿宋_GB2312;仿宋" w:cs="仿宋_GB2312;仿宋"/>
          <w:sz w:val="28"/>
        </w:rPr>
        <w:t>″</w:t>
      </w:r>
      <w:r>
        <w:rPr>
          <w:rFonts w:ascii="Arial" w:eastAsia="仿宋_GB2312;仿宋" w:hAnsi="Arial" w:cs="Arial"/>
          <w:sz w:val="28"/>
        </w:rPr>
        <w:t>之间，东与顺义区后沙峪镇交界，南与朝阳区来广营乡、</w:t>
      </w:r>
      <w:proofErr w:type="gramStart"/>
      <w:r>
        <w:rPr>
          <w:rFonts w:ascii="Arial" w:eastAsia="仿宋_GB2312;仿宋" w:hAnsi="Arial" w:cs="Arial"/>
          <w:sz w:val="28"/>
        </w:rPr>
        <w:t>昌平区</w:t>
      </w:r>
      <w:proofErr w:type="gramEnd"/>
      <w:r>
        <w:rPr>
          <w:rFonts w:ascii="Arial" w:eastAsia="仿宋_GB2312;仿宋" w:hAnsi="Arial" w:cs="Arial"/>
          <w:sz w:val="28"/>
        </w:rPr>
        <w:t>东小口镇接壤，西与沙河镇相邻，北与小汤山</w:t>
      </w:r>
      <w:proofErr w:type="gramStart"/>
      <w:r>
        <w:rPr>
          <w:rFonts w:ascii="Arial" w:eastAsia="仿宋_GB2312;仿宋" w:hAnsi="Arial" w:cs="Arial"/>
          <w:sz w:val="28"/>
        </w:rPr>
        <w:t>镇隔温</w:t>
      </w:r>
      <w:proofErr w:type="gramEnd"/>
      <w:r>
        <w:rPr>
          <w:rFonts w:ascii="Arial" w:eastAsia="仿宋_GB2312;仿宋" w:hAnsi="Arial" w:cs="Arial"/>
          <w:sz w:val="28"/>
        </w:rPr>
        <w:t>榆河相望。镇域面积</w:t>
      </w:r>
      <w:r>
        <w:rPr>
          <w:rFonts w:ascii="Arial" w:eastAsia="仿宋_GB2312;仿宋" w:hAnsi="Arial" w:cs="Arial"/>
          <w:sz w:val="28"/>
        </w:rPr>
        <w:t>56.65</w:t>
      </w:r>
      <w:r>
        <w:rPr>
          <w:rFonts w:ascii="Arial" w:eastAsia="仿宋_GB2312;仿宋" w:hAnsi="Arial" w:cs="Arial"/>
          <w:sz w:val="28"/>
        </w:rPr>
        <w:t>平方千米。北七家镇地处温榆河冲积平原，地势西北高、东南低。最高点位于西北部八仙庄村西南，海拔</w:t>
      </w:r>
      <w:r>
        <w:rPr>
          <w:rFonts w:ascii="Arial" w:eastAsia="仿宋_GB2312;仿宋" w:hAnsi="Arial" w:cs="Arial"/>
          <w:sz w:val="28"/>
        </w:rPr>
        <w:t>40.8</w:t>
      </w:r>
      <w:r>
        <w:rPr>
          <w:rFonts w:ascii="Arial" w:eastAsia="仿宋_GB2312;仿宋" w:hAnsi="Arial" w:cs="Arial"/>
          <w:sz w:val="28"/>
        </w:rPr>
        <w:t>米，最低点位于东南部鲁瞳村南，海拔</w:t>
      </w:r>
      <w:r>
        <w:rPr>
          <w:rFonts w:ascii="Arial" w:eastAsia="仿宋_GB2312;仿宋" w:hAnsi="Arial" w:cs="Arial"/>
          <w:sz w:val="28"/>
        </w:rPr>
        <w:t>26</w:t>
      </w:r>
      <w:r>
        <w:rPr>
          <w:rFonts w:ascii="Arial" w:eastAsia="仿宋_GB2312;仿宋" w:hAnsi="Arial" w:cs="Arial"/>
          <w:sz w:val="28"/>
        </w:rPr>
        <w:t>米。北</w:t>
      </w:r>
      <w:proofErr w:type="gramStart"/>
      <w:r>
        <w:rPr>
          <w:rFonts w:ascii="Arial" w:eastAsia="仿宋_GB2312;仿宋" w:hAnsi="Arial" w:cs="Arial"/>
          <w:sz w:val="28"/>
        </w:rPr>
        <w:t>七家镇温榆河属北运河</w:t>
      </w:r>
      <w:proofErr w:type="gramEnd"/>
      <w:r>
        <w:rPr>
          <w:rFonts w:ascii="Arial" w:eastAsia="仿宋_GB2312;仿宋" w:hAnsi="Arial" w:cs="Arial"/>
          <w:sz w:val="28"/>
        </w:rPr>
        <w:t>水系，从境内北部边缘流过。南部属清河水系，温榆河从西北至东南横贯镇域东南部。</w:t>
      </w:r>
      <w:r>
        <w:rPr>
          <w:rFonts w:ascii="Arial" w:eastAsia="Arial" w:hAnsi="Arial" w:cs="Arial"/>
          <w:sz w:val="28"/>
        </w:rPr>
        <w:t xml:space="preserve"> </w:t>
      </w:r>
    </w:p>
    <w:p w14:paraId="2AF6A6F4" w14:textId="77777777" w:rsidR="00E70101" w:rsidRDefault="0060680B">
      <w:pPr>
        <w:spacing w:line="360" w:lineRule="auto"/>
        <w:ind w:firstLine="560"/>
      </w:pPr>
      <w:r>
        <w:rPr>
          <w:rFonts w:ascii="Arial" w:eastAsia="仿宋_GB2312;仿宋" w:hAnsi="Arial" w:cs="Arial"/>
          <w:sz w:val="28"/>
        </w:rPr>
        <w:t>咨询对象临近八仙庄北大街，距北六环直线距离约</w:t>
      </w:r>
      <w:r>
        <w:rPr>
          <w:rFonts w:ascii="Arial" w:eastAsia="仿宋_GB2312;仿宋" w:hAnsi="Arial" w:cs="Arial"/>
          <w:sz w:val="28"/>
        </w:rPr>
        <w:t>3</w:t>
      </w:r>
      <w:r>
        <w:rPr>
          <w:rFonts w:ascii="Arial" w:eastAsia="仿宋_GB2312;仿宋" w:hAnsi="Arial" w:cs="Arial"/>
          <w:sz w:val="28"/>
        </w:rPr>
        <w:t>公里，至京承高速入口车程约</w:t>
      </w:r>
      <w:r>
        <w:rPr>
          <w:rFonts w:ascii="Arial" w:eastAsia="仿宋_GB2312;仿宋" w:hAnsi="Arial" w:cs="Arial"/>
          <w:sz w:val="28"/>
        </w:rPr>
        <w:t>20</w:t>
      </w:r>
      <w:r>
        <w:rPr>
          <w:rFonts w:ascii="Arial" w:eastAsia="仿宋_GB2312;仿宋" w:hAnsi="Arial" w:cs="Arial"/>
          <w:sz w:val="28"/>
        </w:rPr>
        <w:t>分钟，土地级别属于北京市基准地价工业类七级，地理位置较好。</w:t>
      </w:r>
    </w:p>
    <w:p w14:paraId="536F9BB5"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7BB54A03"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咨询对象现状周边以产业用地为主，邻近周边有华润医药商业物流配送中心、北京同仁堂制药厂（北分厂）、国家能源集团新能源技术研究院、</w:t>
      </w:r>
      <w:proofErr w:type="gramStart"/>
      <w:r>
        <w:rPr>
          <w:rFonts w:ascii="Arial" w:eastAsia="仿宋_GB2312;仿宋" w:hAnsi="Arial" w:cs="Arial"/>
          <w:sz w:val="28"/>
        </w:rPr>
        <w:t>国网只能</w:t>
      </w:r>
      <w:proofErr w:type="gramEnd"/>
      <w:r>
        <w:rPr>
          <w:rFonts w:ascii="Arial" w:eastAsia="仿宋_GB2312;仿宋" w:hAnsi="Arial" w:cs="Arial"/>
          <w:sz w:val="28"/>
        </w:rPr>
        <w:t>电网研究院有限公司等，物流企业较多，产业集聚程度较好。</w:t>
      </w:r>
    </w:p>
    <w:p w14:paraId="74E55E6E"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1E64A038"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咨询对象距北六环直线距离约</w:t>
      </w:r>
      <w:r>
        <w:rPr>
          <w:rFonts w:ascii="Arial" w:eastAsia="仿宋_GB2312;仿宋" w:hAnsi="Arial" w:cs="Arial"/>
          <w:sz w:val="28"/>
        </w:rPr>
        <w:t>3</w:t>
      </w:r>
      <w:r>
        <w:rPr>
          <w:rFonts w:ascii="Arial" w:eastAsia="仿宋_GB2312;仿宋" w:hAnsi="Arial" w:cs="Arial"/>
          <w:sz w:val="28"/>
        </w:rPr>
        <w:t>公里，临近城市次干道</w:t>
      </w:r>
      <w:r>
        <w:rPr>
          <w:rFonts w:ascii="Arial" w:eastAsia="仿宋_GB2312;仿宋" w:hAnsi="Arial" w:cs="Arial"/>
          <w:sz w:val="28"/>
        </w:rPr>
        <w:t>——</w:t>
      </w:r>
      <w:r>
        <w:rPr>
          <w:rFonts w:ascii="Arial" w:eastAsia="仿宋_GB2312;仿宋" w:hAnsi="Arial" w:cs="Arial"/>
          <w:sz w:val="28"/>
        </w:rPr>
        <w:t>八仙庄北大街、周边有</w:t>
      </w:r>
      <w:r>
        <w:rPr>
          <w:rFonts w:ascii="Arial" w:eastAsia="仿宋_GB2312;仿宋" w:hAnsi="Arial" w:cs="Arial"/>
          <w:sz w:val="28"/>
        </w:rPr>
        <w:t>628</w:t>
      </w:r>
      <w:r>
        <w:rPr>
          <w:rFonts w:ascii="Arial" w:eastAsia="仿宋_GB2312;仿宋" w:hAnsi="Arial" w:cs="Arial"/>
          <w:sz w:val="28"/>
        </w:rPr>
        <w:t>路、</w:t>
      </w:r>
      <w:r>
        <w:rPr>
          <w:rFonts w:ascii="Arial" w:eastAsia="仿宋_GB2312;仿宋" w:hAnsi="Arial" w:cs="Arial"/>
          <w:sz w:val="28"/>
        </w:rPr>
        <w:t>860</w:t>
      </w:r>
      <w:r>
        <w:rPr>
          <w:rFonts w:ascii="Arial" w:eastAsia="仿宋_GB2312;仿宋" w:hAnsi="Arial" w:cs="Arial"/>
          <w:sz w:val="28"/>
        </w:rPr>
        <w:t>路、</w:t>
      </w:r>
      <w:r>
        <w:rPr>
          <w:rFonts w:ascii="Arial" w:eastAsia="仿宋_GB2312;仿宋" w:hAnsi="Arial" w:cs="Arial"/>
          <w:sz w:val="28"/>
        </w:rPr>
        <w:t>871</w:t>
      </w:r>
      <w:r>
        <w:rPr>
          <w:rFonts w:ascii="Arial" w:eastAsia="仿宋_GB2312;仿宋" w:hAnsi="Arial" w:cs="Arial"/>
          <w:sz w:val="28"/>
        </w:rPr>
        <w:t>路、</w:t>
      </w:r>
      <w:r>
        <w:rPr>
          <w:rFonts w:ascii="Arial" w:eastAsia="仿宋_GB2312;仿宋" w:hAnsi="Arial" w:cs="Arial"/>
          <w:sz w:val="28"/>
        </w:rPr>
        <w:t>C120</w:t>
      </w:r>
      <w:r>
        <w:rPr>
          <w:rFonts w:ascii="Arial" w:eastAsia="仿宋_GB2312;仿宋" w:hAnsi="Arial" w:cs="Arial"/>
          <w:sz w:val="28"/>
        </w:rPr>
        <w:t>路等多条公交线路，综合评价交通便捷度较好。</w:t>
      </w:r>
    </w:p>
    <w:p w14:paraId="15633A5F"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1AC30091"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咨询对象周边有温榆河、葫芦河、未来科学城滨水公园等自然景观，有北京祥龙大学、北京市商业学校等人文设施，综合评价环境状况较好。</w:t>
      </w:r>
    </w:p>
    <w:p w14:paraId="45F97B0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0EF20999" w14:textId="77777777" w:rsidR="00E70101" w:rsidRDefault="0060680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（通路、通电、通上水、通下水、通讯、通燃气、通热）条件，保证程度一般。</w:t>
      </w:r>
    </w:p>
    <w:p w14:paraId="7666F9B0" w14:textId="77777777" w:rsidR="00E70101" w:rsidRDefault="0060680B">
      <w:pPr>
        <w:spacing w:line="360" w:lineRule="auto"/>
        <w:ind w:firstLine="560"/>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公里范围内有华联超市、北京天骄实验学校、北极你</w:t>
      </w:r>
      <w:proofErr w:type="gramStart"/>
      <w:r>
        <w:rPr>
          <w:rFonts w:ascii="Arial" w:eastAsia="仿宋_GB2312;仿宋" w:hAnsi="Arial" w:cs="Arial"/>
          <w:sz w:val="28"/>
        </w:rPr>
        <w:t>个</w:t>
      </w:r>
      <w:proofErr w:type="gramEnd"/>
      <w:r>
        <w:rPr>
          <w:rFonts w:ascii="Arial" w:eastAsia="仿宋_GB2312;仿宋" w:hAnsi="Arial" w:cs="Arial"/>
          <w:sz w:val="28"/>
        </w:rPr>
        <w:t>是昌平区北七家中心小学、八仙庄村幼儿园、八仙庄社区卫生服务站、中欧该国农业银行（北京北七家支行）、中国邮政储蓄银行（北京昌平区北七家支行）等，各类配套设施齐备程度一般，故公共配套设施状况一般。</w:t>
      </w:r>
    </w:p>
    <w:p w14:paraId="6785BD3C" w14:textId="77777777" w:rsidR="00E70101" w:rsidRDefault="0060680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，公共配套设施状况一般。总体评价影响咨询对象的区位条件较好。</w:t>
      </w:r>
    </w:p>
    <w:p w14:paraId="10B9A102"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（三）个别因素</w:t>
      </w:r>
    </w:p>
    <w:p w14:paraId="3C628705"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咨询对象位置：咨询对象位于北京市昌平区北七家镇八仙庄村仓储用地。根据《北京市人民政府关于更新出让国有建设用地使用权基准地价的通知》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2AE2949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516C6E61" w14:textId="77777777" w:rsidR="00E70101" w:rsidRDefault="0060680B">
      <w:pPr>
        <w:spacing w:line="360" w:lineRule="auto"/>
        <w:ind w:firstLine="560"/>
        <w:jc w:val="both"/>
      </w:pPr>
      <w:r>
        <w:rPr>
          <w:rFonts w:ascii="Arial" w:eastAsia="仿宋_GB2312;仿宋" w:hAnsi="Arial" w:cs="Arial"/>
          <w:sz w:val="28"/>
        </w:rPr>
        <w:t>咨询对象登记土地用途为仓储，为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47D3582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p>
    <w:p w14:paraId="11EAA77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72284AE3" w14:textId="21FFF919"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commentRangeStart w:id="24"/>
      <w:r>
        <w:rPr>
          <w:rFonts w:ascii="Arial" w:eastAsia="仿宋_GB2312;仿宋" w:hAnsi="Arial" w:cs="Arial"/>
          <w:sz w:val="28"/>
        </w:rPr>
        <w:t>容积率</w:t>
      </w:r>
      <w:commentRangeEnd w:id="24"/>
      <w:r>
        <w:commentReference w:id="24"/>
      </w:r>
      <w:r>
        <w:rPr>
          <w:rFonts w:ascii="Arial" w:eastAsia="仿宋_GB2312;仿宋" w:hAnsi="Arial" w:cs="Arial"/>
          <w:sz w:val="28"/>
        </w:rPr>
        <w:t>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0ECDD690" w14:textId="77777777" w:rsidR="00E70101" w:rsidRDefault="0060680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09ACFB9A"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4C3CF9A4"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通路：顺于路，为城市次干道；</w:t>
      </w:r>
      <w:r>
        <w:rPr>
          <w:rFonts w:ascii="Arial" w:eastAsia="Arial" w:hAnsi="Arial" w:cs="Arial"/>
          <w:spacing w:val="-12"/>
          <w:sz w:val="28"/>
        </w:rPr>
        <w:t xml:space="preserve"> </w:t>
      </w:r>
    </w:p>
    <w:p w14:paraId="5A41F958"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30078CF8"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2CB7E46E"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25C31DBD"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通讯：项目用地有电信管道；</w:t>
      </w:r>
    </w:p>
    <w:p w14:paraId="4958A3F7"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34"/>
          <w:footerReference w:type="default" r:id="rId35"/>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25" w:name="__RefHeading___Toc469066144"/>
      <w:bookmarkEnd w:id="25"/>
      <w:r>
        <w:rPr>
          <w:rFonts w:ascii="Arial" w:hAnsi="Arial" w:cs="Arial"/>
          <w:b/>
          <w:sz w:val="32"/>
        </w:rPr>
        <w:t>第三部分</w:t>
      </w:r>
      <w:r>
        <w:rPr>
          <w:rFonts w:ascii="Arial" w:eastAsia="Arial" w:hAnsi="Arial" w:cs="Arial"/>
          <w:b/>
          <w:sz w:val="32"/>
        </w:rPr>
        <w:t xml:space="preserve">  </w:t>
      </w:r>
      <w:r>
        <w:rPr>
          <w:rFonts w:ascii="Arial" w:hAnsi="Arial" w:cs="Arial"/>
          <w:b/>
          <w:sz w:val="32"/>
        </w:rPr>
        <w:t>土地咨询结果及其使用</w:t>
      </w:r>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26" w:name="__RefHeading___Toc469066145"/>
      <w:bookmarkEnd w:id="26"/>
      <w:r>
        <w:rPr>
          <w:rFonts w:ascii="Arial" w:eastAsia="仿宋_GB2312;仿宋" w:hAnsi="Arial" w:cs="Arial"/>
          <w:b/>
          <w:sz w:val="28"/>
        </w:rPr>
        <w:t>一、咨询依据</w:t>
      </w:r>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《城镇土地咨询规程》</w:t>
      </w:r>
      <w:r>
        <w:rPr>
          <w:rFonts w:ascii="Arial" w:eastAsia="仿宋_GB2312;仿宋" w:hAnsi="Arial" w:cs="Arial"/>
          <w:sz w:val="28"/>
        </w:rPr>
        <w:t>[GB/T 18508-2014]</w:t>
      </w:r>
    </w:p>
    <w:p w14:paraId="63E2FF3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hyperlink r:id="rId36" w:tgtFrame="_blank">
        <w:r>
          <w:rPr>
            <w:rStyle w:val="Internet"/>
            <w:rFonts w:ascii="Arial" w:eastAsia="仿宋_GB2312;仿宋" w:hAnsi="Arial" w:cs="Arial"/>
            <w:sz w:val="28"/>
          </w:rPr>
          <w:t>[GB/T 18507-2014]</w:t>
        </w:r>
      </w:hyperlink>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77777777"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《房地产咨询规范》</w:t>
      </w:r>
      <w:r>
        <w:rPr>
          <w:rFonts w:ascii="Arial" w:eastAsia="仿宋_GB2312;仿宋" w:hAnsi="Arial" w:cs="Arial"/>
          <w:sz w:val="28"/>
        </w:rPr>
        <w:t>[GB/T 50291-2015]</w:t>
      </w:r>
    </w:p>
    <w:p w14:paraId="48F525A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p>
    <w:p w14:paraId="7FB180F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57AE01D0" w14:textId="77777777" w:rsidR="00E70101" w:rsidRDefault="0060680B">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4988604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p>
    <w:p w14:paraId="0FE35EB7" w14:textId="77777777" w:rsidR="00E70101" w:rsidRDefault="0060680B">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6543D9E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77777777" w:rsidR="00E70101" w:rsidRDefault="0060680B">
      <w:pPr>
        <w:spacing w:line="360" w:lineRule="auto"/>
        <w:outlineLvl w:val="1"/>
        <w:rPr>
          <w:rFonts w:ascii="Arial" w:eastAsia="仿宋_GB2312;仿宋" w:hAnsi="Arial" w:cs="Arial"/>
          <w:b/>
          <w:sz w:val="28"/>
        </w:rPr>
      </w:pPr>
      <w:bookmarkStart w:id="27" w:name="__RefHeading___Toc469066146"/>
      <w:r>
        <w:rPr>
          <w:rFonts w:ascii="Arial" w:eastAsia="仿宋_GB2312;仿宋" w:hAnsi="Arial" w:cs="Arial"/>
          <w:b/>
          <w:sz w:val="28"/>
        </w:rPr>
        <w:t>二、</w:t>
      </w:r>
      <w:bookmarkEnd w:id="27"/>
      <w:r>
        <w:rPr>
          <w:rFonts w:ascii="Arial" w:eastAsia="仿宋_GB2312;仿宋" w:hAnsi="Arial" w:cs="Arial"/>
          <w:b/>
          <w:sz w:val="28"/>
        </w:rPr>
        <w:t>土地咨询</w:t>
      </w:r>
    </w:p>
    <w:p w14:paraId="754CDEBF"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（一）咨询原则</w:t>
      </w:r>
    </w:p>
    <w:p w14:paraId="210A40A5" w14:textId="7777777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咨询必须要对此进行细致分析并正确判断其变动趋向，了解土地价格组成的各项因素及各因素之间的相互作用，才能做出正确估算。在土地咨询的实践和理论的探索中，在对土地价格形成和变化的规律认识的基础上，总结出一些在估算活动中应当遵循的法则或标准，而在估算作业时，这些原则又指导人们的估算实践。所以在探讨土地咨询方法之前，首先要掌握土地咨询的基本原则，以此为指南，认真分析影响土地价格的因素，灵活使用各种土地咨询方法，才能对土地价格做出最准确的判断。土地咨询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4CCA3E85" w14:textId="77777777"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替代原则是指土地咨询应以相邻地区或类似地区功能相同、条件相似的土地市场交易价格为依据，咨询结果不得明显偏离具有替代性质的土地正常价格。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7777777"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咨询应以相邻地区或类似地区功能相同、条件相似的土地市场交易价格为依据，咨询结果不得明显偏离具有替代性质的土地正常价格。</w:t>
      </w:r>
    </w:p>
    <w:p w14:paraId="5DD35EA7"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替代原则的适用范围广，是本次评估成本逼近法中土地取得费的理论基础。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77777777"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最有效利用原则是指土地咨询应以咨询对象的最有效利用为前提条件。判断土地的最有效利用以土地利用符合其自身利用条件、法律法规政策及规划限制、市场要求和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27D9893E" w14:textId="77777777" w:rsidR="00E70101" w:rsidRDefault="0060680B">
      <w:pPr>
        <w:spacing w:line="360" w:lineRule="auto"/>
        <w:ind w:firstLine="630"/>
        <w:jc w:val="both"/>
      </w:pPr>
      <w:r>
        <w:rPr>
          <w:rFonts w:ascii="Arial" w:eastAsia="仿宋_GB2312;仿宋" w:hAnsi="Arial" w:cs="Arial"/>
          <w:sz w:val="28"/>
        </w:rPr>
        <w:t>最有效利用原则是经济学中效用最大化原理在土地咨询中的具体运用。土地具有用途的多样性，土地不同的利用方式会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F72E0F8" w14:textId="77777777"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根据最有效利用原则，土地咨询不应受土地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77777777"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实际中的应用有两种情况：一是假定为空地条件下的最有效利用，适用于土地开发或房地产开发；二是保持现状条件下的最有效利用，一般是指已建成的房地产在继续利用状态下的土地咨询。</w:t>
      </w:r>
      <w:r>
        <w:rPr>
          <w:rFonts w:ascii="Arial" w:eastAsia="Arial" w:hAnsi="Arial" w:cs="Arial"/>
          <w:sz w:val="28"/>
        </w:rPr>
        <w:t xml:space="preserve"> </w:t>
      </w:r>
      <w:r>
        <w:rPr>
          <w:rFonts w:ascii="Arial" w:eastAsia="仿宋_GB2312;仿宋" w:hAnsi="Arial" w:cs="Arial"/>
          <w:sz w:val="28"/>
        </w:rPr>
        <w:t>最有效利用原则是土地咨询的基本原则，土地咨询应以土地的最有效利用为前提。最有效利用原则与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77777777" w:rsidR="00E70101" w:rsidRDefault="0060680B">
      <w:pPr>
        <w:spacing w:line="360" w:lineRule="auto"/>
        <w:ind w:firstLine="630"/>
        <w:jc w:val="both"/>
      </w:pPr>
      <w:r>
        <w:rPr>
          <w:rFonts w:ascii="Arial" w:eastAsia="仿宋_GB2312;仿宋" w:hAnsi="Arial" w:cs="Arial"/>
          <w:sz w:val="28"/>
        </w:rPr>
        <w:t>土地咨询应以市场供需决定土地价格为依据，并充分考虑土地供需的特殊性和土地市场的地域性。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6459AE12"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本次评估考虑咨询对象的具体情况，结合咨询目的，在咨询过程中确定相关参数和结果时，仔细分析并充分考虑土地市场运行状况、有关行业发展状况、存在的风险，严格遵循着谨慎性原则。</w:t>
      </w:r>
      <w:r>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77777777"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77777777" w:rsidR="00E70101" w:rsidRDefault="0060680B">
      <w:pPr>
        <w:autoSpaceDE w:val="0"/>
        <w:spacing w:line="360" w:lineRule="auto"/>
        <w:ind w:firstLine="560"/>
        <w:jc w:val="both"/>
        <w:textAlignment w:val="bottom"/>
      </w:pPr>
      <w:r>
        <w:rPr>
          <w:rFonts w:ascii="Arial" w:eastAsia="仿宋_GB2312;仿宋" w:hAnsi="Arial" w:cs="Arial"/>
          <w:sz w:val="28"/>
        </w:rPr>
        <w:t>根据《城镇土地咨询规程》</w:t>
      </w:r>
      <w:r>
        <w:rPr>
          <w:rFonts w:ascii="Arial" w:eastAsia="仿宋_GB2312;仿宋" w:hAnsi="Arial" w:cs="Arial"/>
          <w:sz w:val="28"/>
        </w:rPr>
        <w:t>[GB/T 18508-2014]</w:t>
      </w:r>
      <w:r>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77777777" w:rsidR="00E70101" w:rsidRDefault="0060680B">
      <w:pPr>
        <w:spacing w:line="360" w:lineRule="auto"/>
        <w:ind w:left="-2" w:firstLine="560"/>
        <w:jc w:val="both"/>
      </w:pPr>
      <w:r>
        <w:rPr>
          <w:rFonts w:ascii="Arial" w:eastAsia="仿宋_GB2312;仿宋" w:hAnsi="Arial" w:cs="Arial"/>
          <w:sz w:val="28"/>
        </w:rPr>
        <w:t>成本逼近法：成本逼近法是以取得和开发土地所耗费的各项费用之和为主要依据，再加上一定的利润、利息、应缴纳的税金和</w:t>
      </w:r>
      <w:hyperlink r:id="rId37" w:tgtFrame="_blank">
        <w:r>
          <w:rPr>
            <w:rStyle w:val="Internet"/>
            <w:rFonts w:ascii="Arial" w:eastAsia="仿宋_GB2312;仿宋" w:hAnsi="Arial" w:cs="Arial"/>
            <w:sz w:val="28"/>
          </w:rPr>
          <w:t>土地所有权</w:t>
        </w:r>
      </w:hyperlink>
      <w:r>
        <w:rPr>
          <w:rFonts w:ascii="Arial" w:eastAsia="仿宋_GB2312;仿宋" w:hAnsi="Arial" w:cs="Arial"/>
          <w:sz w:val="28"/>
        </w:rPr>
        <w:t>收益来确定</w:t>
      </w:r>
      <w:hyperlink r:id="rId38" w:tgtFrame="_blank">
        <w:r>
          <w:rPr>
            <w:rStyle w:val="Internet"/>
            <w:rFonts w:ascii="Arial" w:eastAsia="仿宋_GB2312;仿宋" w:hAnsi="Arial" w:cs="Arial"/>
            <w:sz w:val="28"/>
          </w:rPr>
          <w:t>土地价格</w:t>
        </w:r>
      </w:hyperlink>
      <w:r>
        <w:rPr>
          <w:rFonts w:ascii="Arial" w:eastAsia="仿宋_GB2312;仿宋" w:hAnsi="Arial" w:cs="Arial"/>
          <w:sz w:val="28"/>
        </w:rPr>
        <w:t>的估算方法。成本逼近法一般是用于新开发土地，或土地市场欠发育、交易实例少的地区的土地价格评估。</w:t>
      </w:r>
    </w:p>
    <w:p w14:paraId="6AD48B1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剩余法：是在估算开发完成后不动产正常交易价格的基础上，扣除建筑物建造费用和与建筑物建造、买卖有关费用后，以价格余额来确定咨询对象土地价格的一种方法。剩余法适用于具有开发投资价值或再开发潜力的房地产。</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Pr>
          <w:rFonts w:ascii="Arial" w:eastAsia="仿宋_GB2312;仿宋" w:hAnsi="Arial" w:cs="Arial"/>
          <w:kern w:val="2"/>
        </w:rPr>
        <w:t>北估秘</w:t>
      </w:r>
      <w:proofErr w:type="gramEnd"/>
      <w:r>
        <w:rPr>
          <w:rFonts w:ascii="Arial" w:eastAsia="仿宋_GB2312;仿宋" w:hAnsi="Arial" w:cs="Arial"/>
          <w:kern w:val="2"/>
        </w:rPr>
        <w:t>（</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77777777"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询对象土地的特点及开发项目本身的实际状况，选取基准地价系数修正法和成本逼近法作为本次咨询的基本方法，估算划拨国有建设用地使用权收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77777777"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日发布）进行评估。经委托方介绍，设定咨询对象宗地现状不存在附属物。</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77777777"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7ECE33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77777777" w:rsidR="00E70101" w:rsidRDefault="0060680B">
      <w:pPr>
        <w:spacing w:line="360" w:lineRule="auto"/>
        <w:ind w:left="-2" w:firstLine="560"/>
        <w:jc w:val="both"/>
      </w:pPr>
      <w:r>
        <w:rPr>
          <w:rFonts w:ascii="Arial" w:eastAsia="仿宋_GB2312;仿宋" w:hAnsi="Arial" w:cs="Arial"/>
          <w:sz w:val="28"/>
          <w:szCs w:val="28"/>
        </w:rPr>
        <w:t>2.</w:t>
      </w:r>
      <w:r>
        <w:rPr>
          <w:rFonts w:ascii="Arial" w:eastAsia="仿宋_GB2312;仿宋" w:hAnsi="Arial" w:cs="Arial"/>
          <w:sz w:val="28"/>
          <w:szCs w:val="28"/>
        </w:rPr>
        <w:t>本次评估所采用的咨询方法简述如下：</w:t>
      </w:r>
    </w:p>
    <w:p w14:paraId="26EFC85C" w14:textId="77777777" w:rsidR="00E70101" w:rsidRDefault="0060680B">
      <w:pPr>
        <w:pStyle w:val="LO-Normal"/>
        <w:autoSpaceDE w:val="0"/>
        <w:spacing w:line="360" w:lineRule="auto"/>
        <w:ind w:right="3" w:firstLine="566"/>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）市场比较法</w:t>
      </w:r>
    </w:p>
    <w:p w14:paraId="57E644AB"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cs="Arial"/>
          <w:sz w:val="28"/>
        </w:rPr>
        <w:t>根据替代原理，</w:t>
      </w:r>
      <w:proofErr w:type="gramStart"/>
      <w:r>
        <w:rPr>
          <w:rFonts w:ascii="仿宋_GB2312;仿宋" w:eastAsia="仿宋_GB2312;仿宋" w:hAnsi="仿宋_GB2312;仿宋" w:cs="Arial"/>
          <w:sz w:val="28"/>
        </w:rPr>
        <w:t>将待估宗地</w:t>
      </w:r>
      <w:proofErr w:type="gramEnd"/>
      <w:r>
        <w:rPr>
          <w:rFonts w:ascii="仿宋_GB2312;仿宋" w:eastAsia="仿宋_GB2312;仿宋" w:hAnsi="仿宋_GB2312;仿宋" w:cs="Arial"/>
          <w:sz w:val="28"/>
        </w:rPr>
        <w:t>与具有替代性的，且在咨询期</w:t>
      </w:r>
      <w:proofErr w:type="gramStart"/>
      <w:r>
        <w:rPr>
          <w:rFonts w:ascii="仿宋_GB2312;仿宋" w:eastAsia="仿宋_GB2312;仿宋" w:hAnsi="仿宋_GB2312;仿宋" w:cs="Arial"/>
          <w:sz w:val="28"/>
        </w:rPr>
        <w:t>日近期</w:t>
      </w:r>
      <w:proofErr w:type="gramEnd"/>
      <w:r>
        <w:rPr>
          <w:rFonts w:ascii="仿宋_GB2312;仿宋" w:eastAsia="仿宋_GB2312;仿宋" w:hAnsi="仿宋_GB2312;仿宋" w:cs="Arial"/>
          <w:sz w:val="28"/>
        </w:rPr>
        <w:t>市场上交易的类似宗地进行比较，并对类似宗地的成交价格进行差异修正，以此</w:t>
      </w:r>
      <w:proofErr w:type="gramStart"/>
      <w:r>
        <w:rPr>
          <w:rFonts w:ascii="仿宋_GB2312;仿宋" w:eastAsia="仿宋_GB2312;仿宋" w:hAnsi="仿宋_GB2312;仿宋" w:cs="Arial"/>
          <w:sz w:val="28"/>
        </w:rPr>
        <w:t>估算待估宗地</w:t>
      </w:r>
      <w:proofErr w:type="gramEnd"/>
      <w:r>
        <w:rPr>
          <w:rFonts w:ascii="仿宋_GB2312;仿宋" w:eastAsia="仿宋_GB2312;仿宋" w:hAnsi="仿宋_GB2312;仿宋" w:cs="Arial"/>
          <w:sz w:val="28"/>
        </w:rPr>
        <w:t>价格的方法。</w:t>
      </w:r>
    </w:p>
    <w:p w14:paraId="37E52665"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sz w:val="28"/>
        </w:rPr>
        <w:t>其计算公式为：</w:t>
      </w:r>
    </w:p>
    <w:p w14:paraId="6CFEB51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仿宋_GB2312;仿宋" w:eastAsia="仿宋_GB2312;仿宋" w:hAnsi="仿宋_GB2312;仿宋"/>
          <w:color w:val="000000"/>
          <w:sz w:val="28"/>
        </w:rPr>
        <w:t>=</w:t>
      </w: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cs="宋体;SimSun"/>
          <w:color w:val="000000"/>
          <w:sz w:val="28"/>
        </w:rPr>
        <w:t>×</w:t>
      </w:r>
      <w:r>
        <w:rPr>
          <w:rFonts w:ascii="Arial" w:eastAsia="仿宋_GB2312;仿宋" w:hAnsi="Arial" w:cs="Arial"/>
          <w:color w:val="000000"/>
          <w:sz w:val="28"/>
        </w:rPr>
        <w:t>A</w:t>
      </w:r>
      <w:r>
        <w:rPr>
          <w:rFonts w:cs="宋体;SimSun"/>
          <w:color w:val="000000"/>
          <w:sz w:val="28"/>
        </w:rPr>
        <w:t>×</w:t>
      </w:r>
      <w:r>
        <w:rPr>
          <w:rFonts w:ascii="Arial" w:eastAsia="仿宋_GB2312;仿宋" w:hAnsi="Arial" w:cs="Arial"/>
          <w:color w:val="000000"/>
          <w:sz w:val="28"/>
        </w:rPr>
        <w:t>B</w:t>
      </w:r>
      <w:r>
        <w:rPr>
          <w:rFonts w:cs="宋体;SimSun"/>
          <w:color w:val="000000"/>
          <w:sz w:val="28"/>
        </w:rPr>
        <w:t>×</w:t>
      </w:r>
      <w:r>
        <w:rPr>
          <w:rFonts w:ascii="Arial" w:eastAsia="仿宋_GB2312;仿宋" w:hAnsi="Arial" w:cs="Arial"/>
          <w:color w:val="000000"/>
          <w:sz w:val="28"/>
        </w:rPr>
        <w:t>C</w:t>
      </w:r>
      <w:r>
        <w:rPr>
          <w:rFonts w:cs="宋体;SimSun"/>
          <w:color w:val="000000"/>
          <w:sz w:val="28"/>
        </w:rPr>
        <w:t>×</w:t>
      </w:r>
      <w:r>
        <w:rPr>
          <w:rFonts w:ascii="Arial" w:eastAsia="仿宋_GB2312;仿宋" w:hAnsi="Arial" w:cs="Arial"/>
          <w:color w:val="000000"/>
          <w:sz w:val="28"/>
        </w:rPr>
        <w:t>D</w:t>
      </w:r>
      <w:r>
        <w:rPr>
          <w:rFonts w:cs="宋体;SimSun"/>
          <w:color w:val="000000"/>
          <w:sz w:val="28"/>
        </w:rPr>
        <w:t>×</w:t>
      </w:r>
      <w:r>
        <w:rPr>
          <w:rFonts w:ascii="Arial" w:eastAsia="仿宋_GB2312;仿宋" w:hAnsi="Arial" w:cs="Arial"/>
          <w:color w:val="000000"/>
          <w:sz w:val="28"/>
        </w:rPr>
        <w:t>E</w:t>
      </w:r>
    </w:p>
    <w:p w14:paraId="02767A12"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1635ACEE"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价格；</w:t>
      </w:r>
    </w:p>
    <w:p w14:paraId="2437D645"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ascii="仿宋_GB2312;仿宋" w:eastAsia="仿宋_GB2312;仿宋" w:hAnsi="仿宋_GB2312;仿宋"/>
          <w:color w:val="000000"/>
          <w:sz w:val="28"/>
        </w:rPr>
        <w:t>——比较实例价格；</w:t>
      </w:r>
    </w:p>
    <w:p w14:paraId="0D23DB34"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A</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交易情况指数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比较实例宗地交易情况指数</w:t>
      </w:r>
    </w:p>
    <w:p w14:paraId="339D0DF8"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B</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s="Arial"/>
          <w:color w:val="000000"/>
          <w:sz w:val="28"/>
        </w:rPr>
        <w:t>咨询期日</w:t>
      </w:r>
      <w:r>
        <w:rPr>
          <w:rFonts w:ascii="仿宋_GB2312;仿宋" w:eastAsia="仿宋_GB2312;仿宋" w:hAnsi="仿宋_GB2312;仿宋"/>
          <w:color w:val="000000"/>
          <w:sz w:val="28"/>
        </w:rPr>
        <w:t>地价指数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w:t>
      </w:r>
      <w:r>
        <w:rPr>
          <w:rFonts w:ascii="仿宋_GB2312;仿宋" w:eastAsia="仿宋_GB2312;仿宋" w:hAnsi="仿宋_GB2312;仿宋" w:cs="Arial"/>
          <w:color w:val="000000"/>
          <w:sz w:val="28"/>
        </w:rPr>
        <w:t>交易日期地价</w:t>
      </w:r>
      <w:r>
        <w:rPr>
          <w:rFonts w:ascii="仿宋_GB2312;仿宋" w:eastAsia="仿宋_GB2312;仿宋" w:hAnsi="仿宋_GB2312;仿宋"/>
          <w:color w:val="000000"/>
          <w:sz w:val="28"/>
        </w:rPr>
        <w:t>指数</w:t>
      </w:r>
    </w:p>
    <w:p w14:paraId="2B2D9FC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C</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区域因素条件指数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比较实例宗地区域因素条件指数</w:t>
      </w:r>
    </w:p>
    <w:p w14:paraId="1057C0CF"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D</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个别因素条件指数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比较实例宗地个别因素条件指数</w:t>
      </w:r>
    </w:p>
    <w:p w14:paraId="118C701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E</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使用年期修正指数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比较实例宗地使用年期修正指数</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21D5D06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r>
        <w:br w:type="page"/>
      </w:r>
    </w:p>
    <w:p w14:paraId="22A92AB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（三）咨询结果</w:t>
      </w:r>
    </w:p>
    <w:p w14:paraId="4ED81E1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w:t>
      </w:r>
      <w:proofErr w:type="gramStart"/>
      <w:r>
        <w:rPr>
          <w:rFonts w:ascii="Arial" w:eastAsia="仿宋_GB2312;仿宋" w:hAnsi="Arial" w:cs="Arial"/>
          <w:b/>
          <w:kern w:val="2"/>
          <w:sz w:val="28"/>
        </w:rPr>
        <w:t>壹拾伍亿陆仟陆佰伍拾肆万</w:t>
      </w:r>
      <w:proofErr w:type="gramEnd"/>
      <w:r>
        <w:rPr>
          <w:rFonts w:ascii="Arial" w:eastAsia="仿宋_GB2312;仿宋" w:hAnsi="Arial" w:cs="Arial"/>
          <w:b/>
          <w:kern w:val="2"/>
          <w:sz w:val="28"/>
        </w:rPr>
        <w:t>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9"/>
        <w:gridCol w:w="3069"/>
        <w:gridCol w:w="2106"/>
        <w:gridCol w:w="3224"/>
      </w:tblGrid>
      <w:tr w:rsidR="00E70101" w14:paraId="1A7B22E1"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79C9B5AD"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A4BA668"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533BC7A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37677D1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73F11"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1E40025C" w14:textId="77777777">
        <w:trPr>
          <w:trHeight w:val="454"/>
          <w:jc w:val="center"/>
        </w:trPr>
        <w:tc>
          <w:tcPr>
            <w:tcW w:w="890" w:type="dxa"/>
            <w:tcBorders>
              <w:left w:val="single" w:sz="4" w:space="0" w:color="000000"/>
              <w:bottom w:val="single" w:sz="4" w:space="0" w:color="000000"/>
            </w:tcBorders>
            <w:shd w:val="clear" w:color="auto" w:fill="auto"/>
            <w:vAlign w:val="center"/>
          </w:tcPr>
          <w:p w14:paraId="00F5D1F5"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71844AA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7B31517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2E0F5BC3"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52C1AC33" w14:textId="77777777">
        <w:trPr>
          <w:trHeight w:val="454"/>
          <w:jc w:val="center"/>
        </w:trPr>
        <w:tc>
          <w:tcPr>
            <w:tcW w:w="890" w:type="dxa"/>
            <w:tcBorders>
              <w:left w:val="single" w:sz="4" w:space="0" w:color="000000"/>
              <w:bottom w:val="single" w:sz="4" w:space="0" w:color="000000"/>
            </w:tcBorders>
            <w:shd w:val="clear" w:color="auto" w:fill="auto"/>
            <w:vAlign w:val="center"/>
          </w:tcPr>
          <w:p w14:paraId="18A757F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66E58E3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0F8CDF3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A5D2784"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60EEC46B" w14:textId="77777777">
        <w:trPr>
          <w:trHeight w:val="454"/>
          <w:jc w:val="center"/>
        </w:trPr>
        <w:tc>
          <w:tcPr>
            <w:tcW w:w="890" w:type="dxa"/>
            <w:tcBorders>
              <w:left w:val="single" w:sz="4" w:space="0" w:color="000000"/>
              <w:bottom w:val="single" w:sz="4" w:space="0" w:color="000000"/>
            </w:tcBorders>
            <w:shd w:val="clear" w:color="auto" w:fill="auto"/>
            <w:vAlign w:val="center"/>
          </w:tcPr>
          <w:p w14:paraId="6AF7F1AC"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44FF48D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10998B8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D89F7A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798CEEA3" w14:textId="77777777">
        <w:trPr>
          <w:trHeight w:val="454"/>
          <w:jc w:val="center"/>
        </w:trPr>
        <w:tc>
          <w:tcPr>
            <w:tcW w:w="890" w:type="dxa"/>
            <w:tcBorders>
              <w:left w:val="single" w:sz="4" w:space="0" w:color="000000"/>
              <w:bottom w:val="single" w:sz="4" w:space="0" w:color="000000"/>
            </w:tcBorders>
            <w:shd w:val="clear" w:color="auto" w:fill="auto"/>
            <w:vAlign w:val="center"/>
          </w:tcPr>
          <w:p w14:paraId="42F2155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5C2A581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5F834DB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B4A3981"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EAD1AFD" w14:textId="77777777">
        <w:trPr>
          <w:trHeight w:val="454"/>
          <w:jc w:val="center"/>
        </w:trPr>
        <w:tc>
          <w:tcPr>
            <w:tcW w:w="890" w:type="dxa"/>
            <w:tcBorders>
              <w:left w:val="single" w:sz="4" w:space="0" w:color="000000"/>
              <w:bottom w:val="single" w:sz="4" w:space="0" w:color="000000"/>
            </w:tcBorders>
            <w:shd w:val="clear" w:color="auto" w:fill="auto"/>
            <w:vAlign w:val="center"/>
          </w:tcPr>
          <w:p w14:paraId="2EABEF2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15039D3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46B40BB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432748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0A462259" w14:textId="77777777">
        <w:trPr>
          <w:trHeight w:val="454"/>
          <w:jc w:val="center"/>
        </w:trPr>
        <w:tc>
          <w:tcPr>
            <w:tcW w:w="890" w:type="dxa"/>
            <w:tcBorders>
              <w:left w:val="single" w:sz="4" w:space="0" w:color="000000"/>
              <w:bottom w:val="single" w:sz="4" w:space="0" w:color="000000"/>
            </w:tcBorders>
            <w:shd w:val="clear" w:color="auto" w:fill="auto"/>
            <w:vAlign w:val="center"/>
          </w:tcPr>
          <w:p w14:paraId="71F11B5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49B405F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1A54E74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638C0B8"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2FF5C5EE" w14:textId="77777777">
        <w:trPr>
          <w:trHeight w:val="454"/>
          <w:jc w:val="center"/>
        </w:trPr>
        <w:tc>
          <w:tcPr>
            <w:tcW w:w="890" w:type="dxa"/>
            <w:tcBorders>
              <w:left w:val="single" w:sz="4" w:space="0" w:color="000000"/>
              <w:bottom w:val="single" w:sz="4" w:space="0" w:color="000000"/>
            </w:tcBorders>
            <w:shd w:val="clear" w:color="auto" w:fill="auto"/>
            <w:vAlign w:val="center"/>
          </w:tcPr>
          <w:p w14:paraId="3FA05918"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0586C05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1D8E970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024519A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28" w:name="__RefHeading___Toc469066147"/>
      <w:bookmarkEnd w:id="28"/>
      <w:r>
        <w:rPr>
          <w:rFonts w:ascii="Arial" w:eastAsia="仿宋_GB2312;仿宋" w:hAnsi="Arial" w:cs="Arial"/>
          <w:b/>
          <w:sz w:val="28"/>
        </w:rPr>
        <w:t>三、咨询结果和咨询报告的使用</w:t>
      </w:r>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77777777" w:rsidR="00E70101" w:rsidRDefault="0060680B">
      <w:pPr>
        <w:snapToGrid w:val="0"/>
        <w:spacing w:line="360" w:lineRule="auto"/>
        <w:jc w:val="both"/>
        <w:textAlignment w:val="bottom"/>
      </w:pPr>
      <w:r>
        <w:rPr>
          <w:rFonts w:ascii="Arial" w:eastAsia="Arial" w:hAnsi="Arial" w:cs="Arial"/>
          <w:sz w:val="28"/>
        </w:rPr>
        <w:t xml:space="preserve">    </w:t>
      </w: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根据委托方介绍，本次评估咨询对象用途为仓储用地，故本次评估设定用途为仓储用地。</w:t>
      </w:r>
    </w:p>
    <w:p w14:paraId="48AB9F9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根据委托方介绍及评估专业人员调查，本次评估咨询对象实际土地开发程度为宗地红线外</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77777777"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0481590C" w14:textId="77777777" w:rsidR="00E70101" w:rsidRDefault="0060680B">
      <w:pPr>
        <w:snapToGrid w:val="0"/>
        <w:spacing w:line="360" w:lineRule="auto"/>
        <w:ind w:firstLine="585"/>
        <w:jc w:val="both"/>
        <w:textAlignment w:val="auto"/>
      </w:pPr>
      <w:r>
        <w:rPr>
          <w:rFonts w:ascii="Arial" w:eastAsia="仿宋_GB2312;仿宋" w:hAnsi="Arial" w:cs="Arial"/>
          <w:sz w:val="28"/>
        </w:rPr>
        <w:t>4.</w:t>
      </w:r>
      <w:r>
        <w:rPr>
          <w:rFonts w:ascii="Arial" w:eastAsia="仿宋_GB2312;仿宋" w:hAnsi="Arial" w:cs="Arial"/>
          <w:sz w:val="28"/>
        </w:rPr>
        <w:t>本次评估咨询报告分为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日起至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commentRangeStart w:id="29"/>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commentRangeEnd w:id="29"/>
      <w:r>
        <w:commentReference w:id="29"/>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777777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本机构参与本次评估的评估专业人员与委托方无足以影响评估报告及咨询结果公正性的关系。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39"/>
          <w:footerReference w:type="default" r:id="rId40"/>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30" w:name="__RefHeading___Toc469066148"/>
      <w:bookmarkEnd w:id="30"/>
      <w:r>
        <w:rPr>
          <w:rFonts w:ascii="Arial" w:hAnsi="Arial" w:cs="Arial"/>
          <w:b/>
          <w:sz w:val="32"/>
        </w:rPr>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咨询对象所在位置示意图</w:t>
      </w:r>
    </w:p>
    <w:p w14:paraId="265530B7"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受托单位《营业执照（副本）》复印件</w:t>
      </w:r>
    </w:p>
    <w:p w14:paraId="2D3A9427"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受托单位评估资质复印件</w:t>
      </w:r>
    </w:p>
    <w:p w14:paraId="3B52746F" w14:textId="77777777" w:rsidR="00E70101" w:rsidRDefault="0060680B">
      <w:pPr>
        <w:spacing w:line="360" w:lineRule="auto"/>
        <w:ind w:firstLine="560"/>
        <w:jc w:val="both"/>
        <w:sectPr w:rsidR="00E70101">
          <w:headerReference w:type="default" r:id="rId41"/>
          <w:footerReference w:type="default" r:id="rId42"/>
          <w:headerReference w:type="first" r:id="rId43"/>
          <w:footerReference w:type="first" r:id="rId44"/>
          <w:pgSz w:w="11906" w:h="16838"/>
          <w:pgMar w:top="1843" w:right="1134" w:bottom="1134" w:left="1474" w:header="1134" w:footer="907" w:gutter="0"/>
          <w:cols w:space="720"/>
          <w:formProt w:val="0"/>
          <w:titlePg/>
          <w:docGrid w:linePitch="326"/>
        </w:sectPr>
      </w:pPr>
      <w:r>
        <w:rPr>
          <w:rFonts w:ascii="Arial" w:eastAsia="楷体_GB2312;楷体" w:hAnsi="Arial" w:cs="Arial"/>
          <w:sz w:val="28"/>
        </w:rPr>
        <w:t>4.</w:t>
      </w:r>
      <w:r>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77777777"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称：北京市昌平区北七家镇八仙庄村仓储用地划拨国有建设用地使用权收购补偿价格咨询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77777777"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Pr>
          <w:rFonts w:ascii="Arial" w:eastAsia="楷体_GB2312;楷体" w:hAnsi="Arial" w:cs="Arial"/>
          <w:b/>
          <w:sz w:val="32"/>
        </w:rPr>
        <w:t>2024-1-0271-F01SGCB6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77777777"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proofErr w:type="gramStart"/>
      <w:r>
        <w:rPr>
          <w:rFonts w:ascii="Arial" w:eastAsia="楷体_GB2312;楷体" w:hAnsi="Arial" w:cs="Arial"/>
          <w:b/>
          <w:bCs/>
          <w:sz w:val="32"/>
        </w:rPr>
        <w:t>康正技评</w:t>
      </w:r>
      <w:proofErr w:type="gramEnd"/>
      <w:r>
        <w:rPr>
          <w:rFonts w:ascii="Arial" w:eastAsia="楷体_GB2312;楷体" w:hAnsi="Arial" w:cs="Arial"/>
          <w:b/>
          <w:bCs/>
          <w:sz w:val="32"/>
        </w:rPr>
        <w:t>字</w:t>
      </w:r>
      <w:r>
        <w:rPr>
          <w:rFonts w:ascii="Arial" w:eastAsia="楷体_GB2312;楷体" w:hAnsi="Arial" w:cs="Arial"/>
          <w:b/>
          <w:sz w:val="32"/>
        </w:rPr>
        <w:t>2024-1-0271-F01SGCB6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77777777"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Pr>
          <w:rFonts w:ascii="Arial" w:eastAsia="楷体_GB2312;楷体" w:hAnsi="Arial" w:cs="Arial"/>
          <w:b/>
          <w:sz w:val="32"/>
        </w:rPr>
        <w:t>2024</w:t>
      </w:r>
      <w:r>
        <w:rPr>
          <w:rFonts w:ascii="Arial" w:eastAsia="楷体_GB2312;楷体" w:hAnsi="Arial" w:cs="Arial"/>
          <w:b/>
          <w:sz w:val="32"/>
        </w:rPr>
        <w:t>年</w:t>
      </w:r>
      <w:r>
        <w:rPr>
          <w:rFonts w:ascii="Arial" w:eastAsia="楷体_GB2312;楷体" w:hAnsi="Arial" w:cs="Arial"/>
          <w:b/>
          <w:sz w:val="32"/>
        </w:rPr>
        <w:t>4</w:t>
      </w:r>
      <w:r>
        <w:rPr>
          <w:rFonts w:ascii="Arial" w:eastAsia="楷体_GB2312;楷体" w:hAnsi="Arial" w:cs="Arial"/>
          <w:b/>
          <w:sz w:val="32"/>
        </w:rPr>
        <w:t>月</w:t>
      </w:r>
      <w:r>
        <w:rPr>
          <w:rFonts w:ascii="Arial" w:eastAsia="楷体_GB2312;楷体" w:hAnsi="Arial" w:cs="Arial"/>
          <w:b/>
          <w:sz w:val="32"/>
        </w:rPr>
        <w:t>2</w:t>
      </w:r>
      <w:r>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77777777"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关键词：北京市、昌平区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45"/>
          <w:footerReference w:type="default" r:id="rId46"/>
          <w:headerReference w:type="first" r:id="rId47"/>
          <w:footerReference w:type="first" r:id="rId48"/>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11"/>
        <w:rPr>
          <w:rStyle w:val="Internet"/>
          <w:rFonts w:ascii="Arial" w:hAnsi="Arial"/>
          <w:color w:val="000000"/>
          <w:sz w:val="24"/>
          <w:szCs w:val="24"/>
        </w:rPr>
      </w:pPr>
      <w:r>
        <w:rPr>
          <w:rFonts w:ascii="Arial" w:hAnsi="Arial"/>
          <w:b/>
          <w:sz w:val="32"/>
          <w:szCs w:val="32"/>
        </w:rPr>
        <w:t>目录</w:t>
      </w:r>
    </w:p>
    <w:sdt>
      <w:sdtPr>
        <w:id w:val="254945717"/>
        <w:docPartObj>
          <w:docPartGallery w:val="Table of Contents"/>
          <w:docPartUnique/>
        </w:docPartObj>
      </w:sdtPr>
      <w:sdtContent>
        <w:p w14:paraId="27C55741" w14:textId="77777777" w:rsidR="00E70101" w:rsidRDefault="0060680B">
          <w:pPr>
            <w:pStyle w:val="11"/>
            <w:rPr>
              <w:rStyle w:val="Internet"/>
              <w:rFonts w:ascii="Arial" w:eastAsia="宋体;SimSun" w:hAnsi="Arial"/>
              <w:color w:val="000000"/>
              <w:kern w:val="2"/>
              <w:sz w:val="21"/>
              <w:szCs w:val="22"/>
            </w:rPr>
          </w:pPr>
          <w:r>
            <w:fldChar w:fldCharType="begin"/>
          </w:r>
          <w:r>
            <w:instrText>TOC \o "1-2" \h \z \u</w:instrText>
          </w:r>
          <w:r>
            <w:fldChar w:fldCharType="separate"/>
          </w:r>
        </w:p>
        <w:p w14:paraId="58B125CA" w14:textId="77777777" w:rsidR="00E70101" w:rsidRDefault="0060680B">
          <w:pPr>
            <w:pStyle w:val="11"/>
            <w:rPr>
              <w:rFonts w:ascii="Arial" w:eastAsia="宋体;SimSun" w:hAnsi="Arial"/>
              <w:kern w:val="2"/>
              <w:sz w:val="21"/>
              <w:szCs w:val="22"/>
            </w:rPr>
          </w:pPr>
          <w:hyperlink w:anchor="__RefHeading___Toc530042239">
            <w:r>
              <w:rPr>
                <w:rFonts w:ascii="Arial" w:hAnsi="Arial"/>
                <w:b/>
              </w:rPr>
              <w:t>第一部分</w:t>
            </w:r>
            <w:r>
              <w:rPr>
                <w:rFonts w:ascii="Arial" w:eastAsia="Arial" w:hAnsi="Arial"/>
                <w:b/>
              </w:rPr>
              <w:t xml:space="preserve">  </w:t>
            </w:r>
            <w:r>
              <w:rPr>
                <w:rFonts w:ascii="Arial" w:hAnsi="Arial"/>
                <w:b/>
              </w:rPr>
              <w:t>总</w:t>
            </w:r>
            <w:r>
              <w:rPr>
                <w:rFonts w:ascii="Arial" w:eastAsia="Arial" w:hAnsi="Arial"/>
                <w:b/>
              </w:rPr>
              <w:t xml:space="preserve">  </w:t>
            </w:r>
            <w:r>
              <w:rPr>
                <w:rFonts w:ascii="Arial" w:hAnsi="Arial"/>
                <w:b/>
              </w:rPr>
              <w:t>述</w:t>
            </w:r>
            <w:r>
              <w:rPr>
                <w:rFonts w:ascii="Arial" w:hAnsi="Arial"/>
              </w:rPr>
              <w:tab/>
              <w:t>1</w:t>
            </w:r>
          </w:hyperlink>
        </w:p>
        <w:p w14:paraId="1F0393AC" w14:textId="77777777" w:rsidR="00E70101" w:rsidRDefault="0060680B">
          <w:pPr>
            <w:pStyle w:val="26"/>
            <w:rPr>
              <w:rFonts w:ascii="Arial" w:hAnsi="Arial" w:cs="Arial"/>
              <w:kern w:val="2"/>
              <w:sz w:val="21"/>
              <w:szCs w:val="22"/>
              <w:lang w:val="zh-CN"/>
            </w:rPr>
          </w:pPr>
          <w:hyperlink w:anchor="__RefHeading___Toc530042240">
            <w:r>
              <w:rPr>
                <w:rFonts w:ascii="Arial" w:eastAsia="仿宋_GB2312;仿宋" w:hAnsi="Arial" w:cs="Arial"/>
                <w:b/>
                <w:bCs/>
                <w:lang w:val="zh-CN"/>
              </w:rPr>
              <w:t>一、项目名称</w:t>
            </w:r>
            <w:r>
              <w:rPr>
                <w:rFonts w:ascii="Arial" w:hAnsi="Arial" w:cs="Arial"/>
                <w:lang w:val="zh-CN"/>
              </w:rPr>
              <w:tab/>
              <w:t>1</w:t>
            </w:r>
          </w:hyperlink>
        </w:p>
        <w:p w14:paraId="6744E66E" w14:textId="77777777" w:rsidR="00E70101" w:rsidRDefault="0060680B">
          <w:pPr>
            <w:pStyle w:val="26"/>
            <w:rPr>
              <w:rFonts w:ascii="Arial" w:hAnsi="Arial" w:cs="Arial"/>
              <w:kern w:val="2"/>
              <w:sz w:val="21"/>
              <w:szCs w:val="22"/>
              <w:lang w:val="zh-CN"/>
            </w:rPr>
          </w:pPr>
          <w:hyperlink w:anchor="__RefHeading___Toc530042241">
            <w:r>
              <w:rPr>
                <w:rFonts w:ascii="Arial" w:eastAsia="仿宋_GB2312;仿宋" w:hAnsi="Arial" w:cs="Arial"/>
                <w:b/>
                <w:bCs/>
                <w:lang w:val="zh-CN"/>
              </w:rPr>
              <w:t>二、委托方</w:t>
            </w:r>
            <w:r>
              <w:rPr>
                <w:rFonts w:ascii="Arial" w:hAnsi="Arial" w:cs="Arial"/>
                <w:lang w:val="zh-CN"/>
              </w:rPr>
              <w:tab/>
              <w:t>1</w:t>
            </w:r>
          </w:hyperlink>
        </w:p>
        <w:p w14:paraId="5948E599" w14:textId="77777777" w:rsidR="00E70101" w:rsidRDefault="0060680B">
          <w:pPr>
            <w:pStyle w:val="26"/>
            <w:rPr>
              <w:rFonts w:ascii="Arial" w:hAnsi="Arial" w:cs="Arial"/>
              <w:kern w:val="2"/>
              <w:sz w:val="21"/>
              <w:szCs w:val="22"/>
              <w:lang w:val="zh-CN"/>
            </w:rPr>
          </w:pPr>
          <w:hyperlink w:anchor="__RefHeading___Toc530042242">
            <w:r>
              <w:rPr>
                <w:rFonts w:ascii="Arial" w:eastAsia="仿宋_GB2312;仿宋" w:hAnsi="Arial" w:cs="Arial"/>
                <w:b/>
                <w:lang w:val="zh-CN"/>
              </w:rPr>
              <w:t>三、受托咨询方</w:t>
            </w:r>
            <w:r>
              <w:rPr>
                <w:rFonts w:ascii="Arial" w:hAnsi="Arial" w:cs="Arial"/>
                <w:lang w:val="zh-CN"/>
              </w:rPr>
              <w:tab/>
              <w:t>1</w:t>
            </w:r>
          </w:hyperlink>
        </w:p>
        <w:p w14:paraId="5C9CFE0A" w14:textId="77777777" w:rsidR="00E70101" w:rsidRDefault="0060680B">
          <w:pPr>
            <w:pStyle w:val="26"/>
            <w:rPr>
              <w:rFonts w:ascii="Arial" w:hAnsi="Arial" w:cs="Arial"/>
              <w:kern w:val="2"/>
              <w:sz w:val="21"/>
              <w:szCs w:val="22"/>
              <w:lang w:val="zh-CN"/>
            </w:rPr>
          </w:pPr>
          <w:hyperlink w:anchor="__RefHeading___Toc530042243">
            <w:r>
              <w:rPr>
                <w:rFonts w:ascii="Arial" w:eastAsia="仿宋_GB2312;仿宋" w:hAnsi="Arial" w:cs="Arial"/>
                <w:b/>
                <w:lang w:val="zh-CN"/>
              </w:rPr>
              <w:t>四、咨询目的</w:t>
            </w:r>
            <w:r>
              <w:rPr>
                <w:rFonts w:ascii="Arial" w:hAnsi="Arial" w:cs="Arial"/>
                <w:lang w:val="zh-CN"/>
              </w:rPr>
              <w:tab/>
              <w:t>1</w:t>
            </w:r>
          </w:hyperlink>
        </w:p>
        <w:p w14:paraId="0DCAAF36" w14:textId="77777777" w:rsidR="00E70101" w:rsidRDefault="0060680B">
          <w:pPr>
            <w:pStyle w:val="26"/>
            <w:rPr>
              <w:rFonts w:ascii="Arial" w:hAnsi="Arial" w:cs="Arial"/>
              <w:kern w:val="2"/>
              <w:sz w:val="21"/>
              <w:szCs w:val="22"/>
              <w:lang w:val="zh-CN"/>
            </w:rPr>
          </w:pPr>
          <w:hyperlink w:anchor="__RefHeading___Toc530042244">
            <w:r>
              <w:rPr>
                <w:rFonts w:ascii="Arial" w:eastAsia="仿宋_GB2312;仿宋" w:hAnsi="Arial" w:cs="Arial"/>
                <w:b/>
                <w:lang w:val="zh-CN"/>
              </w:rPr>
              <w:t>五、咨询依据</w:t>
            </w:r>
            <w:r>
              <w:rPr>
                <w:rFonts w:ascii="Arial" w:hAnsi="Arial" w:cs="Arial"/>
                <w:lang w:val="zh-CN"/>
              </w:rPr>
              <w:tab/>
              <w:t>2</w:t>
            </w:r>
          </w:hyperlink>
        </w:p>
        <w:p w14:paraId="33B05B79" w14:textId="77777777" w:rsidR="00E70101" w:rsidRDefault="0060680B">
          <w:pPr>
            <w:pStyle w:val="26"/>
            <w:rPr>
              <w:rFonts w:ascii="Arial" w:hAnsi="Arial" w:cs="Arial"/>
              <w:kern w:val="2"/>
              <w:sz w:val="21"/>
              <w:szCs w:val="22"/>
              <w:lang w:val="zh-CN"/>
            </w:rPr>
          </w:pPr>
          <w:hyperlink w:anchor="__RefHeading___Toc530042245">
            <w:r>
              <w:rPr>
                <w:rFonts w:ascii="Arial" w:eastAsia="仿宋_GB2312;仿宋" w:hAnsi="Arial" w:cs="Arial"/>
                <w:b/>
                <w:lang w:val="zh-CN"/>
              </w:rPr>
              <w:t>六、咨询期日</w:t>
            </w:r>
            <w:r>
              <w:rPr>
                <w:rFonts w:ascii="Arial" w:hAnsi="Arial" w:cs="Arial"/>
                <w:lang w:val="zh-CN"/>
              </w:rPr>
              <w:tab/>
              <w:t>5</w:t>
            </w:r>
          </w:hyperlink>
        </w:p>
        <w:p w14:paraId="0FB1F4EC" w14:textId="77777777" w:rsidR="00E70101" w:rsidRDefault="0060680B">
          <w:pPr>
            <w:pStyle w:val="26"/>
            <w:rPr>
              <w:rFonts w:ascii="Arial" w:hAnsi="Arial" w:cs="Arial"/>
              <w:kern w:val="2"/>
              <w:sz w:val="21"/>
              <w:szCs w:val="22"/>
              <w:lang w:val="zh-CN"/>
            </w:rPr>
          </w:pPr>
          <w:hyperlink w:anchor="__RefHeading___Toc530042246">
            <w:r>
              <w:rPr>
                <w:rFonts w:ascii="Arial" w:eastAsia="仿宋_GB2312;仿宋" w:hAnsi="Arial" w:cs="Arial"/>
                <w:b/>
                <w:bCs/>
                <w:lang w:val="zh-CN"/>
              </w:rPr>
              <w:t>七、咨询日期</w:t>
            </w:r>
            <w:r>
              <w:rPr>
                <w:rFonts w:ascii="Arial" w:hAnsi="Arial" w:cs="Arial"/>
                <w:lang w:val="zh-CN"/>
              </w:rPr>
              <w:tab/>
              <w:t>5</w:t>
            </w:r>
          </w:hyperlink>
        </w:p>
        <w:p w14:paraId="390DAB8C" w14:textId="77777777" w:rsidR="00E70101" w:rsidRDefault="0060680B">
          <w:pPr>
            <w:pStyle w:val="26"/>
            <w:rPr>
              <w:rFonts w:ascii="Arial" w:hAnsi="Arial" w:cs="Arial"/>
              <w:kern w:val="2"/>
              <w:sz w:val="21"/>
              <w:szCs w:val="22"/>
              <w:lang w:val="zh-CN"/>
            </w:rPr>
          </w:pPr>
          <w:hyperlink w:anchor="__RefHeading___Toc530042247">
            <w:r>
              <w:rPr>
                <w:rFonts w:ascii="Arial" w:eastAsia="仿宋_GB2312;仿宋" w:hAnsi="Arial" w:cs="Arial"/>
                <w:b/>
                <w:bCs/>
                <w:lang w:val="zh-CN"/>
              </w:rPr>
              <w:t>八、地价定义</w:t>
            </w:r>
            <w:r>
              <w:rPr>
                <w:rFonts w:ascii="Arial" w:hAnsi="Arial" w:cs="Arial"/>
                <w:lang w:val="zh-CN"/>
              </w:rPr>
              <w:tab/>
              <w:t>5</w:t>
            </w:r>
          </w:hyperlink>
        </w:p>
        <w:p w14:paraId="5C7ADAF8" w14:textId="77777777" w:rsidR="00E70101" w:rsidRDefault="0060680B">
          <w:pPr>
            <w:pStyle w:val="26"/>
            <w:rPr>
              <w:rFonts w:ascii="Arial" w:hAnsi="Arial" w:cs="Arial"/>
              <w:kern w:val="2"/>
              <w:sz w:val="21"/>
              <w:szCs w:val="22"/>
              <w:lang w:val="zh-CN"/>
            </w:rPr>
          </w:pPr>
          <w:hyperlink w:anchor="__RefHeading___Toc530042248">
            <w:r>
              <w:rPr>
                <w:rFonts w:ascii="Arial" w:eastAsia="仿宋_GB2312;仿宋" w:hAnsi="Arial" w:cs="Arial"/>
                <w:b/>
                <w:lang w:val="zh-CN"/>
              </w:rPr>
              <w:t>九、咨询结果</w:t>
            </w:r>
            <w:r>
              <w:rPr>
                <w:rFonts w:ascii="Arial" w:hAnsi="Arial" w:cs="Arial"/>
                <w:lang w:val="zh-CN"/>
              </w:rPr>
              <w:tab/>
              <w:t>10</w:t>
            </w:r>
          </w:hyperlink>
        </w:p>
        <w:p w14:paraId="702F5660" w14:textId="77777777" w:rsidR="00E70101" w:rsidRDefault="0060680B">
          <w:pPr>
            <w:pStyle w:val="26"/>
            <w:rPr>
              <w:rFonts w:ascii="Arial" w:hAnsi="Arial" w:cs="Arial"/>
              <w:kern w:val="2"/>
              <w:sz w:val="21"/>
              <w:szCs w:val="22"/>
              <w:lang w:val="zh-CN"/>
            </w:rPr>
          </w:pPr>
          <w:hyperlink w:anchor="__RefHeading___Toc530042249">
            <w:r>
              <w:rPr>
                <w:rFonts w:ascii="Arial" w:eastAsia="仿宋_GB2312;仿宋" w:hAnsi="Arial" w:cs="Arial"/>
                <w:bCs/>
                <w:lang w:val="zh-CN"/>
              </w:rPr>
              <w:t>附</w:t>
            </w:r>
            <w:r>
              <w:rPr>
                <w:rFonts w:ascii="Arial" w:eastAsia="Arial" w:hAnsi="Arial" w:cs="Arial"/>
                <w:b/>
                <w:lang w:val="zh-CN"/>
              </w:rPr>
              <w:t xml:space="preserve">    </w:t>
            </w:r>
            <w:r>
              <w:rPr>
                <w:rFonts w:ascii="Arial" w:eastAsia="仿宋_GB2312;仿宋" w:hAnsi="Arial" w:cs="Arial"/>
                <w:b/>
                <w:lang w:val="zh-CN"/>
              </w:rPr>
              <w:t>咨询结果一览表</w:t>
            </w:r>
            <w:r>
              <w:rPr>
                <w:rFonts w:ascii="Arial" w:hAnsi="Arial" w:cs="Arial"/>
                <w:lang w:val="zh-CN"/>
              </w:rPr>
              <w:tab/>
              <w:t>12</w:t>
            </w:r>
          </w:hyperlink>
        </w:p>
        <w:p w14:paraId="63118B7F" w14:textId="77777777" w:rsidR="00E70101" w:rsidRDefault="0060680B">
          <w:pPr>
            <w:pStyle w:val="26"/>
            <w:rPr>
              <w:rFonts w:ascii="Arial" w:hAnsi="Arial" w:cs="Arial"/>
              <w:kern w:val="2"/>
              <w:sz w:val="21"/>
              <w:szCs w:val="22"/>
              <w:lang w:val="zh-CN"/>
            </w:rPr>
          </w:pPr>
          <w:hyperlink w:anchor="__RefHeading___Toc530042250">
            <w:r>
              <w:rPr>
                <w:rFonts w:ascii="Arial" w:eastAsia="仿宋_GB2312;仿宋" w:hAnsi="Arial" w:cs="Arial"/>
                <w:b/>
                <w:lang w:val="zh-CN"/>
              </w:rPr>
              <w:t>十、需要特殊说明的事项</w:t>
            </w:r>
            <w:r>
              <w:rPr>
                <w:rFonts w:ascii="Arial" w:hAnsi="Arial" w:cs="Arial"/>
                <w:lang w:val="zh-CN"/>
              </w:rPr>
              <w:tab/>
              <w:t>13</w:t>
            </w:r>
          </w:hyperlink>
        </w:p>
        <w:p w14:paraId="33217342" w14:textId="77777777" w:rsidR="00E70101" w:rsidRDefault="0060680B">
          <w:pPr>
            <w:pStyle w:val="26"/>
            <w:rPr>
              <w:rFonts w:ascii="Arial" w:hAnsi="Arial" w:cs="Arial"/>
              <w:kern w:val="2"/>
              <w:sz w:val="21"/>
              <w:szCs w:val="22"/>
              <w:lang w:val="zh-CN"/>
            </w:rPr>
          </w:pPr>
          <w:hyperlink w:anchor="__RefHeading___Toc530042252">
            <w:r>
              <w:rPr>
                <w:rFonts w:ascii="Arial" w:eastAsia="仿宋_GB2312;仿宋" w:hAnsi="Arial" w:cs="Arial"/>
                <w:b/>
                <w:lang w:val="zh-CN"/>
              </w:rPr>
              <w:t>十一、土地咨询机构</w:t>
            </w:r>
            <w:r>
              <w:rPr>
                <w:rFonts w:ascii="Arial" w:hAnsi="Arial" w:cs="Arial"/>
                <w:lang w:val="zh-CN"/>
              </w:rPr>
              <w:tab/>
            </w:r>
          </w:hyperlink>
          <w:r>
            <w:rPr>
              <w:rFonts w:ascii="Arial" w:hAnsi="Arial" w:cs="Arial"/>
            </w:rPr>
            <w:t>17</w:t>
          </w:r>
        </w:p>
        <w:p w14:paraId="254F88F0" w14:textId="77777777" w:rsidR="00E70101" w:rsidRDefault="0060680B">
          <w:pPr>
            <w:pStyle w:val="11"/>
            <w:rPr>
              <w:rFonts w:ascii="Arial" w:eastAsia="宋体;SimSun" w:hAnsi="Arial"/>
              <w:kern w:val="2"/>
              <w:sz w:val="21"/>
              <w:szCs w:val="22"/>
            </w:rPr>
          </w:pPr>
          <w:hyperlink w:anchor="__RefHeading___Toc530042253">
            <w:r>
              <w:rPr>
                <w:rFonts w:ascii="Arial" w:hAnsi="Arial"/>
                <w:b/>
              </w:rPr>
              <w:t>第二部分</w:t>
            </w:r>
            <w:r>
              <w:rPr>
                <w:rFonts w:ascii="Arial" w:eastAsia="Arial" w:hAnsi="Arial"/>
                <w:b/>
              </w:rPr>
              <w:t xml:space="preserve">  </w:t>
            </w:r>
            <w:r>
              <w:rPr>
                <w:rFonts w:ascii="Arial" w:hAnsi="Arial"/>
                <w:b/>
              </w:rPr>
              <w:t>咨询对象描述及土地价格影响因素分析</w:t>
            </w:r>
            <w:r>
              <w:rPr>
                <w:rFonts w:ascii="Arial" w:hAnsi="Arial"/>
              </w:rPr>
              <w:tab/>
              <w:t>18</w:t>
            </w:r>
          </w:hyperlink>
        </w:p>
        <w:p w14:paraId="7745307B" w14:textId="77777777" w:rsidR="00E70101" w:rsidRDefault="0060680B">
          <w:pPr>
            <w:pStyle w:val="26"/>
            <w:rPr>
              <w:rFonts w:ascii="Arial" w:hAnsi="Arial" w:cs="Arial"/>
              <w:kern w:val="2"/>
              <w:sz w:val="21"/>
              <w:szCs w:val="22"/>
              <w:lang w:val="zh-CN"/>
            </w:rPr>
          </w:pPr>
          <w:hyperlink w:anchor="__RefHeading___Toc530042254">
            <w:r>
              <w:rPr>
                <w:rFonts w:ascii="Arial" w:eastAsia="仿宋_GB2312;仿宋" w:hAnsi="Arial" w:cs="Arial"/>
                <w:b/>
                <w:lang w:val="zh-CN"/>
              </w:rPr>
              <w:t>一、咨询对象描述</w:t>
            </w:r>
            <w:r>
              <w:rPr>
                <w:rFonts w:ascii="Arial" w:hAnsi="Arial" w:cs="Arial"/>
                <w:lang w:val="zh-CN"/>
              </w:rPr>
              <w:tab/>
              <w:t>18</w:t>
            </w:r>
          </w:hyperlink>
        </w:p>
        <w:p w14:paraId="3461E1F6" w14:textId="77777777" w:rsidR="00E70101" w:rsidRDefault="0060680B">
          <w:pPr>
            <w:pStyle w:val="26"/>
            <w:rPr>
              <w:rFonts w:ascii="Arial" w:hAnsi="Arial" w:cs="Arial"/>
              <w:kern w:val="2"/>
              <w:sz w:val="21"/>
              <w:szCs w:val="22"/>
              <w:lang w:val="zh-CN"/>
            </w:rPr>
          </w:pPr>
          <w:hyperlink w:anchor="__RefHeading___Toc530042255">
            <w:r>
              <w:rPr>
                <w:rFonts w:ascii="Arial" w:eastAsia="仿宋_GB2312;仿宋" w:hAnsi="Arial" w:cs="Arial"/>
                <w:b/>
                <w:lang w:val="zh-CN"/>
              </w:rPr>
              <w:t>二、地价影响因素分析</w:t>
            </w:r>
            <w:r>
              <w:rPr>
                <w:rFonts w:ascii="Arial" w:hAnsi="Arial" w:cs="Arial"/>
                <w:lang w:val="zh-CN"/>
              </w:rPr>
              <w:tab/>
              <w:t>21</w:t>
            </w:r>
          </w:hyperlink>
        </w:p>
        <w:p w14:paraId="2A2656D6" w14:textId="77777777" w:rsidR="00E70101" w:rsidRDefault="0060680B">
          <w:pPr>
            <w:pStyle w:val="11"/>
            <w:rPr>
              <w:rFonts w:ascii="Arial" w:eastAsia="宋体;SimSun" w:hAnsi="Arial"/>
              <w:kern w:val="2"/>
              <w:sz w:val="21"/>
              <w:szCs w:val="22"/>
            </w:rPr>
          </w:pPr>
          <w:hyperlink w:anchor="__RefHeading___Toc530042256">
            <w:r>
              <w:rPr>
                <w:rFonts w:ascii="Arial" w:hAnsi="Arial"/>
                <w:b/>
              </w:rPr>
              <w:t>第三部分</w:t>
            </w:r>
            <w:r>
              <w:rPr>
                <w:rFonts w:ascii="Arial" w:eastAsia="Arial" w:hAnsi="Arial"/>
                <w:b/>
              </w:rPr>
              <w:t xml:space="preserve">  </w:t>
            </w:r>
            <w:r>
              <w:rPr>
                <w:rFonts w:ascii="Arial" w:hAnsi="Arial"/>
                <w:b/>
              </w:rPr>
              <w:t>土地咨询</w:t>
            </w:r>
            <w:r>
              <w:rPr>
                <w:rFonts w:ascii="Arial" w:hAnsi="Arial"/>
              </w:rPr>
              <w:tab/>
              <w:t>26</w:t>
            </w:r>
          </w:hyperlink>
        </w:p>
        <w:p w14:paraId="1BDE19A0" w14:textId="77777777" w:rsidR="00E70101" w:rsidRDefault="0060680B">
          <w:pPr>
            <w:pStyle w:val="26"/>
            <w:rPr>
              <w:rFonts w:ascii="Arial" w:hAnsi="Arial" w:cs="Arial"/>
              <w:kern w:val="2"/>
              <w:sz w:val="21"/>
              <w:szCs w:val="22"/>
              <w:lang w:val="zh-CN"/>
            </w:rPr>
          </w:pPr>
          <w:hyperlink w:anchor="__RefHeading___Toc530042257">
            <w:r>
              <w:rPr>
                <w:rFonts w:ascii="Arial" w:eastAsia="仿宋_GB2312;仿宋" w:hAnsi="Arial" w:cs="Arial"/>
                <w:b/>
                <w:lang w:val="zh-CN"/>
              </w:rPr>
              <w:t>一、咨询原则</w:t>
            </w:r>
            <w:r>
              <w:rPr>
                <w:rFonts w:ascii="Arial" w:hAnsi="Arial" w:cs="Arial"/>
                <w:lang w:val="zh-CN"/>
              </w:rPr>
              <w:tab/>
              <w:t>26</w:t>
            </w:r>
          </w:hyperlink>
        </w:p>
        <w:p w14:paraId="3289C659" w14:textId="77777777" w:rsidR="00E70101" w:rsidRDefault="0060680B">
          <w:pPr>
            <w:pStyle w:val="26"/>
            <w:rPr>
              <w:rFonts w:ascii="Arial" w:hAnsi="Arial" w:cs="Arial"/>
              <w:kern w:val="2"/>
              <w:sz w:val="21"/>
              <w:szCs w:val="22"/>
              <w:lang w:val="zh-CN"/>
            </w:rPr>
          </w:pPr>
          <w:hyperlink w:anchor="__RefHeading___Toc530042258">
            <w:r>
              <w:rPr>
                <w:rFonts w:ascii="Arial" w:eastAsia="仿宋_GB2312;仿宋" w:hAnsi="Arial" w:cs="Arial"/>
                <w:b/>
                <w:lang w:val="zh-CN"/>
              </w:rPr>
              <w:t>二、咨询方法与咨询过程</w:t>
            </w:r>
            <w:r>
              <w:rPr>
                <w:rFonts w:ascii="Arial" w:hAnsi="Arial" w:cs="Arial"/>
                <w:lang w:val="zh-CN"/>
              </w:rPr>
              <w:tab/>
              <w:t>30</w:t>
            </w:r>
          </w:hyperlink>
        </w:p>
        <w:p w14:paraId="6A8B1926" w14:textId="77777777" w:rsidR="00E70101" w:rsidRDefault="0060680B">
          <w:pPr>
            <w:pStyle w:val="26"/>
            <w:rPr>
              <w:rFonts w:ascii="Arial" w:hAnsi="Arial" w:cs="Arial"/>
              <w:kern w:val="2"/>
              <w:sz w:val="21"/>
              <w:szCs w:val="22"/>
              <w:lang w:val="zh-CN"/>
            </w:rPr>
          </w:pPr>
          <w:hyperlink w:anchor="__RefHeading___Toc530042292">
            <w:r>
              <w:rPr>
                <w:rFonts w:ascii="Arial" w:eastAsia="仿宋_GB2312;仿宋" w:hAnsi="Arial" w:cs="Arial"/>
                <w:b/>
                <w:bCs/>
                <w:lang w:val="zh-CN"/>
              </w:rPr>
              <w:t>三、咨询结果的确定</w:t>
            </w:r>
            <w:r>
              <w:rPr>
                <w:rFonts w:ascii="Arial" w:hAnsi="Arial" w:cs="Arial"/>
                <w:lang w:val="zh-CN"/>
              </w:rPr>
              <w:tab/>
              <w:t>69</w:t>
            </w:r>
          </w:hyperlink>
        </w:p>
        <w:p w14:paraId="7550B851" w14:textId="77777777" w:rsidR="00E70101" w:rsidRDefault="0060680B">
          <w:pPr>
            <w:pStyle w:val="11"/>
            <w:rPr>
              <w:rFonts w:ascii="Arial" w:eastAsia="宋体;SimSun" w:hAnsi="Arial"/>
              <w:kern w:val="2"/>
              <w:sz w:val="21"/>
              <w:szCs w:val="22"/>
            </w:rPr>
          </w:pPr>
          <w:hyperlink w:anchor="__RefHeading___Toc530042315">
            <w:r>
              <w:rPr>
                <w:rFonts w:ascii="Arial" w:hAnsi="Arial"/>
                <w:b/>
              </w:rPr>
              <w:t>第四部分</w:t>
            </w:r>
            <w:r>
              <w:rPr>
                <w:rFonts w:ascii="Arial" w:eastAsia="Arial" w:hAnsi="Arial"/>
                <w:b/>
              </w:rPr>
              <w:t xml:space="preserve">  </w:t>
            </w:r>
            <w:r>
              <w:rPr>
                <w:rFonts w:ascii="Arial" w:hAnsi="Arial"/>
                <w:b/>
              </w:rPr>
              <w:t>附</w:t>
            </w:r>
            <w:r>
              <w:rPr>
                <w:rFonts w:ascii="Arial" w:eastAsia="Arial" w:hAnsi="Arial"/>
                <w:b/>
              </w:rPr>
              <w:t xml:space="preserve">  </w:t>
            </w:r>
            <w:r>
              <w:rPr>
                <w:rFonts w:ascii="Arial" w:hAnsi="Arial"/>
                <w:b/>
              </w:rPr>
              <w:t>件</w:t>
            </w:r>
            <w:r>
              <w:rPr>
                <w:rFonts w:ascii="Arial" w:hAnsi="Arial"/>
              </w:rPr>
              <w:tab/>
              <w:t>71</w:t>
            </w:r>
          </w:hyperlink>
          <w:r>
            <w:rPr>
              <w:rFonts w:ascii="Arial" w:hAnsi="Arial"/>
            </w:rPr>
            <w:fldChar w:fldCharType="end"/>
          </w:r>
        </w:p>
      </w:sdtContent>
    </w:sdt>
    <w:p w14:paraId="34BC02BF" w14:textId="77777777" w:rsidR="00E70101" w:rsidRDefault="00E70101">
      <w:pPr>
        <w:pStyle w:val="26"/>
        <w:rPr>
          <w:rFonts w:ascii="Arial" w:eastAsia="楷体" w:hAnsi="Arial" w:cs="Arial"/>
          <w:kern w:val="2"/>
          <w:sz w:val="32"/>
          <w:szCs w:val="22"/>
        </w:rPr>
        <w:sectPr w:rsidR="00E70101">
          <w:headerReference w:type="default" r:id="rId49"/>
          <w:footerReference w:type="default" r:id="rId50"/>
          <w:headerReference w:type="first" r:id="rId51"/>
          <w:footerReference w:type="first" r:id="rId52"/>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31" w:name="__RefHeading___Toc530042239"/>
      <w:bookmarkEnd w:id="31"/>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r>
        <w:rPr>
          <w:rFonts w:ascii="Arial" w:eastAsia="仿宋_GB2312;仿宋" w:hAnsi="Arial" w:cs="Arial"/>
          <w:b/>
          <w:bCs/>
          <w:sz w:val="28"/>
        </w:rPr>
        <w:t>一、项目名称</w:t>
      </w:r>
    </w:p>
    <w:p w14:paraId="52C63F74" w14:textId="77777777"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北京市昌平区北七家镇八仙庄村仓储用地划拨国有建设用地使用权收购补偿价格咨询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r>
        <w:rPr>
          <w:rFonts w:ascii="Arial" w:eastAsia="仿宋_GB2312;仿宋" w:hAnsi="Arial" w:cs="Arial"/>
          <w:b/>
          <w:bCs/>
          <w:sz w:val="28"/>
        </w:rPr>
        <w:t>二、委托方</w:t>
      </w:r>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r>
        <w:commentReference w:id="32"/>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proofErr w:type="gramStart"/>
      <w:r>
        <w:rPr>
          <w:rFonts w:ascii="Arial" w:eastAsia="仿宋_GB2312;仿宋" w:hAnsi="Arial" w:cs="Arial"/>
          <w:sz w:val="28"/>
        </w:rPr>
        <w:t>岳翠兰</w:t>
      </w:r>
      <w:proofErr w:type="gramEnd"/>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33" w:name="__RefHeading___Toc530042242"/>
      <w:r>
        <w:rPr>
          <w:rFonts w:ascii="Arial" w:eastAsia="仿宋_GB2312;仿宋" w:hAnsi="Arial" w:cs="Arial"/>
          <w:b/>
          <w:sz w:val="28"/>
        </w:rPr>
        <w:t>三、受托咨询方</w:t>
      </w:r>
      <w:bookmarkEnd w:id="33"/>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77777777" w:rsidR="00E70101" w:rsidRDefault="0060680B">
      <w:pPr>
        <w:spacing w:line="360" w:lineRule="auto"/>
        <w:rPr>
          <w:rFonts w:ascii="Arial" w:eastAsia="仿宋_GB2312;仿宋" w:hAnsi="Arial" w:cs="Arial"/>
          <w:sz w:val="28"/>
        </w:rPr>
      </w:pPr>
      <w:r>
        <w:rPr>
          <w:rFonts w:ascii="Arial" w:eastAsia="Arial" w:hAnsi="Arial" w:cs="Arial"/>
          <w:sz w:val="28"/>
        </w:rPr>
        <w:t xml:space="preserve">    </w:t>
      </w:r>
      <w:r>
        <w:rPr>
          <w:rFonts w:ascii="Arial" w:eastAsia="仿宋_GB2312;仿宋" w:hAnsi="Arial" w:cs="Arial"/>
          <w:spacing w:val="38"/>
          <w:sz w:val="28"/>
        </w:rPr>
        <w:t>联系人：</w:t>
      </w:r>
      <w:r>
        <w:rPr>
          <w:rFonts w:ascii="Arial" w:eastAsia="仿宋_GB2312;仿宋" w:hAnsi="Arial" w:cs="Arial"/>
          <w:sz w:val="28"/>
        </w:rPr>
        <w:t>常</w:t>
      </w:r>
      <w:r>
        <w:rPr>
          <w:rFonts w:ascii="Arial" w:eastAsia="Arial" w:hAnsi="Arial" w:cs="Arial"/>
          <w:sz w:val="28"/>
        </w:rPr>
        <w:t xml:space="preserve">  </w:t>
      </w:r>
      <w:proofErr w:type="gramStart"/>
      <w:r>
        <w:rPr>
          <w:rFonts w:ascii="Arial" w:eastAsia="仿宋_GB2312;仿宋" w:hAnsi="Arial" w:cs="Arial"/>
          <w:sz w:val="28"/>
        </w:rPr>
        <w:t>畅</w:t>
      </w:r>
      <w:proofErr w:type="gramEnd"/>
    </w:p>
    <w:p w14:paraId="32942746" w14:textId="77777777"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010-82253558-237</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34" w:name="__RefHeading___Toc530042243"/>
      <w:bookmarkEnd w:id="34"/>
      <w:r>
        <w:rPr>
          <w:rFonts w:ascii="Arial" w:eastAsia="仿宋_GB2312;仿宋" w:hAnsi="Arial" w:cs="Arial"/>
          <w:b/>
          <w:sz w:val="28"/>
        </w:rPr>
        <w:t>四、咨询目的</w:t>
      </w:r>
    </w:p>
    <w:p w14:paraId="18EC6923" w14:textId="77777777" w:rsidR="00E70101" w:rsidRDefault="0060680B">
      <w:pPr>
        <w:spacing w:line="360" w:lineRule="auto"/>
        <w:ind w:firstLine="557"/>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35" w:name="__RefHeading___Toc530042244"/>
      <w:bookmarkEnd w:id="35"/>
      <w:r>
        <w:rPr>
          <w:rFonts w:ascii="Arial" w:eastAsia="仿宋_GB2312;仿宋" w:hAnsi="Arial" w:cs="Arial"/>
          <w:b/>
          <w:sz w:val="28"/>
        </w:rPr>
        <w:t>五、咨询依据</w:t>
      </w:r>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36"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36"/>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《城镇土地咨询规程》</w:t>
      </w:r>
      <w:r>
        <w:rPr>
          <w:rFonts w:ascii="Arial" w:eastAsia="仿宋_GB2312;仿宋" w:hAnsi="Arial" w:cs="Arial"/>
          <w:sz w:val="28"/>
        </w:rPr>
        <w:t>[GB/T 18508-2014]</w:t>
      </w:r>
    </w:p>
    <w:p w14:paraId="3EB8188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hyperlink r:id="rId53" w:tgtFrame="_blank">
        <w:r>
          <w:rPr>
            <w:rStyle w:val="Internet"/>
            <w:rFonts w:ascii="Arial" w:eastAsia="仿宋_GB2312;仿宋" w:hAnsi="Arial" w:cs="Arial"/>
            <w:sz w:val="28"/>
          </w:rPr>
          <w:t>[GB/T 18507-2014]</w:t>
        </w:r>
      </w:hyperlink>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777777"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《房地产咨询规范》</w:t>
      </w:r>
      <w:r>
        <w:rPr>
          <w:rFonts w:ascii="Arial" w:eastAsia="仿宋_GB2312;仿宋" w:hAnsi="Arial" w:cs="Arial"/>
          <w:sz w:val="28"/>
        </w:rPr>
        <w:t>[GB/T 50291-2015]</w:t>
      </w:r>
    </w:p>
    <w:p w14:paraId="3447BEF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p>
    <w:p w14:paraId="3F762A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33476F5F" w14:textId="77777777" w:rsidR="00E70101" w:rsidRDefault="0060680B">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5688511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p>
    <w:p w14:paraId="469B1D45" w14:textId="77777777" w:rsidR="00E70101" w:rsidRDefault="0060680B">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79BE18A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37" w:name="__RefHeading___Toc530042245"/>
      <w:bookmarkEnd w:id="37"/>
      <w:r>
        <w:rPr>
          <w:rFonts w:ascii="Arial" w:eastAsia="仿宋_GB2312;仿宋" w:hAnsi="Arial" w:cs="Arial"/>
          <w:b/>
          <w:sz w:val="28"/>
        </w:rPr>
        <w:t>六、咨询期日</w:t>
      </w:r>
    </w:p>
    <w:p w14:paraId="111326BF" w14:textId="77777777" w:rsidR="00E70101" w:rsidRDefault="0060680B">
      <w:pPr>
        <w:spacing w:line="360" w:lineRule="auto"/>
        <w:ind w:firstLine="560"/>
        <w:jc w:val="both"/>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38" w:name="__RefHeading___Toc530042246"/>
      <w:r>
        <w:rPr>
          <w:rFonts w:ascii="Arial" w:eastAsia="仿宋_GB2312;仿宋" w:hAnsi="Arial" w:cs="Arial"/>
          <w:b/>
          <w:bCs/>
          <w:sz w:val="28"/>
        </w:rPr>
        <w:t>七、</w:t>
      </w:r>
      <w:bookmarkEnd w:id="38"/>
      <w:r>
        <w:rPr>
          <w:rFonts w:ascii="Arial" w:eastAsia="仿宋_GB2312;仿宋" w:hAnsi="Arial" w:cs="Arial"/>
          <w:b/>
          <w:bCs/>
          <w:sz w:val="28"/>
        </w:rPr>
        <w:t>咨询日期</w:t>
      </w:r>
    </w:p>
    <w:p w14:paraId="6C092C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日至</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39" w:name="__RefHeading___Toc530042247"/>
      <w:bookmarkEnd w:id="39"/>
      <w:r>
        <w:rPr>
          <w:rFonts w:eastAsia="仿宋_GB2312;仿宋"/>
          <w:b/>
          <w:bCs/>
        </w:rPr>
        <w:t>八、地价定义</w:t>
      </w:r>
    </w:p>
    <w:p w14:paraId="6BC41CA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D8C28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64F5F8DD" w14:textId="77777777" w:rsidR="00E70101" w:rsidRDefault="0060680B">
      <w:pPr>
        <w:spacing w:line="360" w:lineRule="auto"/>
        <w:ind w:firstLine="560"/>
        <w:jc w:val="both"/>
        <w:rPr>
          <w:rFonts w:eastAsia="仿宋_GB2312;仿宋"/>
        </w:rPr>
      </w:pPr>
      <w:r>
        <w:rPr>
          <w:rFonts w:ascii="Arial" w:eastAsia="仿宋_GB2312;仿宋" w:hAnsi="Arial" w:cs="Arial"/>
          <w:sz w:val="28"/>
        </w:rPr>
        <w:t>（一）土地使用权价格</w:t>
      </w:r>
      <w:r>
        <w:rPr>
          <w:rFonts w:ascii="Arial" w:eastAsia="Arial" w:hAnsi="Arial" w:cs="Arial"/>
          <w:sz w:val="28"/>
        </w:rPr>
        <w:t xml:space="preserve"> </w:t>
      </w:r>
    </w:p>
    <w:p w14:paraId="4B591824" w14:textId="77777777" w:rsidR="00E70101" w:rsidRDefault="0060680B">
      <w:pPr>
        <w:spacing w:line="360" w:lineRule="auto"/>
        <w:ind w:firstLine="560"/>
        <w:jc w:val="both"/>
      </w:pPr>
      <w:r>
        <w:rPr>
          <w:rFonts w:ascii="Arial" w:eastAsia="仿宋_GB2312;仿宋" w:hAnsi="Arial" w:cs="Arial"/>
          <w:sz w:val="28"/>
        </w:rPr>
        <w:t>咨询对象</w:t>
      </w:r>
      <w:proofErr w:type="gramStart"/>
      <w:r>
        <w:rPr>
          <w:rFonts w:ascii="Arial" w:eastAsia="仿宋_GB2312;仿宋" w:hAnsi="Arial" w:cs="Arial"/>
          <w:sz w:val="28"/>
        </w:rPr>
        <w:t>位于位于</w:t>
      </w:r>
      <w:proofErr w:type="gramEnd"/>
      <w:r>
        <w:rPr>
          <w:rFonts w:ascii="Arial" w:eastAsia="仿宋_GB2312;仿宋" w:hAnsi="Arial" w:cs="Arial"/>
          <w:sz w:val="28"/>
        </w:rPr>
        <w:t>北京市昌平区北七家镇八仙庄村仓储用地，根据咨询目的及估算依据，结合委托方提供的资料及专业人员现场勘查，在咨询期日的地价定义如下。</w:t>
      </w:r>
    </w:p>
    <w:p w14:paraId="33FFFF76" w14:textId="77777777" w:rsidR="00E70101" w:rsidRDefault="0060680B">
      <w:pPr>
        <w:numPr>
          <w:ilvl w:val="0"/>
          <w:numId w:val="4"/>
        </w:numPr>
        <w:spacing w:line="360" w:lineRule="auto"/>
        <w:jc w:val="both"/>
        <w:rPr>
          <w:rFonts w:ascii="Arial" w:hAnsi="Arial" w:cs="Arial"/>
          <w:sz w:val="28"/>
        </w:rPr>
      </w:pPr>
      <w:r>
        <w:rPr>
          <w:rFonts w:ascii="Arial" w:eastAsia="Arial" w:hAnsi="Arial" w:cs="Arial"/>
          <w:sz w:val="28"/>
        </w:rPr>
        <w:t xml:space="preserve"> </w:t>
      </w:r>
      <w:r>
        <w:rPr>
          <w:rFonts w:ascii="Arial" w:eastAsia="仿宋_GB2312;仿宋" w:hAnsi="Arial" w:cs="Arial"/>
          <w:sz w:val="28"/>
        </w:rPr>
        <w:t>咨询期日：</w:t>
      </w:r>
    </w:p>
    <w:p w14:paraId="7EF8184C" w14:textId="77777777" w:rsidR="00E70101" w:rsidRDefault="0060680B">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日对咨询对象进行实地查勘，本次评估设定咨询期日即为</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w:t>
      </w:r>
    </w:p>
    <w:p w14:paraId="0EC911E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2. </w:t>
      </w:r>
      <w:r>
        <w:rPr>
          <w:rFonts w:ascii="Arial" w:eastAsia="仿宋_GB2312;仿宋" w:hAnsi="Arial" w:cs="Arial"/>
          <w:sz w:val="28"/>
        </w:rPr>
        <w:t>土地用途设定：</w:t>
      </w:r>
    </w:p>
    <w:p w14:paraId="52C15D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根据委托方介绍，本次评估咨询对象用途为仓储用地，故本次评估设定用途为仓储用地。</w:t>
      </w:r>
    </w:p>
    <w:p w14:paraId="5F2839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3. </w:t>
      </w:r>
      <w:r>
        <w:rPr>
          <w:rFonts w:ascii="Arial" w:eastAsia="仿宋_GB2312;仿宋" w:hAnsi="Arial" w:cs="Arial"/>
          <w:sz w:val="28"/>
        </w:rPr>
        <w:t>土地使用权类型：</w:t>
      </w:r>
    </w:p>
    <w:p w14:paraId="253255C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根据委托方介绍，咨询对象土地使用权类型为划拨，故本次评估的是其划拨国有建设用地使用权价格。</w:t>
      </w:r>
    </w:p>
    <w:p w14:paraId="1711F70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4. </w:t>
      </w:r>
      <w:r>
        <w:rPr>
          <w:rFonts w:ascii="Arial" w:eastAsia="仿宋_GB2312;仿宋" w:hAnsi="Arial" w:cs="Arial"/>
          <w:sz w:val="28"/>
        </w:rPr>
        <w:t>土地开发程度设定：</w:t>
      </w:r>
    </w:p>
    <w:p w14:paraId="273DCC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08D2EE1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5. </w:t>
      </w:r>
      <w:r>
        <w:rPr>
          <w:rFonts w:ascii="Arial" w:eastAsia="仿宋_GB2312;仿宋" w:hAnsi="Arial" w:cs="Arial"/>
          <w:sz w:val="28"/>
        </w:rPr>
        <w:t>土地使用权年限设定：</w:t>
      </w:r>
    </w:p>
    <w:p w14:paraId="1F043BC7" w14:textId="77777777" w:rsidR="00E70101" w:rsidRDefault="0060680B">
      <w:pPr>
        <w:spacing w:line="360" w:lineRule="auto"/>
        <w:ind w:firstLine="560"/>
        <w:jc w:val="both"/>
        <w:rPr>
          <w:rFonts w:eastAsia="仿宋_GB2312;仿宋"/>
        </w:rPr>
      </w:pPr>
      <w:r>
        <w:rPr>
          <w:rFonts w:ascii="Arial" w:eastAsia="仿宋_GB2312;仿宋" w:hAnsi="Arial" w:cs="Arial"/>
          <w:sz w:val="28"/>
        </w:rPr>
        <w:t>本次咨询对象为划拨国有建设用地使用权，根据委托方提供的资料及其介绍，咨询对象使用权类型为划拨，故土地使用权年期为无年期限制。</w:t>
      </w:r>
      <w:r>
        <w:rPr>
          <w:rFonts w:ascii="Arial" w:eastAsia="Arial" w:hAnsi="Arial" w:cs="Arial"/>
          <w:sz w:val="28"/>
        </w:rPr>
        <w:t xml:space="preserve">     </w:t>
      </w:r>
    </w:p>
    <w:p w14:paraId="0075F1DA"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47CBE048" w14:textId="032CD534"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commentRangeStart w:id="40"/>
      <w:r>
        <w:rPr>
          <w:rFonts w:ascii="Arial" w:eastAsia="仿宋_GB2312;仿宋" w:hAnsi="Arial" w:cs="Arial"/>
          <w:sz w:val="28"/>
        </w:rPr>
        <w:t>容积率</w:t>
      </w:r>
      <w:commentRangeEnd w:id="40"/>
      <w:r>
        <w:commentReference w:id="40"/>
      </w:r>
      <w:r>
        <w:rPr>
          <w:rFonts w:ascii="Arial" w:eastAsia="仿宋_GB2312;仿宋" w:hAnsi="Arial" w:cs="Arial"/>
          <w:sz w:val="28"/>
        </w:rPr>
        <w:t>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73680AD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7973BF00" w14:textId="77777777" w:rsidR="00E70101" w:rsidRDefault="0060680B">
      <w:pPr>
        <w:spacing w:line="360" w:lineRule="auto"/>
        <w:ind w:firstLine="560"/>
        <w:jc w:val="both"/>
      </w:pPr>
      <w:r>
        <w:rPr>
          <w:rFonts w:ascii="Arial" w:eastAsia="仿宋_GB2312;仿宋" w:hAnsi="Arial" w:cs="Arial"/>
          <w:sz w:val="28"/>
        </w:rPr>
        <w:t>本次评估咨询目的：为委托方了解收购国有建设用地使用权可能形成的补偿价格提供参考依据。故本次估算咨询结果为特定条件下的土地使用权价格，即土地使用权收购补偿价格。</w:t>
      </w:r>
    </w:p>
    <w:p w14:paraId="68736380" w14:textId="7777777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日，设定土地用途为仓储、土地使用权类型为划拨、土地开发程度为宗地红线外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9935C2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日发布）进行评估。经委托方介绍，设定咨询对象宗地现状不存在建（构）筑物。</w:t>
      </w:r>
    </w:p>
    <w:p w14:paraId="3542765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51C1E5D4" w14:textId="77777777"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日发布）进行评估。经委托方介绍，设定咨询对象宗地现状不存在附属物。</w:t>
      </w:r>
    </w:p>
    <w:p w14:paraId="169ADF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4E6F3BD9"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1C57D08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6FE74C3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1764BCC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0EAA87BE"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41" w:name="__RefHeading___Toc530042248"/>
      <w:r>
        <w:rPr>
          <w:rFonts w:ascii="Arial" w:eastAsia="仿宋_GB2312;仿宋" w:hAnsi="Arial" w:cs="Arial"/>
          <w:b/>
          <w:sz w:val="28"/>
        </w:rPr>
        <w:t>九、咨询结果</w:t>
      </w:r>
      <w:bookmarkEnd w:id="41"/>
    </w:p>
    <w:p w14:paraId="5290A2F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w:t>
      </w:r>
      <w:proofErr w:type="gramStart"/>
      <w:r>
        <w:rPr>
          <w:rFonts w:ascii="Arial" w:eastAsia="仿宋_GB2312;仿宋" w:hAnsi="Arial" w:cs="Arial"/>
          <w:b/>
          <w:kern w:val="2"/>
          <w:sz w:val="28"/>
        </w:rPr>
        <w:t>壹拾伍亿陆仟陆佰伍拾肆万</w:t>
      </w:r>
      <w:proofErr w:type="gramEnd"/>
      <w:r>
        <w:rPr>
          <w:rFonts w:ascii="Arial" w:eastAsia="仿宋_GB2312;仿宋" w:hAnsi="Arial" w:cs="Arial"/>
          <w:b/>
          <w:kern w:val="2"/>
          <w:sz w:val="28"/>
        </w:rPr>
        <w:t>元整</w:t>
      </w:r>
      <w:r>
        <w:rPr>
          <w:rFonts w:ascii="Arial" w:eastAsia="仿宋_GB2312;仿宋" w:hAnsi="Arial" w:cs="Arial"/>
          <w:kern w:val="2"/>
          <w:sz w:val="28"/>
        </w:rPr>
        <w:t>。</w:t>
      </w:r>
      <w:r>
        <w:rPr>
          <w:rFonts w:ascii="Arial" w:eastAsia="仿宋_GB2312;仿宋" w:hAnsi="Arial" w:cs="Arial"/>
          <w:sz w:val="28"/>
        </w:rPr>
        <w:t>咨询结果明细如下：</w:t>
      </w:r>
    </w:p>
    <w:p w14:paraId="11C89CE6"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（转下页）</w:t>
      </w:r>
      <w:r>
        <w:br w:type="page"/>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9"/>
        <w:gridCol w:w="3069"/>
        <w:gridCol w:w="2106"/>
        <w:gridCol w:w="3224"/>
      </w:tblGrid>
      <w:tr w:rsidR="00E70101" w14:paraId="0940D1C3"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71F6376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0DB959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1AA26B8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404147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25E8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7528C27E" w14:textId="77777777">
        <w:trPr>
          <w:trHeight w:val="454"/>
          <w:jc w:val="center"/>
        </w:trPr>
        <w:tc>
          <w:tcPr>
            <w:tcW w:w="890" w:type="dxa"/>
            <w:tcBorders>
              <w:left w:val="single" w:sz="4" w:space="0" w:color="000000"/>
              <w:bottom w:val="single" w:sz="4" w:space="0" w:color="000000"/>
            </w:tcBorders>
            <w:shd w:val="clear" w:color="auto" w:fill="auto"/>
            <w:vAlign w:val="center"/>
          </w:tcPr>
          <w:p w14:paraId="16BBD738"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3F3C4DB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077E6589"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1709FC82"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47A8D7D2" w14:textId="77777777">
        <w:trPr>
          <w:trHeight w:val="454"/>
          <w:jc w:val="center"/>
        </w:trPr>
        <w:tc>
          <w:tcPr>
            <w:tcW w:w="890" w:type="dxa"/>
            <w:tcBorders>
              <w:left w:val="single" w:sz="4" w:space="0" w:color="000000"/>
              <w:bottom w:val="single" w:sz="4" w:space="0" w:color="000000"/>
            </w:tcBorders>
            <w:shd w:val="clear" w:color="auto" w:fill="auto"/>
            <w:vAlign w:val="center"/>
          </w:tcPr>
          <w:p w14:paraId="37BA4F9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018D0CFC"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1B37D5F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81779C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E07615B" w14:textId="77777777">
        <w:trPr>
          <w:trHeight w:val="454"/>
          <w:jc w:val="center"/>
        </w:trPr>
        <w:tc>
          <w:tcPr>
            <w:tcW w:w="890" w:type="dxa"/>
            <w:tcBorders>
              <w:left w:val="single" w:sz="4" w:space="0" w:color="000000"/>
              <w:bottom w:val="single" w:sz="4" w:space="0" w:color="000000"/>
            </w:tcBorders>
            <w:shd w:val="clear" w:color="auto" w:fill="auto"/>
            <w:vAlign w:val="center"/>
          </w:tcPr>
          <w:p w14:paraId="336C7EB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6446DE4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0DC9CD1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1CDC4E6"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77CAE982" w14:textId="77777777">
        <w:trPr>
          <w:trHeight w:val="454"/>
          <w:jc w:val="center"/>
        </w:trPr>
        <w:tc>
          <w:tcPr>
            <w:tcW w:w="890" w:type="dxa"/>
            <w:tcBorders>
              <w:left w:val="single" w:sz="4" w:space="0" w:color="000000"/>
              <w:bottom w:val="single" w:sz="4" w:space="0" w:color="000000"/>
            </w:tcBorders>
            <w:shd w:val="clear" w:color="auto" w:fill="auto"/>
            <w:vAlign w:val="center"/>
          </w:tcPr>
          <w:p w14:paraId="1C2EA39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4445E4C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48660D0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E0F30AC"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0DB6421" w14:textId="77777777">
        <w:trPr>
          <w:trHeight w:val="454"/>
          <w:jc w:val="center"/>
        </w:trPr>
        <w:tc>
          <w:tcPr>
            <w:tcW w:w="890" w:type="dxa"/>
            <w:tcBorders>
              <w:left w:val="single" w:sz="4" w:space="0" w:color="000000"/>
              <w:bottom w:val="single" w:sz="4" w:space="0" w:color="000000"/>
            </w:tcBorders>
            <w:shd w:val="clear" w:color="auto" w:fill="auto"/>
            <w:vAlign w:val="center"/>
          </w:tcPr>
          <w:p w14:paraId="3E6D14D1"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79C461A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7DE41C2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331A3E79"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325D6FEA" w14:textId="77777777">
        <w:trPr>
          <w:trHeight w:val="454"/>
          <w:jc w:val="center"/>
        </w:trPr>
        <w:tc>
          <w:tcPr>
            <w:tcW w:w="890" w:type="dxa"/>
            <w:tcBorders>
              <w:left w:val="single" w:sz="4" w:space="0" w:color="000000"/>
              <w:bottom w:val="single" w:sz="4" w:space="0" w:color="000000"/>
            </w:tcBorders>
            <w:shd w:val="clear" w:color="auto" w:fill="auto"/>
            <w:vAlign w:val="center"/>
          </w:tcPr>
          <w:p w14:paraId="4B9CF3FE"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5F494557"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18F6144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33753420"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64955CF2" w14:textId="77777777">
        <w:trPr>
          <w:trHeight w:val="454"/>
          <w:jc w:val="center"/>
        </w:trPr>
        <w:tc>
          <w:tcPr>
            <w:tcW w:w="890" w:type="dxa"/>
            <w:tcBorders>
              <w:left w:val="single" w:sz="4" w:space="0" w:color="000000"/>
              <w:bottom w:val="single" w:sz="4" w:space="0" w:color="000000"/>
            </w:tcBorders>
            <w:shd w:val="clear" w:color="auto" w:fill="auto"/>
            <w:vAlign w:val="center"/>
          </w:tcPr>
          <w:p w14:paraId="459B3801"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6EC04997"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61D40DC7"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1F21891A"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54"/>
          <w:footerReference w:type="default" r:id="rId55"/>
          <w:headerReference w:type="first" r:id="rId56"/>
          <w:footerReference w:type="first" r:id="rId57"/>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77777777" w:rsidR="00E70101" w:rsidRDefault="0060680B">
      <w:pPr>
        <w:spacing w:line="240" w:lineRule="auto"/>
        <w:outlineLvl w:val="1"/>
      </w:pPr>
      <w:bookmarkStart w:id="42" w:name="__RefHeading___Toc530042249"/>
      <w:bookmarkEnd w:id="42"/>
      <w:r>
        <w:rPr>
          <w:rFonts w:ascii="Arial" w:eastAsia="仿宋_GB2312;仿宋" w:hAnsi="Arial" w:cs="Arial"/>
          <w:bCs/>
          <w:sz w:val="28"/>
        </w:rPr>
        <w:t>附</w:t>
      </w:r>
      <w:r>
        <w:rPr>
          <w:rFonts w:ascii="Arial" w:eastAsia="Arial" w:hAnsi="Arial" w:cs="Arial"/>
          <w:b/>
          <w:sz w:val="28"/>
        </w:rPr>
        <w:t xml:space="preserve">                                           </w:t>
      </w:r>
      <w:r>
        <w:rPr>
          <w:rFonts w:ascii="Arial" w:eastAsia="仿宋_GB2312;仿宋" w:hAnsi="Arial" w:cs="Arial"/>
          <w:b/>
          <w:sz w:val="28"/>
        </w:rPr>
        <w:t>咨询结果一览表</w:t>
      </w:r>
    </w:p>
    <w:p w14:paraId="54650092" w14:textId="77777777" w:rsidR="00E70101" w:rsidRDefault="0060680B">
      <w:pPr>
        <w:spacing w:line="240" w:lineRule="auto"/>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Pr>
          <w:rFonts w:ascii="Arial" w:eastAsia="仿宋_GB2312;仿宋" w:hAnsi="Arial" w:cs="Arial"/>
          <w:bCs/>
          <w:sz w:val="18"/>
        </w:rPr>
        <w:t>2024-1-0271-F01SGCB6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Pr>
          <w:rFonts w:ascii="Arial" w:eastAsia="仿宋_GB2312;仿宋" w:hAnsi="Arial" w:cs="Arial"/>
          <w:bCs/>
          <w:sz w:val="18"/>
        </w:rPr>
        <w:t>2023</w:t>
      </w:r>
      <w:r>
        <w:rPr>
          <w:rFonts w:ascii="Arial" w:eastAsia="仿宋_GB2312;仿宋" w:hAnsi="Arial" w:cs="Arial"/>
          <w:bCs/>
          <w:sz w:val="18"/>
        </w:rPr>
        <w:t>年</w:t>
      </w:r>
      <w:r>
        <w:rPr>
          <w:rFonts w:ascii="Arial" w:eastAsia="仿宋_GB2312;仿宋" w:hAnsi="Arial" w:cs="Arial"/>
          <w:bCs/>
          <w:sz w:val="18"/>
        </w:rPr>
        <w:t>9</w:t>
      </w:r>
      <w:r>
        <w:rPr>
          <w:rFonts w:ascii="Arial" w:eastAsia="仿宋_GB2312;仿宋" w:hAnsi="Arial" w:cs="Arial"/>
          <w:bCs/>
          <w:sz w:val="18"/>
        </w:rPr>
        <w:t>月</w:t>
      </w:r>
      <w:r>
        <w:rPr>
          <w:rFonts w:ascii="Arial" w:eastAsia="仿宋_GB2312;仿宋" w:hAnsi="Arial" w:cs="Arial"/>
          <w:bCs/>
          <w:sz w:val="18"/>
        </w:rPr>
        <w:t>4</w:t>
      </w:r>
      <w:r>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t>的国有建设用地使用权性质：划拨</w:t>
      </w:r>
    </w:p>
    <w:tbl>
      <w:tblPr>
        <w:tblW w:w="14479" w:type="dxa"/>
        <w:tblLook w:val="0000" w:firstRow="0" w:lastRow="0" w:firstColumn="0" w:lastColumn="0" w:noHBand="0" w:noVBand="0"/>
      </w:tblPr>
      <w:tblGrid>
        <w:gridCol w:w="709"/>
        <w:gridCol w:w="567"/>
        <w:gridCol w:w="709"/>
        <w:gridCol w:w="567"/>
        <w:gridCol w:w="425"/>
        <w:gridCol w:w="425"/>
        <w:gridCol w:w="426"/>
        <w:gridCol w:w="425"/>
        <w:gridCol w:w="567"/>
        <w:gridCol w:w="425"/>
        <w:gridCol w:w="1843"/>
        <w:gridCol w:w="1843"/>
        <w:gridCol w:w="1275"/>
        <w:gridCol w:w="993"/>
        <w:gridCol w:w="1275"/>
        <w:gridCol w:w="2005"/>
      </w:tblGrid>
      <w:tr w:rsidR="00E70101" w14:paraId="77C2E0A3" w14:textId="77777777">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41D3D2B5" w14:textId="77777777" w:rsidR="00E70101" w:rsidRDefault="0060680B">
            <w:pPr>
              <w:spacing w:line="240" w:lineRule="auto"/>
              <w:jc w:val="center"/>
            </w:pPr>
            <w:r>
              <w:rPr>
                <w:rFonts w:ascii="Arial" w:eastAsia="仿宋_GB2312;仿宋" w:hAnsi="Arial" w:cs="Arial"/>
                <w:sz w:val="18"/>
                <w:szCs w:val="18"/>
              </w:rPr>
              <w:t>咨询期日的土地使用者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76473248"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2460EDC4"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358E4A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2ECECE9A"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4ED8B972"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6B4F198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549395C7"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3CE5DA9F"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5900CBBE"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0E952AE4"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0B9B31C4" w14:textId="77777777" w:rsidR="00E70101" w:rsidRDefault="0060680B">
            <w:pPr>
              <w:spacing w:line="240" w:lineRule="auto"/>
              <w:jc w:val="center"/>
            </w:pPr>
            <w:r>
              <w:rPr>
                <w:rFonts w:ascii="Arial" w:eastAsia="仿宋_GB2312;仿宋" w:hAnsi="Arial" w:cs="Arial"/>
                <w:sz w:val="18"/>
                <w:szCs w:val="18"/>
              </w:rPr>
              <w:t>咨询价格（万元）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5BD0E3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E70101" w14:paraId="3697C26E" w14:textId="77777777">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0A30CC5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0D1D156F"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2FCBEA4A"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3CE7DDBE"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tcBorders>
              <w:top w:val="single" w:sz="6" w:space="0" w:color="000000"/>
              <w:left w:val="single" w:sz="6" w:space="0" w:color="000000"/>
              <w:bottom w:val="single" w:sz="6" w:space="0" w:color="000000"/>
            </w:tcBorders>
            <w:shd w:val="clear" w:color="auto" w:fill="auto"/>
            <w:vAlign w:val="center"/>
          </w:tcPr>
          <w:p w14:paraId="26329918" w14:textId="77777777" w:rsidR="00E70101" w:rsidRDefault="0060680B">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425" w:type="dxa"/>
            <w:tcBorders>
              <w:top w:val="single" w:sz="6" w:space="0" w:color="000000"/>
              <w:left w:val="single" w:sz="6" w:space="0" w:color="000000"/>
              <w:bottom w:val="single" w:sz="6" w:space="0" w:color="000000"/>
            </w:tcBorders>
            <w:shd w:val="clear" w:color="auto" w:fill="auto"/>
            <w:vAlign w:val="center"/>
          </w:tcPr>
          <w:p w14:paraId="7E27E3B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5B58C87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780E576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593C587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7B1AE13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513ECADA" w14:textId="77777777" w:rsidR="00E70101" w:rsidRDefault="00E70101">
            <w:pPr>
              <w:widowControl/>
              <w:snapToGrid w:val="0"/>
              <w:spacing w:line="240" w:lineRule="auto"/>
              <w:jc w:val="center"/>
              <w:rPr>
                <w:rFonts w:ascii="Arial" w:eastAsia="仿宋_GB2312;仿宋" w:hAnsi="Arial" w:cs="Arial"/>
                <w:sz w:val="18"/>
                <w:szCs w:val="18"/>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70F8FF4F"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B676C0B"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69A89CAA"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048F0838" w14:textId="77777777" w:rsidR="00E70101" w:rsidRDefault="00E70101">
            <w:pPr>
              <w:widowControl/>
              <w:snapToGrid w:val="0"/>
              <w:spacing w:line="240" w:lineRule="auto"/>
              <w:jc w:val="center"/>
              <w:rPr>
                <w:rFonts w:ascii="Arial" w:eastAsia="仿宋_GB2312;仿宋" w:hAnsi="Arial" w:cs="Arial"/>
                <w:sz w:val="18"/>
                <w:szCs w:val="18"/>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7E3AF361" w14:textId="77777777" w:rsidR="00E70101" w:rsidRDefault="00E70101">
            <w:pPr>
              <w:widowControl/>
              <w:snapToGrid w:val="0"/>
              <w:spacing w:line="240" w:lineRule="auto"/>
              <w:jc w:val="center"/>
              <w:rPr>
                <w:rFonts w:ascii="Arial" w:eastAsia="仿宋_GB2312;仿宋" w:hAnsi="Arial" w:cs="Arial"/>
                <w:sz w:val="18"/>
                <w:szCs w:val="18"/>
              </w:rPr>
            </w:pPr>
          </w:p>
        </w:tc>
      </w:tr>
      <w:tr w:rsidR="00E70101" w14:paraId="2E7B3854" w14:textId="77777777">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770AC8E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北京对外经贸控股有限责任公司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73CA490A" w14:textId="77777777" w:rsidR="00E70101" w:rsidRDefault="0060680B">
            <w:pPr>
              <w:widowControl/>
              <w:spacing w:line="240" w:lineRule="auto"/>
              <w:rPr>
                <w:rFonts w:ascii="Arial" w:eastAsia="仿宋_GB2312;仿宋" w:hAnsi="Arial" w:cs="Arial"/>
                <w:sz w:val="18"/>
                <w:szCs w:val="18"/>
              </w:rPr>
            </w:pPr>
            <w:r>
              <w:rPr>
                <w:rFonts w:ascii="Arial" w:eastAsia="仿宋_GB2312;仿宋" w:hAnsi="Arial" w:cs="Arial"/>
                <w:sz w:val="18"/>
                <w:szCs w:val="18"/>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3261000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北京市昌平区北七家镇八仙庄村仓储用地</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4E4B5FC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3CA5BDC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3D6DE0B2"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3B51D3F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4D3EB47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shd w:val="clear" w:color="auto" w:fill="auto"/>
            <w:vAlign w:val="center"/>
          </w:tcPr>
          <w:p w14:paraId="799E9A2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425" w:type="dxa"/>
            <w:tcBorders>
              <w:top w:val="single" w:sz="6" w:space="0" w:color="000000"/>
              <w:left w:val="single" w:sz="6" w:space="0" w:color="000000"/>
              <w:bottom w:val="single" w:sz="6" w:space="0" w:color="000000"/>
            </w:tcBorders>
            <w:shd w:val="clear" w:color="auto" w:fill="auto"/>
            <w:vAlign w:val="center"/>
          </w:tcPr>
          <w:p w14:paraId="548D220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843" w:type="dxa"/>
            <w:tcBorders>
              <w:top w:val="single" w:sz="6" w:space="0" w:color="000000"/>
              <w:left w:val="single" w:sz="6" w:space="0" w:color="000000"/>
              <w:bottom w:val="single" w:sz="6" w:space="0" w:color="000000"/>
            </w:tcBorders>
            <w:shd w:val="clear" w:color="auto" w:fill="auto"/>
            <w:vAlign w:val="center"/>
          </w:tcPr>
          <w:p w14:paraId="455F98F2" w14:textId="77777777" w:rsidR="00E70101" w:rsidRDefault="0060680B">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F7B6868" w14:textId="77777777" w:rsidR="00E70101" w:rsidRDefault="0060680B">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C615E9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370379.14</w:t>
            </w:r>
          </w:p>
        </w:tc>
        <w:tc>
          <w:tcPr>
            <w:tcW w:w="993" w:type="dxa"/>
            <w:tcBorders>
              <w:top w:val="single" w:sz="6" w:space="0" w:color="000000"/>
              <w:left w:val="single" w:sz="6" w:space="0" w:color="000000"/>
              <w:bottom w:val="single" w:sz="6" w:space="0" w:color="000000"/>
            </w:tcBorders>
            <w:shd w:val="clear" w:color="auto" w:fill="auto"/>
            <w:vAlign w:val="center"/>
          </w:tcPr>
          <w:p w14:paraId="7E765D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4230</w:t>
            </w:r>
          </w:p>
        </w:tc>
        <w:tc>
          <w:tcPr>
            <w:tcW w:w="1275" w:type="dxa"/>
            <w:tcBorders>
              <w:top w:val="single" w:sz="6" w:space="0" w:color="000000"/>
              <w:left w:val="single" w:sz="6" w:space="0" w:color="000000"/>
              <w:bottom w:val="single" w:sz="6" w:space="0" w:color="000000"/>
            </w:tcBorders>
            <w:shd w:val="clear" w:color="auto" w:fill="auto"/>
            <w:vAlign w:val="center"/>
          </w:tcPr>
          <w:p w14:paraId="1DE492B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64DDDD2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E70101" w14:paraId="5A4F5528"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82CC9B4"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942DA66"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4C17D5C"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DF2E11A"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9B28281"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0456375"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1055C1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5ABB1DC"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46D2F8E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26A451D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08E3C83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583F70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2A8078E"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1336A7C8"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2CF6B4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5A53C23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E70101" w14:paraId="707231BA"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3082C5CF"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3EB6DB8"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9DCE551"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A56141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34E8582"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664B86C"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7103EC2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E87D46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7BED83C2"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1E496B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9770A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06E455E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0C00C7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62AB9FC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D1E627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41B5A47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E70101" w14:paraId="3E9A3674"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7EAB2FD"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1E18F05"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35387701"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23A2014"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AED7A62"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37CB049"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1839A38"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0C00493"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517C580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2A4963E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C8ACAB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38EDB7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2A86450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7C135E2E"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E110AD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3ED9A4F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E70101" w14:paraId="57760A5A"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3D27C5C0"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9DA26C6"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10E537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DA4FEC2"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DCE1BF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7149123"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7B10D42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FA8310A"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026E282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5705FEC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C0C307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AAC7F6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6A160E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580F2B6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900CBB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E93CEE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E70101" w14:paraId="11A24990"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677F7A2"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363F2FF"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4C6DDEC0"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E075BD8"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B5B3D1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64484F6"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2DAD9BEC"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8437C4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5004B8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032125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BF6A88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0AD7A0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A30013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7EAA7EA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DCAB6C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14D38502"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E70101" w14:paraId="27651CE0" w14:textId="77777777">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19ECD6C2"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2DF781DB"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shd w:val="clear" w:color="auto" w:fill="auto"/>
            <w:vAlign w:val="center"/>
          </w:tcPr>
          <w:p w14:paraId="0B3D7CF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shd w:val="clear" w:color="auto" w:fill="auto"/>
            <w:vAlign w:val="center"/>
          </w:tcPr>
          <w:p w14:paraId="50EEB68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70DCA9B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5C66A69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6910FC9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shd w:val="clear" w:color="auto" w:fill="auto"/>
            <w:vAlign w:val="center"/>
          </w:tcPr>
          <w:p w14:paraId="4BB7069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4785CC7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7301CEB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58"/>
          <w:footerReference w:type="default" r:id="rId59"/>
          <w:headerReference w:type="first" r:id="rId60"/>
          <w:footerReference w:type="first" r:id="rId61"/>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pPr>
        <w:spacing w:line="360" w:lineRule="auto"/>
        <w:outlineLvl w:val="1"/>
      </w:pPr>
      <w:bookmarkStart w:id="43" w:name="__RefHeading___Toc530042250"/>
      <w:bookmarkEnd w:id="43"/>
      <w:r>
        <w:rPr>
          <w:rFonts w:ascii="Arial" w:eastAsia="仿宋_GB2312;仿宋" w:hAnsi="Arial" w:cs="Arial"/>
          <w:b/>
          <w:sz w:val="28"/>
        </w:rPr>
        <w:t>十、需要特殊说明的事项</w:t>
      </w:r>
    </w:p>
    <w:p w14:paraId="0BCEF985"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62008B85" w14:textId="77777777" w:rsidR="00693E9D" w:rsidRDefault="0060680B" w:rsidP="00693E9D">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693E9D">
      <w:pPr>
        <w:snapToGrid w:val="0"/>
        <w:spacing w:line="360" w:lineRule="auto"/>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根据委托方介绍，本次评估咨询对象用途为仓储用地，故本次评估设定用途为仓储用地。</w:t>
      </w:r>
    </w:p>
    <w:p w14:paraId="714CC3B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根据委托方介绍及评估专业人员调查，本次评估咨询对象实际土地开发程度为宗地红线外</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pPr>
        <w:spacing w:line="360" w:lineRule="auto"/>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3CEFDA10" w14:textId="77777777"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7777777" w:rsidR="00E70101" w:rsidRDefault="0060680B">
      <w:pPr>
        <w:snapToGrid w:val="0"/>
        <w:spacing w:line="360" w:lineRule="auto"/>
        <w:ind w:firstLine="585"/>
        <w:jc w:val="both"/>
        <w:textAlignment w:val="auto"/>
      </w:pPr>
      <w:r>
        <w:rPr>
          <w:rFonts w:ascii="Arial" w:eastAsia="仿宋_GB2312;仿宋" w:hAnsi="Arial" w:cs="Arial"/>
          <w:sz w:val="28"/>
        </w:rPr>
        <w:t>4.</w:t>
      </w:r>
      <w:r>
        <w:rPr>
          <w:rFonts w:ascii="Arial" w:eastAsia="仿宋_GB2312;仿宋" w:hAnsi="Arial" w:cs="Arial"/>
          <w:sz w:val="28"/>
        </w:rPr>
        <w:t>本次评估咨询报告分为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pPr>
        <w:snapToGrid w:val="0"/>
        <w:spacing w:line="360" w:lineRule="auto"/>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3341F91C" w14:textId="77777777" w:rsidR="00E70101" w:rsidRDefault="0060680B">
      <w:pPr>
        <w:snapToGrid w:val="0"/>
        <w:spacing w:line="360" w:lineRule="auto"/>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日起至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日止</w:t>
      </w:r>
      <w:r>
        <w:rPr>
          <w:rFonts w:ascii="Arial" w:eastAsia="仿宋_GB2312;仿宋" w:hAnsi="Arial" w:cs="Arial"/>
          <w:kern w:val="2"/>
          <w:sz w:val="28"/>
        </w:rPr>
        <w:t>。</w:t>
      </w:r>
    </w:p>
    <w:p w14:paraId="335A59BF" w14:textId="67082109" w:rsidR="00E70101" w:rsidRDefault="0060680B">
      <w:pPr>
        <w:snapToGrid w:val="0"/>
        <w:spacing w:line="360" w:lineRule="auto"/>
        <w:ind w:firstLine="570"/>
        <w:jc w:val="both"/>
      </w:pPr>
      <w:r>
        <w:rPr>
          <w:rFonts w:ascii="Arial" w:eastAsia="楷体_GB2312;楷体" w:hAnsi="Arial" w:cs="Arial"/>
          <w:kern w:val="2"/>
          <w:sz w:val="28"/>
        </w:rPr>
        <w:t>11</w:t>
      </w:r>
      <w:r>
        <w:rPr>
          <w:rFonts w:ascii="Arial" w:eastAsia="仿宋_GB2312;仿宋" w:hAnsi="Arial" w:cs="Arial"/>
          <w:sz w:val="28"/>
        </w:rPr>
        <w:t>.</w:t>
      </w:r>
      <w:commentRangeStart w:id="44"/>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w:t>
      </w:r>
      <w:commentRangeEnd w:id="44"/>
      <w:r>
        <w:commentReference w:id="44"/>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2C31B474"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C7F16C6"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777777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本机构参与本次评估的评估专业人员与委托方无足以影响评估报告及咨询结果公正性的关系。</w:t>
      </w:r>
    </w:p>
    <w:p w14:paraId="05CEFD38"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27F757CA" w14:textId="77777777" w:rsidR="00E70101" w:rsidRDefault="00E70101">
      <w:pPr>
        <w:spacing w:line="360" w:lineRule="auto"/>
        <w:outlineLvl w:val="1"/>
        <w:rPr>
          <w:rFonts w:ascii="Arial" w:eastAsia="仿宋_GB2312;仿宋" w:hAnsi="Arial" w:cs="Arial"/>
          <w:b/>
          <w:sz w:val="28"/>
        </w:rPr>
      </w:pPr>
    </w:p>
    <w:p w14:paraId="56EFB4C0" w14:textId="77777777" w:rsidR="00E70101" w:rsidRDefault="00E70101">
      <w:pPr>
        <w:spacing w:line="360" w:lineRule="auto"/>
        <w:rPr>
          <w:rFonts w:ascii="Arial" w:eastAsia="仿宋_GB2312;仿宋" w:hAnsi="Arial" w:cs="Arial"/>
          <w:b/>
          <w:sz w:val="28"/>
        </w:rPr>
      </w:pPr>
    </w:p>
    <w:p w14:paraId="44F617D2" w14:textId="77777777" w:rsidR="00E70101" w:rsidRDefault="0060680B">
      <w:pPr>
        <w:spacing w:line="360" w:lineRule="auto"/>
        <w:outlineLvl w:val="1"/>
        <w:rPr>
          <w:rFonts w:ascii="Arial" w:eastAsia="仿宋_GB2312;仿宋" w:hAnsi="Arial" w:cs="Arial"/>
          <w:b/>
          <w:sz w:val="28"/>
        </w:rPr>
      </w:pPr>
      <w:bookmarkStart w:id="45" w:name="__RefHeading___Toc530042252"/>
      <w:r>
        <w:rPr>
          <w:rFonts w:ascii="Arial" w:eastAsia="仿宋_GB2312;仿宋" w:hAnsi="Arial" w:cs="Arial"/>
          <w:b/>
          <w:sz w:val="28"/>
        </w:rPr>
        <w:t>十一、</w:t>
      </w:r>
      <w:bookmarkEnd w:id="45"/>
      <w:r>
        <w:rPr>
          <w:rFonts w:ascii="Arial" w:eastAsia="仿宋_GB2312;仿宋" w:hAnsi="Arial" w:cs="Arial"/>
          <w:b/>
          <w:sz w:val="28"/>
        </w:rPr>
        <w:t>土地咨询机构</w:t>
      </w:r>
    </w:p>
    <w:p w14:paraId="2FFCA69C" w14:textId="77777777" w:rsidR="00E70101" w:rsidRDefault="00E70101">
      <w:pPr>
        <w:spacing w:line="360" w:lineRule="auto"/>
        <w:rPr>
          <w:rFonts w:ascii="Arial" w:eastAsia="仿宋_GB2312;仿宋" w:hAnsi="Arial" w:cs="Arial"/>
          <w:b/>
          <w:sz w:val="28"/>
        </w:rPr>
      </w:pP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shd w:val="clear" w:color="auto" w:fill="auto"/>
          </w:tcPr>
          <w:p w14:paraId="0A9087EA" w14:textId="77777777" w:rsidR="00E70101" w:rsidRDefault="0060680B">
            <w:pPr>
              <w:spacing w:line="360" w:lineRule="auto"/>
            </w:pPr>
            <w:r>
              <w:rPr>
                <w:rFonts w:ascii="Arial" w:eastAsia="Arial" w:hAnsi="Arial" w:cs="Arial"/>
                <w:sz w:val="28"/>
              </w:rPr>
              <w:t xml:space="preserve">                              </w:t>
            </w: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033CBC8A" w14:textId="77777777">
        <w:trPr>
          <w:trHeight w:val="1431"/>
          <w:jc w:val="right"/>
        </w:trPr>
        <w:tc>
          <w:tcPr>
            <w:tcW w:w="4445" w:type="dxa"/>
            <w:shd w:val="clear" w:color="auto" w:fill="auto"/>
          </w:tcPr>
          <w:p w14:paraId="4CA2239B" w14:textId="77777777" w:rsidR="00E70101" w:rsidRDefault="0060680B">
            <w:pPr>
              <w:spacing w:line="480" w:lineRule="auto"/>
              <w:rPr>
                <w:rFonts w:ascii="Arial" w:eastAsia="仿宋_GB2312;仿宋" w:hAnsi="Arial" w:cs="Arial"/>
                <w:sz w:val="28"/>
                <w:szCs w:val="21"/>
              </w:rPr>
            </w:pPr>
            <w:r>
              <w:rPr>
                <w:rFonts w:ascii="Arial" w:eastAsia="仿宋_GB2312;仿宋" w:hAnsi="Arial" w:cs="Arial"/>
                <w:sz w:val="28"/>
                <w:szCs w:val="21"/>
              </w:rPr>
              <w:t>法定代表人：</w:t>
            </w:r>
          </w:p>
        </w:tc>
      </w:tr>
      <w:tr w:rsidR="00E70101" w14:paraId="12427309" w14:textId="77777777">
        <w:trPr>
          <w:cantSplit/>
          <w:jc w:val="right"/>
        </w:trPr>
        <w:tc>
          <w:tcPr>
            <w:tcW w:w="4445" w:type="dxa"/>
            <w:shd w:val="clear" w:color="auto" w:fill="auto"/>
          </w:tcPr>
          <w:p w14:paraId="4C19BBB2" w14:textId="77777777" w:rsidR="00E70101" w:rsidRDefault="0060680B">
            <w:pPr>
              <w:spacing w:line="240" w:lineRule="auto"/>
              <w:jc w:val="right"/>
              <w:rPr>
                <w:rFonts w:ascii="Arial" w:eastAsia="仿宋_GB2312;仿宋" w:hAnsi="Arial" w:cs="Arial"/>
                <w:sz w:val="28"/>
                <w:szCs w:val="21"/>
              </w:rPr>
            </w:pPr>
            <w:r>
              <w:rPr>
                <w:rFonts w:ascii="Arial" w:eastAsia="仿宋_GB2312;仿宋" w:hAnsi="Arial" w:cs="Arial"/>
                <w:sz w:val="28"/>
                <w:szCs w:val="21"/>
              </w:rPr>
              <w:t>二〇二四年四月二日</w:t>
            </w:r>
          </w:p>
        </w:tc>
      </w:tr>
    </w:tbl>
    <w:p w14:paraId="1A43E2CF" w14:textId="77777777" w:rsidR="00E70101" w:rsidRDefault="00E70101">
      <w:pPr>
        <w:spacing w:line="360" w:lineRule="auto"/>
        <w:rPr>
          <w:rFonts w:ascii="Arial" w:eastAsia="仿宋_GB2312;仿宋" w:hAnsi="Arial" w:cs="Arial"/>
          <w:sz w:val="28"/>
        </w:rPr>
      </w:pPr>
    </w:p>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46" w:name="__RefHeading___Toc530042253"/>
      <w:bookmarkEnd w:id="46"/>
      <w:r>
        <w:rPr>
          <w:rFonts w:ascii="Arial" w:hAnsi="Arial" w:cs="Arial"/>
          <w:b/>
          <w:sz w:val="32"/>
        </w:rPr>
        <w:t>第二部分</w:t>
      </w:r>
      <w:r>
        <w:rPr>
          <w:rFonts w:ascii="Arial" w:eastAsia="Arial" w:hAnsi="Arial" w:cs="Arial"/>
          <w:b/>
          <w:sz w:val="32"/>
        </w:rPr>
        <w:t xml:space="preserve">  </w:t>
      </w:r>
      <w:r>
        <w:rPr>
          <w:rFonts w:ascii="Arial" w:hAnsi="Arial" w:cs="Arial"/>
          <w:b/>
          <w:sz w:val="32"/>
        </w:rPr>
        <w:t>咨询对象描述及土地价格影响因素分析</w:t>
      </w:r>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47" w:name="__RefHeading___Toc530042254"/>
      <w:bookmarkEnd w:id="47"/>
      <w:r>
        <w:rPr>
          <w:rFonts w:ascii="Arial" w:eastAsia="仿宋_GB2312;仿宋" w:hAnsi="Arial" w:cs="Arial"/>
          <w:b/>
          <w:sz w:val="28"/>
        </w:rPr>
        <w:t>一、咨询对象描述</w:t>
      </w:r>
    </w:p>
    <w:p w14:paraId="40C3C906"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（一）土地登记状况</w:t>
      </w:r>
    </w:p>
    <w:p w14:paraId="3203C4F2" w14:textId="77777777" w:rsidR="00E70101" w:rsidRDefault="0060680B">
      <w:pPr>
        <w:spacing w:line="360" w:lineRule="auto"/>
        <w:ind w:firstLine="560"/>
        <w:jc w:val="both"/>
      </w:pPr>
      <w:r>
        <w:rPr>
          <w:rFonts w:ascii="Arial" w:eastAsia="仿宋_GB2312;仿宋" w:hAnsi="Arial" w:cs="Arial"/>
          <w:bCs/>
          <w:sz w:val="28"/>
        </w:rPr>
        <w:t>根据委托方介绍，咨询对象土地使用权类型为划拨，北京对外经贸控股有限责任公司拥有咨询对象划拨国有建设用地使用权，咨询对象土地面积为</w:t>
      </w:r>
      <w:r>
        <w:rPr>
          <w:rFonts w:ascii="Arial" w:eastAsia="仿宋_GB2312;仿宋" w:hAnsi="Arial" w:cs="Arial"/>
          <w:bCs/>
          <w:sz w:val="28"/>
        </w:rPr>
        <w:t>370379.14</w:t>
      </w:r>
      <w:r>
        <w:rPr>
          <w:rFonts w:ascii="Arial" w:eastAsia="仿宋_GB2312;仿宋" w:hAnsi="Arial" w:cs="Arial"/>
          <w:bCs/>
          <w:sz w:val="28"/>
        </w:rPr>
        <w:t>平方米。</w:t>
      </w:r>
    </w:p>
    <w:p w14:paraId="55A7429E" w14:textId="77777777"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土地使用权人：北京对外经贸控股有限责任公司</w:t>
      </w:r>
      <w:r>
        <w:rPr>
          <w:rFonts w:ascii="Arial" w:eastAsia="Arial" w:hAnsi="Arial" w:cs="Arial"/>
          <w:sz w:val="28"/>
        </w:rPr>
        <w:t xml:space="preserve"> </w:t>
      </w:r>
    </w:p>
    <w:p w14:paraId="0CB384E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bCs/>
          <w:sz w:val="28"/>
        </w:rPr>
        <w:t>坐落：北京市昌平区北七家镇八仙庄村仓储用地</w:t>
      </w:r>
    </w:p>
    <w:p w14:paraId="5DFEAC7E" w14:textId="77777777" w:rsidR="00E70101" w:rsidRDefault="0060680B">
      <w:pPr>
        <w:tabs>
          <w:tab w:val="left" w:pos="2112"/>
        </w:tabs>
        <w:spacing w:line="360" w:lineRule="auto"/>
        <w:ind w:firstLine="560"/>
        <w:jc w:val="both"/>
        <w:rPr>
          <w:rFonts w:ascii="Arial" w:eastAsia="仿宋_GB2312;仿宋" w:hAnsi="Arial" w:cs="Arial"/>
          <w:sz w:val="28"/>
        </w:rPr>
      </w:pPr>
      <w:r>
        <w:rPr>
          <w:rFonts w:ascii="Arial" w:eastAsia="仿宋_GB2312;仿宋" w:hAnsi="Arial" w:cs="Arial"/>
          <w:sz w:val="28"/>
        </w:rPr>
        <w:t>地号：</w:t>
      </w:r>
      <w:r>
        <w:rPr>
          <w:rFonts w:ascii="Arial" w:eastAsia="仿宋_GB2312;仿宋" w:hAnsi="Arial" w:cs="Arial"/>
          <w:sz w:val="28"/>
        </w:rPr>
        <w:t>-</w:t>
      </w:r>
      <w:r>
        <w:rPr>
          <w:rFonts w:ascii="Arial" w:eastAsia="仿宋_GB2312;仿宋" w:hAnsi="Arial" w:cs="Arial"/>
          <w:sz w:val="28"/>
        </w:rPr>
        <w:tab/>
      </w:r>
    </w:p>
    <w:p w14:paraId="0E2C536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图号：</w:t>
      </w:r>
      <w:r>
        <w:rPr>
          <w:rFonts w:ascii="Arial" w:eastAsia="仿宋_GB2312;仿宋" w:hAnsi="Arial" w:cs="Arial"/>
          <w:sz w:val="28"/>
        </w:rPr>
        <w:t>-</w:t>
      </w:r>
    </w:p>
    <w:p w14:paraId="5588C3B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地类（用途）：仓储</w:t>
      </w:r>
    </w:p>
    <w:p w14:paraId="7AC99593" w14:textId="77777777" w:rsidR="00E70101" w:rsidRDefault="0060680B">
      <w:pPr>
        <w:spacing w:line="360" w:lineRule="auto"/>
        <w:ind w:firstLine="560"/>
        <w:jc w:val="both"/>
        <w:rPr>
          <w:rFonts w:eastAsia="仿宋_GB2312;仿宋"/>
        </w:rPr>
      </w:pPr>
      <w:r>
        <w:rPr>
          <w:rFonts w:ascii="Arial" w:eastAsia="仿宋_GB2312;仿宋" w:hAnsi="Arial" w:cs="Arial"/>
          <w:sz w:val="28"/>
        </w:rPr>
        <w:t>土地面积：</w:t>
      </w:r>
      <w:r>
        <w:rPr>
          <w:rFonts w:ascii="Arial" w:eastAsia="仿宋_GB2312;仿宋" w:hAnsi="Arial" w:cs="Arial"/>
          <w:sz w:val="28"/>
        </w:rPr>
        <w:t>370379.14</w:t>
      </w:r>
      <w:r>
        <w:rPr>
          <w:rFonts w:ascii="Arial" w:eastAsia="仿宋_GB2312;仿宋" w:hAnsi="Arial" w:cs="Arial"/>
          <w:sz w:val="28"/>
        </w:rPr>
        <w:t>平方米</w:t>
      </w:r>
      <w:r>
        <w:rPr>
          <w:rFonts w:ascii="Arial" w:eastAsia="Arial" w:hAnsi="Arial" w:cs="Arial"/>
          <w:sz w:val="28"/>
        </w:rPr>
        <w:t xml:space="preserve"> </w:t>
      </w:r>
    </w:p>
    <w:p w14:paraId="227C34E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咨询对象现状四至：东至现状空地，南至现状楼房，西至现状空地，北至北京祥龙大学。</w:t>
      </w:r>
    </w:p>
    <w:p w14:paraId="1205FED9" w14:textId="77777777" w:rsidR="00E70101" w:rsidRDefault="0060680B">
      <w:pPr>
        <w:spacing w:line="360" w:lineRule="auto"/>
        <w:ind w:firstLine="560"/>
        <w:jc w:val="both"/>
      </w:pPr>
      <w:r>
        <w:rPr>
          <w:rFonts w:ascii="Arial" w:eastAsia="仿宋_GB2312;仿宋" w:hAnsi="Arial" w:cs="Arial"/>
          <w:sz w:val="28"/>
        </w:rPr>
        <w:t>土地级别：根据《北京市人民政府关于更新出让国有建设用地使用权基准地价的通知》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0B0E938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（二）土地权利状况</w:t>
      </w:r>
    </w:p>
    <w:p w14:paraId="493DE9C6" w14:textId="77777777" w:rsidR="00E70101" w:rsidRDefault="0060680B">
      <w:pPr>
        <w:spacing w:line="360" w:lineRule="auto"/>
        <w:ind w:firstLine="560"/>
        <w:jc w:val="both"/>
      </w:pPr>
      <w:r>
        <w:rPr>
          <w:rFonts w:ascii="Arial" w:eastAsia="仿宋_GB2312;仿宋" w:hAnsi="Arial" w:cs="Arial"/>
          <w:sz w:val="28"/>
        </w:rPr>
        <w:t>经委托方介绍，咨询对象为国有土地，土地所有权为国家所有，土地使用权人为北京对外经贸控股有限责任公司。截至咨询期日，咨询对象未设定抵押、租赁等他项权利。</w:t>
      </w:r>
    </w:p>
    <w:p w14:paraId="673E1AF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（三）土地利用状况</w:t>
      </w:r>
    </w:p>
    <w:p w14:paraId="549D148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土地规划设计条件</w:t>
      </w:r>
    </w:p>
    <w:p w14:paraId="29294B9F" w14:textId="52427CB4"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commentRangeStart w:id="48"/>
      <w:r>
        <w:rPr>
          <w:rFonts w:ascii="Arial" w:eastAsia="仿宋_GB2312;仿宋" w:hAnsi="Arial" w:cs="Arial"/>
          <w:sz w:val="28"/>
        </w:rPr>
        <w:t>容积</w:t>
      </w:r>
      <w:commentRangeEnd w:id="48"/>
      <w:r>
        <w:commentReference w:id="48"/>
      </w:r>
      <w:r>
        <w:rPr>
          <w:rFonts w:ascii="Arial" w:eastAsia="仿宋_GB2312;仿宋" w:hAnsi="Arial" w:cs="Arial"/>
          <w:sz w:val="28"/>
        </w:rPr>
        <w:t>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3046DEAA"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2.</w:t>
      </w:r>
      <w:r>
        <w:rPr>
          <w:rFonts w:ascii="Arial" w:eastAsia="仿宋_GB2312;仿宋" w:hAnsi="Arial" w:cs="Arial"/>
          <w:spacing w:val="-12"/>
          <w:sz w:val="28"/>
        </w:rPr>
        <w:t>土地利用现状</w:t>
      </w:r>
    </w:p>
    <w:p w14:paraId="29D8F9AC"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w:t>
      </w:r>
      <w:r>
        <w:rPr>
          <w:rFonts w:ascii="Arial" w:eastAsia="仿宋_GB2312;仿宋" w:hAnsi="Arial" w:cs="Arial"/>
          <w:spacing w:val="-12"/>
          <w:sz w:val="28"/>
        </w:rPr>
        <w:t>1</w:t>
      </w:r>
      <w:r>
        <w:rPr>
          <w:rFonts w:ascii="Arial" w:eastAsia="仿宋_GB2312;仿宋" w:hAnsi="Arial" w:cs="Arial"/>
          <w:spacing w:val="-12"/>
          <w:sz w:val="28"/>
        </w:rPr>
        <w:t>）建筑物</w:t>
      </w:r>
    </w:p>
    <w:p w14:paraId="03EF142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经委托方介绍，设定咨询对象宗地现状不存在建（构）筑物。</w:t>
      </w:r>
      <w:r>
        <w:rPr>
          <w:rFonts w:ascii="Arial" w:eastAsia="Arial" w:hAnsi="Arial" w:cs="Arial"/>
          <w:sz w:val="28"/>
          <w:szCs w:val="28"/>
        </w:rPr>
        <w:t xml:space="preserve"> </w:t>
      </w:r>
    </w:p>
    <w:p w14:paraId="05E3E4E6"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2D0F3CB" w14:textId="77777777" w:rsidR="00E70101" w:rsidRDefault="0060680B">
      <w:pPr>
        <w:spacing w:line="360" w:lineRule="auto"/>
        <w:ind w:firstLine="560"/>
        <w:jc w:val="both"/>
        <w:rPr>
          <w:rFonts w:ascii="Arial" w:eastAsia="仿宋_GB2312;仿宋" w:hAnsi="Arial" w:cs="Arial"/>
          <w:spacing w:val="-12"/>
          <w:sz w:val="28"/>
        </w:rPr>
      </w:pPr>
      <w:r>
        <w:rPr>
          <w:rFonts w:ascii="Arial" w:eastAsia="仿宋_GB2312;仿宋" w:hAnsi="Arial" w:cs="Arial"/>
          <w:sz w:val="28"/>
        </w:rPr>
        <w:t>经委托方介绍，设定咨询对象宗地现状不存在附属物。</w:t>
      </w:r>
    </w:p>
    <w:p w14:paraId="75257AF9"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39EBA68E"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061786B"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通路：八仙庄北大街，为城市次干道；</w:t>
      </w:r>
      <w:r>
        <w:rPr>
          <w:rFonts w:ascii="Arial" w:eastAsia="Arial" w:hAnsi="Arial" w:cs="Arial"/>
          <w:spacing w:val="-12"/>
          <w:sz w:val="28"/>
        </w:rPr>
        <w:t xml:space="preserve"> </w:t>
      </w:r>
    </w:p>
    <w:p w14:paraId="56556AC0"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25ED2556"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5BE2910"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3B3A15F7"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3E6985B0"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713A8C6C"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49" w:name="__RefHeading___Toc530042255"/>
      <w:bookmarkEnd w:id="49"/>
      <w:r>
        <w:rPr>
          <w:rFonts w:ascii="Arial" w:eastAsia="仿宋_GB2312;仿宋" w:hAnsi="Arial" w:cs="Arial"/>
          <w:b/>
          <w:sz w:val="28"/>
        </w:rPr>
        <w:t>二、地价影响因素分析</w:t>
      </w:r>
    </w:p>
    <w:p w14:paraId="47514E06"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52B0E27"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2FCABD12" w14:textId="77777777" w:rsidR="00E70101" w:rsidRDefault="0060680B">
      <w:pPr>
        <w:spacing w:line="360" w:lineRule="auto"/>
        <w:jc w:val="both"/>
        <w:rPr>
          <w:rFonts w:ascii="Arial" w:eastAsia="仿宋_GB2312;仿宋" w:hAnsi="Arial" w:cs="Arial"/>
          <w:sz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分，地处华北大平原的北部，东面与天津市毗连，其余均与河北省相邻。</w:t>
      </w: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0FC41949"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710AAC68" w14:textId="77777777" w:rsidR="00E70101" w:rsidRDefault="0060680B">
      <w:pPr>
        <w:spacing w:line="360" w:lineRule="auto"/>
        <w:ind w:firstLine="562"/>
        <w:jc w:val="both"/>
        <w:outlineLvl w:val="0"/>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分，地处华北大平原的北部，东面与天津市毗连，其余均与河北省相邻。</w:t>
      </w:r>
    </w:p>
    <w:p w14:paraId="4184F609" w14:textId="77777777" w:rsidR="00E70101" w:rsidRDefault="0060680B">
      <w:pPr>
        <w:widowControl/>
        <w:spacing w:line="360" w:lineRule="auto"/>
        <w:ind w:firstLine="562"/>
        <w:jc w:val="both"/>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城市人口：</w:t>
      </w:r>
      <w:r>
        <w:rPr>
          <w:rFonts w:ascii="Arial" w:eastAsia="仿宋_GB2312;仿宋" w:hAnsi="Arial" w:cs="Arial"/>
          <w:bCs/>
          <w:color w:val="000000"/>
          <w:sz w:val="28"/>
          <w:szCs w:val="28"/>
        </w:rPr>
        <w:t>截至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年年末，北京市常住人口为</w:t>
      </w:r>
      <w:r>
        <w:rPr>
          <w:rFonts w:ascii="Arial" w:eastAsia="仿宋_GB2312;仿宋" w:hAnsi="Arial" w:cs="Arial"/>
          <w:bCs/>
          <w:color w:val="000000"/>
          <w:sz w:val="28"/>
          <w:szCs w:val="28"/>
        </w:rPr>
        <w:t>2185.8</w:t>
      </w:r>
      <w:r>
        <w:rPr>
          <w:rFonts w:ascii="Arial" w:eastAsia="仿宋_GB2312;仿宋" w:hAnsi="Arial" w:cs="Arial"/>
          <w:bCs/>
          <w:color w:val="000000"/>
          <w:sz w:val="28"/>
          <w:szCs w:val="28"/>
        </w:rPr>
        <w:t>万人，从年龄构成看，</w:t>
      </w:r>
      <w:r>
        <w:rPr>
          <w:rFonts w:ascii="Arial" w:eastAsia="仿宋_GB2312;仿宋" w:hAnsi="Arial" w:cs="Arial"/>
          <w:bCs/>
          <w:color w:val="000000"/>
          <w:sz w:val="28"/>
          <w:szCs w:val="28"/>
        </w:rPr>
        <w:t>0-14</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262.5</w:t>
      </w:r>
      <w:r>
        <w:rPr>
          <w:rFonts w:ascii="Arial" w:eastAsia="仿宋_GB2312;仿宋" w:hAnsi="Arial" w:cs="Arial"/>
          <w:bCs/>
          <w:color w:val="000000"/>
          <w:sz w:val="28"/>
          <w:szCs w:val="28"/>
        </w:rPr>
        <w:t>万人，占全市常住人口的比重为</w:t>
      </w:r>
      <w:r>
        <w:rPr>
          <w:rFonts w:ascii="Arial" w:eastAsia="仿宋_GB2312;仿宋" w:hAnsi="Arial" w:cs="Arial"/>
          <w:bCs/>
          <w:color w:val="000000"/>
          <w:sz w:val="28"/>
          <w:szCs w:val="28"/>
        </w:rPr>
        <w:t>12.0%</w:t>
      </w:r>
      <w:r>
        <w:rPr>
          <w:rFonts w:ascii="Arial" w:eastAsia="仿宋_GB2312;仿宋" w:hAnsi="Arial" w:cs="Arial"/>
          <w:bCs/>
          <w:color w:val="000000"/>
          <w:sz w:val="28"/>
          <w:szCs w:val="28"/>
        </w:rPr>
        <w:t>；</w:t>
      </w:r>
      <w:r>
        <w:rPr>
          <w:rFonts w:ascii="Arial" w:eastAsia="仿宋_GB2312;仿宋" w:hAnsi="Arial" w:cs="Arial"/>
          <w:bCs/>
          <w:color w:val="000000"/>
          <w:sz w:val="28"/>
          <w:szCs w:val="28"/>
        </w:rPr>
        <w:t>15-59</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1428.5</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65.4%</w:t>
      </w:r>
      <w:r>
        <w:rPr>
          <w:rFonts w:ascii="Arial" w:eastAsia="仿宋_GB2312;仿宋" w:hAnsi="Arial" w:cs="Arial"/>
          <w:bCs/>
          <w:color w:val="000000"/>
          <w:sz w:val="28"/>
          <w:szCs w:val="28"/>
        </w:rPr>
        <w:t>；</w:t>
      </w:r>
      <w:r>
        <w:rPr>
          <w:rFonts w:ascii="Arial" w:eastAsia="仿宋_GB2312;仿宋" w:hAnsi="Arial" w:cs="Arial"/>
          <w:bCs/>
          <w:color w:val="000000"/>
          <w:sz w:val="28"/>
          <w:szCs w:val="28"/>
        </w:rPr>
        <w:t>60</w:t>
      </w:r>
      <w:r>
        <w:rPr>
          <w:rFonts w:ascii="Arial" w:eastAsia="仿宋_GB2312;仿宋" w:hAnsi="Arial" w:cs="Arial"/>
          <w:bCs/>
          <w:color w:val="000000"/>
          <w:sz w:val="28"/>
          <w:szCs w:val="28"/>
        </w:rPr>
        <w:t>岁及以上常住人口</w:t>
      </w:r>
      <w:r>
        <w:rPr>
          <w:rFonts w:ascii="Arial" w:eastAsia="仿宋_GB2312;仿宋" w:hAnsi="Arial" w:cs="Arial"/>
          <w:bCs/>
          <w:color w:val="000000"/>
          <w:sz w:val="28"/>
          <w:szCs w:val="28"/>
        </w:rPr>
        <w:t>494.8</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22.6%</w:t>
      </w:r>
      <w:r>
        <w:rPr>
          <w:rFonts w:ascii="Arial" w:eastAsia="仿宋_GB2312;仿宋" w:hAnsi="Arial" w:cs="Arial"/>
          <w:bCs/>
          <w:color w:val="000000"/>
          <w:sz w:val="28"/>
          <w:szCs w:val="28"/>
        </w:rPr>
        <w:t>。</w:t>
      </w:r>
    </w:p>
    <w:p w14:paraId="24DF929C" w14:textId="77777777" w:rsidR="00E70101" w:rsidRDefault="0060680B">
      <w:pPr>
        <w:overflowPunct w:val="0"/>
        <w:spacing w:line="360" w:lineRule="auto"/>
        <w:jc w:val="center"/>
        <w:rPr>
          <w:rFonts w:ascii="Arial" w:eastAsia="仿宋_GB2312;仿宋" w:hAnsi="Arial" w:cs="Arial"/>
          <w:b/>
          <w:bCs/>
          <w:color w:val="000000"/>
          <w:szCs w:val="24"/>
        </w:rPr>
      </w:pPr>
      <w:r>
        <w:rPr>
          <w:rFonts w:ascii="Arial" w:eastAsia="仿宋_GB2312;仿宋" w:hAnsi="Arial" w:cs="Arial"/>
          <w:b/>
          <w:bCs/>
          <w:color w:val="000000"/>
          <w:szCs w:val="24"/>
        </w:rPr>
        <w:t>2019-2023</w:t>
      </w:r>
      <w:r>
        <w:rPr>
          <w:rFonts w:ascii="Arial" w:eastAsia="仿宋_GB2312;仿宋" w:hAnsi="Arial" w:cs="Arial"/>
          <w:b/>
          <w:bCs/>
          <w:color w:val="000000"/>
          <w:szCs w:val="24"/>
        </w:rPr>
        <w:t>年常住人口增量及增长速度</w:t>
      </w:r>
    </w:p>
    <w:p w14:paraId="30082E42" w14:textId="77777777" w:rsidR="00E70101" w:rsidRDefault="0060680B">
      <w:pPr>
        <w:spacing w:line="360" w:lineRule="auto"/>
        <w:jc w:val="center"/>
        <w:outlineLvl w:val="0"/>
        <w:rPr>
          <w:rFonts w:ascii="Arial" w:eastAsia="仿宋_GB2312;仿宋" w:hAnsi="Arial" w:cs="Arial"/>
          <w:bCs/>
          <w:color w:val="000000"/>
          <w:sz w:val="28"/>
          <w:szCs w:val="28"/>
        </w:rPr>
      </w:pPr>
      <w:r>
        <w:rPr>
          <w:noProof/>
        </w:rPr>
        <w:drawing>
          <wp:inline distT="0" distB="0" distL="0" distR="0" wp14:anchorId="3A1B0ACD" wp14:editId="3A7A2CBF">
            <wp:extent cx="5905500" cy="2027555"/>
            <wp:effectExtent l="0" t="0" r="0" b="0"/>
            <wp:docPr id="25" name="图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像4"/>
                    <pic:cNvPicPr>
                      <a:picLocks noChangeAspect="1" noChangeArrowheads="1"/>
                    </pic:cNvPicPr>
                  </pic:nvPicPr>
                  <pic:blipFill>
                    <a:blip r:embed="rId29"/>
                    <a:srcRect l="-6" t="-17" r="-6" b="-17"/>
                    <a:stretch>
                      <a:fillRect/>
                    </a:stretch>
                  </pic:blipFill>
                  <pic:spPr bwMode="auto">
                    <a:xfrm>
                      <a:off x="0" y="0"/>
                      <a:ext cx="5905500" cy="2027555"/>
                    </a:xfrm>
                    <a:prstGeom prst="rect">
                      <a:avLst/>
                    </a:prstGeom>
                  </pic:spPr>
                </pic:pic>
              </a:graphicData>
            </a:graphic>
          </wp:inline>
        </w:drawing>
      </w:r>
    </w:p>
    <w:p w14:paraId="44E36DAC" w14:textId="77777777" w:rsidR="00E70101" w:rsidRDefault="0060680B">
      <w:pPr>
        <w:spacing w:line="360" w:lineRule="auto"/>
        <w:ind w:firstLine="562"/>
        <w:jc w:val="both"/>
        <w:outlineLvl w:val="0"/>
      </w:pPr>
      <w:r>
        <w:rPr>
          <w:rFonts w:ascii="仿宋_GB2312;仿宋" w:eastAsia="仿宋_GB2312;仿宋" w:hAnsi="仿宋_GB2312;仿宋"/>
          <w:b/>
          <w:bCs/>
          <w:color w:val="000000"/>
          <w:sz w:val="28"/>
          <w:szCs w:val="28"/>
        </w:rPr>
        <w:t>城市面积：</w:t>
      </w:r>
      <w:r>
        <w:rPr>
          <w:rFonts w:ascii="Arial" w:eastAsia="仿宋" w:hAnsi="Arial" w:cs="Arial"/>
          <w:color w:val="000000"/>
          <w:kern w:val="2"/>
          <w:sz w:val="28"/>
          <w:szCs w:val="28"/>
        </w:rPr>
        <w:t>北京市下辖</w:t>
      </w:r>
      <w:r>
        <w:rPr>
          <w:rFonts w:ascii="Arial" w:eastAsia="仿宋" w:hAnsi="Arial" w:cs="Arial"/>
          <w:color w:val="000000"/>
          <w:kern w:val="2"/>
          <w:sz w:val="28"/>
          <w:szCs w:val="28"/>
        </w:rPr>
        <w:t>16</w:t>
      </w:r>
      <w:r>
        <w:rPr>
          <w:rFonts w:ascii="Arial" w:eastAsia="仿宋" w:hAnsi="Arial" w:cs="Arial"/>
          <w:color w:val="000000"/>
          <w:kern w:val="2"/>
          <w:sz w:val="28"/>
          <w:szCs w:val="28"/>
        </w:rPr>
        <w:t>个区（</w:t>
      </w:r>
      <w:r>
        <w:rPr>
          <w:rFonts w:ascii="Arial" w:eastAsia="仿宋_GB2312;仿宋" w:hAnsi="Arial" w:cs="Arial"/>
          <w:bCs/>
          <w:color w:val="000000"/>
          <w:sz w:val="28"/>
          <w:szCs w:val="28"/>
        </w:rPr>
        <w:t>即东城、西城、海淀、朝阳、丰台、顺义、昌平、通州、门头沟、石景山、房山、大兴、怀柔、平谷、密云、延庆</w:t>
      </w:r>
      <w:r>
        <w:rPr>
          <w:rFonts w:ascii="Arial" w:eastAsia="仿宋" w:hAnsi="Arial" w:cs="Arial"/>
          <w:color w:val="000000"/>
          <w:kern w:val="2"/>
          <w:sz w:val="28"/>
          <w:szCs w:val="28"/>
        </w:rPr>
        <w:t>），行政辖区总面积为</w:t>
      </w:r>
      <w:r>
        <w:rPr>
          <w:rFonts w:ascii="Arial" w:eastAsia="仿宋" w:hAnsi="Arial" w:cs="Arial"/>
          <w:color w:val="000000"/>
          <w:kern w:val="2"/>
          <w:sz w:val="28"/>
          <w:szCs w:val="28"/>
        </w:rPr>
        <w:t>16410</w:t>
      </w:r>
      <w:r>
        <w:rPr>
          <w:rFonts w:ascii="Arial" w:eastAsia="仿宋" w:hAnsi="Arial" w:cs="Arial"/>
          <w:color w:val="000000"/>
          <w:kern w:val="2"/>
          <w:sz w:val="28"/>
          <w:szCs w:val="28"/>
        </w:rPr>
        <w:t>平方公里。</w:t>
      </w:r>
    </w:p>
    <w:p w14:paraId="63F33533" w14:textId="77777777" w:rsidR="00E70101" w:rsidRDefault="0060680B">
      <w:pPr>
        <w:spacing w:line="360" w:lineRule="auto"/>
        <w:ind w:firstLine="562"/>
        <w:jc w:val="both"/>
        <w:outlineLvl w:val="0"/>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城市自然条件：</w:t>
      </w:r>
      <w:r>
        <w:rPr>
          <w:rFonts w:ascii="Arial" w:eastAsia="仿宋" w:hAnsi="Arial" w:cs="Arial"/>
          <w:color w:val="000000"/>
          <w:kern w:val="2"/>
          <w:sz w:val="28"/>
          <w:szCs w:val="28"/>
        </w:rPr>
        <w:t>北京气候属暖温带半湿润半干旱季风气候，夏季高温多雨，冬季寒冷干燥，春、秋短促。全年无霜期</w:t>
      </w:r>
      <w:r>
        <w:rPr>
          <w:rFonts w:ascii="Arial" w:eastAsia="仿宋" w:hAnsi="Arial" w:cs="Arial"/>
          <w:color w:val="000000"/>
          <w:kern w:val="2"/>
          <w:sz w:val="28"/>
          <w:szCs w:val="28"/>
        </w:rPr>
        <w:t>180</w:t>
      </w:r>
      <w:r>
        <w:rPr>
          <w:rFonts w:ascii="Arial" w:eastAsia="仿宋" w:hAnsi="Arial" w:cs="Arial"/>
          <w:color w:val="000000"/>
          <w:kern w:val="2"/>
          <w:sz w:val="28"/>
          <w:szCs w:val="28"/>
        </w:rPr>
        <w:t>～</w:t>
      </w:r>
      <w:r>
        <w:rPr>
          <w:rFonts w:ascii="Arial" w:eastAsia="仿宋" w:hAnsi="Arial" w:cs="Arial"/>
          <w:color w:val="000000"/>
          <w:kern w:val="2"/>
          <w:sz w:val="28"/>
          <w:szCs w:val="28"/>
        </w:rPr>
        <w:t>200</w:t>
      </w:r>
      <w:r>
        <w:rPr>
          <w:rFonts w:ascii="Arial" w:eastAsia="仿宋" w:hAnsi="Arial" w:cs="Arial"/>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Pr>
          <w:rFonts w:ascii="Arial" w:eastAsia="仿宋" w:hAnsi="Arial" w:cs="Arial"/>
          <w:color w:val="000000"/>
          <w:kern w:val="2"/>
          <w:sz w:val="28"/>
          <w:szCs w:val="28"/>
        </w:rPr>
        <w:t>蓟</w:t>
      </w:r>
      <w:proofErr w:type="gramEnd"/>
      <w:r>
        <w:rPr>
          <w:rFonts w:ascii="Arial" w:eastAsia="仿宋" w:hAnsi="Arial" w:cs="Arial"/>
          <w:color w:val="000000"/>
          <w:kern w:val="2"/>
          <w:sz w:val="28"/>
          <w:szCs w:val="28"/>
        </w:rPr>
        <w:t>运河水系。多由西北部山地发源，向东南蜿蜒流经平原地区，最后分别在海河汇入渤海（</w:t>
      </w:r>
      <w:proofErr w:type="gramStart"/>
      <w:r>
        <w:rPr>
          <w:rFonts w:ascii="Arial" w:eastAsia="仿宋" w:hAnsi="Arial" w:cs="Arial"/>
          <w:color w:val="000000"/>
          <w:kern w:val="2"/>
          <w:sz w:val="28"/>
          <w:szCs w:val="28"/>
        </w:rPr>
        <w:t>蓟</w:t>
      </w:r>
      <w:proofErr w:type="gramEnd"/>
      <w:r>
        <w:rPr>
          <w:rFonts w:ascii="Arial" w:eastAsia="仿宋" w:hAnsi="Arial" w:cs="Arial"/>
          <w:color w:val="000000"/>
          <w:kern w:val="2"/>
          <w:sz w:val="28"/>
          <w:szCs w:val="28"/>
        </w:rPr>
        <w:t>运河除外）。北京市有水库</w:t>
      </w:r>
      <w:r>
        <w:rPr>
          <w:rFonts w:ascii="Arial" w:eastAsia="仿宋" w:hAnsi="Arial" w:cs="Arial"/>
          <w:color w:val="000000"/>
          <w:kern w:val="2"/>
          <w:sz w:val="28"/>
          <w:szCs w:val="28"/>
        </w:rPr>
        <w:t>85</w:t>
      </w:r>
      <w:r>
        <w:rPr>
          <w:rFonts w:ascii="Arial" w:eastAsia="仿宋" w:hAnsi="Arial" w:cs="Arial"/>
          <w:color w:val="000000"/>
          <w:kern w:val="2"/>
          <w:sz w:val="28"/>
          <w:szCs w:val="28"/>
        </w:rPr>
        <w:t>座，其中大型水库有密云水库、官厅水库、怀柔水库、海子水库。北京市地下水多年平均补给量约为</w:t>
      </w:r>
      <w:r>
        <w:rPr>
          <w:rFonts w:ascii="Arial" w:eastAsia="仿宋" w:hAnsi="Arial" w:cs="Arial"/>
          <w:color w:val="000000"/>
          <w:kern w:val="2"/>
          <w:sz w:val="28"/>
          <w:szCs w:val="28"/>
        </w:rPr>
        <w:t>29.21</w:t>
      </w:r>
      <w:r>
        <w:rPr>
          <w:rFonts w:ascii="Arial" w:eastAsia="仿宋" w:hAnsi="Arial" w:cs="Arial"/>
          <w:color w:val="000000"/>
          <w:kern w:val="2"/>
          <w:sz w:val="28"/>
          <w:szCs w:val="28"/>
        </w:rPr>
        <w:t>亿立方米，平均年可开采量约</w:t>
      </w:r>
      <w:r>
        <w:rPr>
          <w:rFonts w:ascii="Arial" w:eastAsia="仿宋" w:hAnsi="Arial" w:cs="Arial"/>
          <w:color w:val="000000"/>
          <w:kern w:val="2"/>
          <w:sz w:val="28"/>
          <w:szCs w:val="28"/>
        </w:rPr>
        <w:t>24~25</w:t>
      </w:r>
      <w:r>
        <w:rPr>
          <w:rFonts w:ascii="Arial" w:eastAsia="仿宋" w:hAnsi="Arial" w:cs="Arial"/>
          <w:color w:val="000000"/>
          <w:kern w:val="2"/>
          <w:sz w:val="28"/>
          <w:szCs w:val="28"/>
        </w:rPr>
        <w:t>亿立方米。一次性天然水资源年平均总量为</w:t>
      </w:r>
      <w:r>
        <w:rPr>
          <w:rFonts w:ascii="Arial" w:eastAsia="仿宋" w:hAnsi="Arial" w:cs="Arial"/>
          <w:color w:val="000000"/>
          <w:kern w:val="2"/>
          <w:sz w:val="28"/>
          <w:szCs w:val="28"/>
        </w:rPr>
        <w:t>55.21</w:t>
      </w:r>
      <w:r>
        <w:rPr>
          <w:rFonts w:ascii="Arial" w:eastAsia="仿宋" w:hAnsi="Arial" w:cs="Arial"/>
          <w:color w:val="000000"/>
          <w:kern w:val="2"/>
          <w:sz w:val="28"/>
          <w:szCs w:val="28"/>
        </w:rPr>
        <w:t>亿立方米。</w:t>
      </w:r>
    </w:p>
    <w:p w14:paraId="044CDDF1" w14:textId="77777777" w:rsidR="00E70101" w:rsidRDefault="0060680B">
      <w:pPr>
        <w:widowControl/>
        <w:spacing w:line="360" w:lineRule="auto"/>
        <w:ind w:firstLine="562"/>
        <w:jc w:val="both"/>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土地利用状况：</w:t>
      </w:r>
      <w:r>
        <w:rPr>
          <w:rFonts w:ascii="Arial" w:eastAsia="仿宋" w:hAnsi="Arial" w:cs="Arial"/>
          <w:color w:val="000000"/>
          <w:kern w:val="2"/>
          <w:sz w:val="28"/>
          <w:szCs w:val="28"/>
        </w:rPr>
        <w:t>2021</w:t>
      </w:r>
      <w:r>
        <w:rPr>
          <w:rFonts w:ascii="Arial" w:eastAsia="仿宋" w:hAnsi="Arial" w:cs="Arial"/>
          <w:color w:val="000000"/>
          <w:kern w:val="2"/>
          <w:sz w:val="28"/>
          <w:szCs w:val="28"/>
        </w:rPr>
        <w:t>年</w:t>
      </w:r>
      <w:r>
        <w:rPr>
          <w:rFonts w:ascii="Arial" w:eastAsia="仿宋" w:hAnsi="Arial" w:cs="Arial"/>
          <w:color w:val="000000"/>
          <w:kern w:val="2"/>
          <w:sz w:val="28"/>
          <w:szCs w:val="28"/>
        </w:rPr>
        <w:t>11</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日，北京市发布第三次全国国土调查主要数据公报。数据显示，北京市现有耕地</w:t>
      </w:r>
      <w:r>
        <w:rPr>
          <w:rFonts w:ascii="Arial" w:eastAsia="仿宋" w:hAnsi="Arial" w:cs="Arial"/>
          <w:color w:val="000000"/>
          <w:kern w:val="2"/>
          <w:sz w:val="28"/>
          <w:szCs w:val="28"/>
        </w:rPr>
        <w:t>93547.9</w:t>
      </w:r>
      <w:r>
        <w:rPr>
          <w:rFonts w:ascii="Arial" w:eastAsia="仿宋" w:hAnsi="Arial" w:cs="Arial"/>
          <w:color w:val="000000"/>
          <w:kern w:val="2"/>
          <w:sz w:val="28"/>
          <w:szCs w:val="28"/>
        </w:rPr>
        <w:t>公顷（</w:t>
      </w:r>
      <w:r>
        <w:rPr>
          <w:rFonts w:ascii="Arial" w:eastAsia="仿宋" w:hAnsi="Arial" w:cs="Arial"/>
          <w:color w:val="000000"/>
          <w:kern w:val="2"/>
          <w:sz w:val="28"/>
          <w:szCs w:val="28"/>
        </w:rPr>
        <w:t>1403218.5</w:t>
      </w:r>
      <w:r>
        <w:rPr>
          <w:rFonts w:ascii="Arial" w:eastAsia="仿宋" w:hAnsi="Arial" w:cs="Arial"/>
          <w:color w:val="000000"/>
          <w:kern w:val="2"/>
          <w:sz w:val="28"/>
          <w:szCs w:val="28"/>
        </w:rPr>
        <w:t>亩）、园地</w:t>
      </w:r>
      <w:r>
        <w:rPr>
          <w:rFonts w:ascii="Arial" w:eastAsia="仿宋" w:hAnsi="Arial" w:cs="Arial"/>
          <w:color w:val="000000"/>
          <w:kern w:val="2"/>
          <w:sz w:val="28"/>
          <w:szCs w:val="28"/>
        </w:rPr>
        <w:t>126274.55</w:t>
      </w:r>
      <w:r>
        <w:rPr>
          <w:rFonts w:ascii="Arial" w:eastAsia="仿宋" w:hAnsi="Arial" w:cs="Arial"/>
          <w:color w:val="000000"/>
          <w:kern w:val="2"/>
          <w:sz w:val="28"/>
          <w:szCs w:val="28"/>
        </w:rPr>
        <w:t>公顷（</w:t>
      </w:r>
      <w:r>
        <w:rPr>
          <w:rFonts w:ascii="Arial" w:eastAsia="仿宋" w:hAnsi="Arial" w:cs="Arial"/>
          <w:color w:val="000000"/>
          <w:kern w:val="2"/>
          <w:sz w:val="28"/>
          <w:szCs w:val="28"/>
        </w:rPr>
        <w:t>1894118.25</w:t>
      </w:r>
      <w:r>
        <w:rPr>
          <w:rFonts w:ascii="Arial" w:eastAsia="仿宋" w:hAnsi="Arial" w:cs="Arial"/>
          <w:color w:val="000000"/>
          <w:kern w:val="2"/>
          <w:sz w:val="28"/>
          <w:szCs w:val="28"/>
        </w:rPr>
        <w:t>亩）、林地</w:t>
      </w:r>
      <w:r>
        <w:rPr>
          <w:rFonts w:ascii="Arial" w:eastAsia="仿宋" w:hAnsi="Arial" w:cs="Arial"/>
          <w:color w:val="000000"/>
          <w:kern w:val="2"/>
          <w:sz w:val="28"/>
          <w:szCs w:val="28"/>
        </w:rPr>
        <w:t>967628.62</w:t>
      </w:r>
      <w:r>
        <w:rPr>
          <w:rFonts w:ascii="Arial" w:eastAsia="仿宋" w:hAnsi="Arial" w:cs="Arial"/>
          <w:color w:val="000000"/>
          <w:kern w:val="2"/>
          <w:sz w:val="28"/>
          <w:szCs w:val="28"/>
        </w:rPr>
        <w:t>公顷（</w:t>
      </w:r>
      <w:r>
        <w:rPr>
          <w:rFonts w:ascii="Arial" w:eastAsia="仿宋" w:hAnsi="Arial" w:cs="Arial"/>
          <w:color w:val="000000"/>
          <w:kern w:val="2"/>
          <w:sz w:val="28"/>
          <w:szCs w:val="28"/>
        </w:rPr>
        <w:t>14514429.3</w:t>
      </w:r>
      <w:r>
        <w:rPr>
          <w:rFonts w:ascii="Arial" w:eastAsia="仿宋" w:hAnsi="Arial" w:cs="Arial"/>
          <w:color w:val="000000"/>
          <w:kern w:val="2"/>
          <w:sz w:val="28"/>
          <w:szCs w:val="28"/>
        </w:rPr>
        <w:t>亩）、草地</w:t>
      </w:r>
      <w:r>
        <w:rPr>
          <w:rFonts w:ascii="Arial" w:eastAsia="仿宋" w:hAnsi="Arial" w:cs="Arial"/>
          <w:color w:val="000000"/>
          <w:kern w:val="2"/>
          <w:sz w:val="28"/>
          <w:szCs w:val="28"/>
        </w:rPr>
        <w:t>14460.44</w:t>
      </w:r>
      <w:r>
        <w:rPr>
          <w:rFonts w:ascii="Arial" w:eastAsia="仿宋" w:hAnsi="Arial" w:cs="Arial"/>
          <w:color w:val="000000"/>
          <w:kern w:val="2"/>
          <w:sz w:val="28"/>
          <w:szCs w:val="28"/>
        </w:rPr>
        <w:t>公顷（</w:t>
      </w:r>
      <w:r>
        <w:rPr>
          <w:rFonts w:ascii="Arial" w:eastAsia="仿宋" w:hAnsi="Arial" w:cs="Arial"/>
          <w:color w:val="000000"/>
          <w:kern w:val="2"/>
          <w:sz w:val="28"/>
          <w:szCs w:val="28"/>
        </w:rPr>
        <w:t>216906.6</w:t>
      </w:r>
      <w:r>
        <w:rPr>
          <w:rFonts w:ascii="Arial" w:eastAsia="仿宋" w:hAnsi="Arial" w:cs="Arial"/>
          <w:color w:val="000000"/>
          <w:kern w:val="2"/>
          <w:sz w:val="28"/>
          <w:szCs w:val="28"/>
        </w:rPr>
        <w:t>亩）、湿地</w:t>
      </w:r>
      <w:r>
        <w:rPr>
          <w:rFonts w:ascii="Arial" w:eastAsia="仿宋" w:hAnsi="Arial" w:cs="Arial"/>
          <w:color w:val="000000"/>
          <w:kern w:val="2"/>
          <w:sz w:val="28"/>
          <w:szCs w:val="28"/>
        </w:rPr>
        <w:t>3107.98</w:t>
      </w:r>
      <w:r>
        <w:rPr>
          <w:rFonts w:ascii="Arial" w:eastAsia="仿宋" w:hAnsi="Arial" w:cs="Arial"/>
          <w:color w:val="000000"/>
          <w:kern w:val="2"/>
          <w:sz w:val="28"/>
          <w:szCs w:val="28"/>
        </w:rPr>
        <w:t>公顷（</w:t>
      </w:r>
      <w:r>
        <w:rPr>
          <w:rFonts w:ascii="Arial" w:eastAsia="仿宋" w:hAnsi="Arial" w:cs="Arial"/>
          <w:color w:val="000000"/>
          <w:kern w:val="2"/>
          <w:sz w:val="28"/>
          <w:szCs w:val="28"/>
        </w:rPr>
        <w:t>46619.7</w:t>
      </w:r>
      <w:r>
        <w:rPr>
          <w:rFonts w:ascii="Arial" w:eastAsia="仿宋" w:hAnsi="Arial" w:cs="Arial"/>
          <w:color w:val="000000"/>
          <w:kern w:val="2"/>
          <w:sz w:val="28"/>
          <w:szCs w:val="28"/>
        </w:rPr>
        <w:t>亩）、城镇村及工矿用地</w:t>
      </w:r>
      <w:r>
        <w:rPr>
          <w:rFonts w:ascii="Arial" w:eastAsia="仿宋" w:hAnsi="Arial" w:cs="Arial"/>
          <w:color w:val="000000"/>
          <w:kern w:val="2"/>
          <w:sz w:val="28"/>
          <w:szCs w:val="28"/>
        </w:rPr>
        <w:t>313643.87</w:t>
      </w:r>
      <w:r>
        <w:rPr>
          <w:rFonts w:ascii="Arial" w:eastAsia="仿宋" w:hAnsi="Arial" w:cs="Arial"/>
          <w:color w:val="000000"/>
          <w:kern w:val="2"/>
          <w:sz w:val="28"/>
          <w:szCs w:val="28"/>
        </w:rPr>
        <w:t>公顷（</w:t>
      </w:r>
      <w:r>
        <w:rPr>
          <w:rFonts w:ascii="Arial" w:eastAsia="仿宋" w:hAnsi="Arial" w:cs="Arial"/>
          <w:color w:val="000000"/>
          <w:kern w:val="2"/>
          <w:sz w:val="28"/>
          <w:szCs w:val="28"/>
        </w:rPr>
        <w:t>4704658.05</w:t>
      </w:r>
      <w:r>
        <w:rPr>
          <w:rFonts w:ascii="Arial" w:eastAsia="仿宋" w:hAnsi="Arial" w:cs="Arial"/>
          <w:color w:val="000000"/>
          <w:kern w:val="2"/>
          <w:sz w:val="28"/>
          <w:szCs w:val="28"/>
        </w:rPr>
        <w:t>亩）、交通运输用地</w:t>
      </w:r>
      <w:r>
        <w:rPr>
          <w:rFonts w:ascii="Arial" w:eastAsia="仿宋" w:hAnsi="Arial" w:cs="Arial"/>
          <w:color w:val="000000"/>
          <w:kern w:val="2"/>
          <w:sz w:val="28"/>
          <w:szCs w:val="28"/>
        </w:rPr>
        <w:t>49281.38</w:t>
      </w:r>
      <w:r>
        <w:rPr>
          <w:rFonts w:ascii="Arial" w:eastAsia="仿宋" w:hAnsi="Arial" w:cs="Arial"/>
          <w:color w:val="000000"/>
          <w:kern w:val="2"/>
          <w:sz w:val="28"/>
          <w:szCs w:val="28"/>
        </w:rPr>
        <w:t>公顷（</w:t>
      </w:r>
      <w:r>
        <w:rPr>
          <w:rFonts w:ascii="Arial" w:eastAsia="仿宋" w:hAnsi="Arial" w:cs="Arial"/>
          <w:color w:val="000000"/>
          <w:kern w:val="2"/>
          <w:sz w:val="28"/>
          <w:szCs w:val="28"/>
        </w:rPr>
        <w:t>739220.7</w:t>
      </w:r>
      <w:r>
        <w:rPr>
          <w:rFonts w:ascii="Arial" w:eastAsia="仿宋" w:hAnsi="Arial" w:cs="Arial"/>
          <w:color w:val="000000"/>
          <w:kern w:val="2"/>
          <w:sz w:val="28"/>
          <w:szCs w:val="28"/>
        </w:rPr>
        <w:t>亩）、水域及水利设施用地</w:t>
      </w:r>
      <w:r>
        <w:rPr>
          <w:rFonts w:ascii="Arial" w:eastAsia="仿宋" w:hAnsi="Arial" w:cs="Arial"/>
          <w:color w:val="000000"/>
          <w:kern w:val="2"/>
          <w:sz w:val="28"/>
          <w:szCs w:val="28"/>
        </w:rPr>
        <w:t>61704</w:t>
      </w:r>
      <w:r>
        <w:rPr>
          <w:rFonts w:ascii="Arial" w:eastAsia="仿宋" w:hAnsi="Arial" w:cs="Arial"/>
          <w:color w:val="000000"/>
          <w:kern w:val="2"/>
          <w:sz w:val="28"/>
          <w:szCs w:val="28"/>
        </w:rPr>
        <w:t>公顷（</w:t>
      </w:r>
      <w:r>
        <w:rPr>
          <w:rFonts w:ascii="Arial" w:eastAsia="仿宋" w:hAnsi="Arial" w:cs="Arial"/>
          <w:color w:val="000000"/>
          <w:kern w:val="2"/>
          <w:sz w:val="28"/>
          <w:szCs w:val="28"/>
        </w:rPr>
        <w:t>925560</w:t>
      </w:r>
      <w:r>
        <w:rPr>
          <w:rFonts w:ascii="Arial" w:eastAsia="仿宋" w:hAnsi="Arial" w:cs="Arial"/>
          <w:color w:val="000000"/>
          <w:kern w:val="2"/>
          <w:sz w:val="28"/>
          <w:szCs w:val="28"/>
        </w:rPr>
        <w:t>亩），其余为其他土地。三</w:t>
      </w:r>
      <w:proofErr w:type="gramStart"/>
      <w:r>
        <w:rPr>
          <w:rFonts w:ascii="Arial" w:eastAsia="仿宋" w:hAnsi="Arial" w:cs="Arial"/>
          <w:color w:val="000000"/>
          <w:kern w:val="2"/>
          <w:sz w:val="28"/>
          <w:szCs w:val="28"/>
        </w:rPr>
        <w:t>调数据</w:t>
      </w:r>
      <w:proofErr w:type="gramEnd"/>
      <w:r>
        <w:rPr>
          <w:rFonts w:ascii="Arial" w:eastAsia="仿宋" w:hAnsi="Arial" w:cs="Arial"/>
          <w:color w:val="000000"/>
          <w:kern w:val="2"/>
          <w:sz w:val="28"/>
          <w:szCs w:val="28"/>
        </w:rPr>
        <w:t>显示，北京市以林、园、水、草、湿地和公园绿地为主的生态用地逐年增加，城乡建设用地明显减少，初步实现减量目标。</w:t>
      </w:r>
    </w:p>
    <w:p w14:paraId="13EB160F" w14:textId="77777777" w:rsidR="00E70101" w:rsidRDefault="0060680B">
      <w:pPr>
        <w:spacing w:line="360" w:lineRule="auto"/>
        <w:ind w:firstLine="480"/>
        <w:jc w:val="both"/>
        <w:outlineLvl w:val="0"/>
        <w:rPr>
          <w:rFonts w:ascii="Arial" w:eastAsia="仿宋_GB2312;仿宋" w:hAnsi="Arial" w:cs="Arial"/>
          <w:bCs/>
          <w:color w:val="000000"/>
          <w:sz w:val="28"/>
          <w:szCs w:val="28"/>
        </w:rPr>
      </w:pPr>
      <w:r>
        <w:rPr>
          <w:noProof/>
        </w:rPr>
        <w:drawing>
          <wp:inline distT="0" distB="0" distL="0" distR="0" wp14:anchorId="7C135FCB" wp14:editId="0E4EE8BC">
            <wp:extent cx="144739995" cy="3350895"/>
            <wp:effectExtent l="0" t="0" r="0" b="0"/>
            <wp:docPr id="26" name="图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像5"/>
                    <pic:cNvPicPr>
                      <a:picLocks noChangeAspect="1" noChangeArrowheads="1"/>
                    </pic:cNvPicPr>
                  </pic:nvPicPr>
                  <pic:blipFill>
                    <a:blip r:embed="rId30"/>
                    <a:srcRect l="-7" t="-13" r="-7" b="-13"/>
                    <a:stretch>
                      <a:fillRect/>
                    </a:stretch>
                  </pic:blipFill>
                  <pic:spPr bwMode="auto">
                    <a:xfrm>
                      <a:off x="0" y="0"/>
                      <a:ext cx="144739995" cy="3350895"/>
                    </a:xfrm>
                    <a:prstGeom prst="rect">
                      <a:avLst/>
                    </a:prstGeom>
                  </pic:spPr>
                </pic:pic>
              </a:graphicData>
            </a:graphic>
          </wp:inline>
        </w:drawing>
      </w:r>
    </w:p>
    <w:p w14:paraId="3CB9F712" w14:textId="77777777" w:rsidR="00E70101" w:rsidRDefault="0060680B">
      <w:pPr>
        <w:spacing w:line="360" w:lineRule="auto"/>
        <w:ind w:right="205"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w:t>
      </w:r>
      <w:r>
        <w:rPr>
          <w:rFonts w:ascii="Arial" w:eastAsia="仿宋_GB2312;仿宋" w:hAnsi="Arial" w:cs="Arial"/>
          <w:bCs/>
          <w:color w:val="000000"/>
          <w:sz w:val="28"/>
          <w:szCs w:val="28"/>
        </w:rPr>
        <w:t>不动产制度与不动产市场状况</w:t>
      </w:r>
    </w:p>
    <w:p w14:paraId="45483B2A"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仿宋_GB2312;仿宋" w:eastAsia="仿宋_GB2312;仿宋" w:hAnsi="仿宋_GB2312;仿宋"/>
          <w:b/>
          <w:bCs/>
          <w:color w:val="000000"/>
          <w:sz w:val="28"/>
          <w:szCs w:val="28"/>
          <w:u w:val="single"/>
        </w:rPr>
        <w:t>土地使用制度及土地管理政策：</w:t>
      </w:r>
    </w:p>
    <w:p w14:paraId="7F129AFD"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我国当前实行土地</w:t>
      </w:r>
      <w:proofErr w:type="gramStart"/>
      <w:r>
        <w:rPr>
          <w:rFonts w:ascii="Arial" w:eastAsia="仿宋" w:hAnsi="Arial" w:cs="Arial"/>
          <w:color w:val="000000"/>
          <w:kern w:val="2"/>
          <w:sz w:val="28"/>
          <w:szCs w:val="28"/>
        </w:rPr>
        <w:t>招拍挂</w:t>
      </w:r>
      <w:proofErr w:type="gramEnd"/>
      <w:r>
        <w:rPr>
          <w:rFonts w:ascii="Arial" w:eastAsia="仿宋" w:hAnsi="Arial" w:cs="Arial"/>
          <w:color w:val="000000"/>
          <w:kern w:val="2"/>
          <w:sz w:val="28"/>
          <w:szCs w:val="28"/>
        </w:rPr>
        <w:t>制度。土地</w:t>
      </w:r>
      <w:proofErr w:type="gramStart"/>
      <w:r>
        <w:rPr>
          <w:rFonts w:ascii="Arial" w:eastAsia="仿宋" w:hAnsi="Arial" w:cs="Arial"/>
          <w:color w:val="000000"/>
          <w:kern w:val="2"/>
          <w:sz w:val="28"/>
          <w:szCs w:val="28"/>
        </w:rPr>
        <w:t>招拍挂制度</w:t>
      </w:r>
      <w:proofErr w:type="gramEnd"/>
      <w:r>
        <w:rPr>
          <w:rFonts w:ascii="Arial" w:eastAsia="仿宋" w:hAnsi="Arial" w:cs="Arial"/>
          <w:color w:val="000000"/>
          <w:kern w:val="2"/>
          <w:sz w:val="28"/>
          <w:szCs w:val="28"/>
        </w:rPr>
        <w:t>是国家土地资源出让、买卖的招标、拍卖、挂牌制度的简称，具体是指国家在土地出让或者买卖程序中的</w:t>
      </w:r>
      <w:r>
        <w:rPr>
          <w:rFonts w:ascii="Arial" w:eastAsia="仿宋" w:hAnsi="Arial" w:cs="Arial"/>
          <w:color w:val="000000"/>
          <w:kern w:val="2"/>
          <w:sz w:val="28"/>
          <w:szCs w:val="28"/>
        </w:rPr>
        <w:t>“</w:t>
      </w:r>
      <w:r>
        <w:rPr>
          <w:rFonts w:ascii="Arial" w:eastAsia="仿宋" w:hAnsi="Arial" w:cs="Arial"/>
          <w:color w:val="000000"/>
          <w:kern w:val="2"/>
          <w:sz w:val="28"/>
          <w:szCs w:val="28"/>
        </w:rPr>
        <w:t>招标</w:t>
      </w:r>
      <w:r>
        <w:rPr>
          <w:rFonts w:ascii="Arial" w:eastAsia="仿宋" w:hAnsi="Arial" w:cs="Arial"/>
          <w:color w:val="000000"/>
          <w:kern w:val="2"/>
          <w:sz w:val="28"/>
          <w:szCs w:val="28"/>
        </w:rPr>
        <w:t>”“</w:t>
      </w:r>
      <w:r>
        <w:rPr>
          <w:rFonts w:ascii="Arial" w:eastAsia="仿宋" w:hAnsi="Arial" w:cs="Arial"/>
          <w:color w:val="000000"/>
          <w:kern w:val="2"/>
          <w:sz w:val="28"/>
          <w:szCs w:val="28"/>
        </w:rPr>
        <w:t>拍卖</w:t>
      </w:r>
      <w:r>
        <w:rPr>
          <w:rFonts w:ascii="Arial" w:eastAsia="仿宋" w:hAnsi="Arial" w:cs="Arial"/>
          <w:color w:val="000000"/>
          <w:kern w:val="2"/>
          <w:sz w:val="28"/>
          <w:szCs w:val="28"/>
        </w:rPr>
        <w:t>”“</w:t>
      </w:r>
      <w:r>
        <w:rPr>
          <w:rFonts w:ascii="Arial" w:eastAsia="仿宋" w:hAnsi="Arial" w:cs="Arial"/>
          <w:color w:val="000000"/>
          <w:kern w:val="2"/>
          <w:sz w:val="28"/>
          <w:szCs w:val="28"/>
        </w:rPr>
        <w:t>挂牌</w:t>
      </w:r>
      <w:r>
        <w:rPr>
          <w:rFonts w:ascii="Arial" w:eastAsia="仿宋" w:hAnsi="Arial" w:cs="Arial"/>
          <w:color w:val="000000"/>
          <w:kern w:val="2"/>
          <w:sz w:val="28"/>
          <w:szCs w:val="28"/>
        </w:rPr>
        <w:t>”</w:t>
      </w:r>
      <w:r>
        <w:rPr>
          <w:rFonts w:ascii="Arial" w:eastAsia="仿宋" w:hAnsi="Arial" w:cs="Arial"/>
          <w:color w:val="000000"/>
          <w:kern w:val="2"/>
          <w:sz w:val="28"/>
          <w:szCs w:val="28"/>
        </w:rPr>
        <w:t>交易的政策或规定。</w:t>
      </w:r>
      <w:r>
        <w:rPr>
          <w:rFonts w:ascii="Arial" w:eastAsia="仿宋" w:hAnsi="Arial" w:cs="Arial"/>
          <w:color w:val="000000"/>
          <w:kern w:val="2"/>
          <w:sz w:val="28"/>
          <w:szCs w:val="28"/>
        </w:rPr>
        <w:t>2004</w:t>
      </w:r>
      <w:r>
        <w:rPr>
          <w:rFonts w:ascii="Arial" w:eastAsia="仿宋" w:hAnsi="Arial" w:cs="Arial"/>
          <w:color w:val="000000"/>
          <w:kern w:val="2"/>
          <w:sz w:val="28"/>
          <w:szCs w:val="28"/>
        </w:rPr>
        <w:t>年，国土资源部颁布第</w:t>
      </w:r>
      <w:r>
        <w:rPr>
          <w:rFonts w:ascii="Arial" w:eastAsia="仿宋" w:hAnsi="Arial" w:cs="Arial"/>
          <w:color w:val="000000"/>
          <w:kern w:val="2"/>
          <w:sz w:val="28"/>
          <w:szCs w:val="28"/>
        </w:rPr>
        <w:t>71</w:t>
      </w:r>
      <w:r>
        <w:rPr>
          <w:rFonts w:ascii="Arial" w:eastAsia="仿宋" w:hAnsi="Arial" w:cs="Arial"/>
          <w:color w:val="000000"/>
          <w:kern w:val="2"/>
          <w:sz w:val="28"/>
          <w:szCs w:val="28"/>
        </w:rPr>
        <w:t>令，《关于继续开展经营性土地使用权招标拍卖挂牌出让情况执法监察工作的通知》，规定</w:t>
      </w:r>
      <w:r>
        <w:rPr>
          <w:rFonts w:ascii="Arial" w:eastAsia="仿宋" w:hAnsi="Arial" w:cs="Arial"/>
          <w:color w:val="000000"/>
          <w:kern w:val="2"/>
          <w:sz w:val="28"/>
          <w:szCs w:val="28"/>
        </w:rPr>
        <w:t>2004</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31</w:t>
      </w:r>
      <w:r>
        <w:rPr>
          <w:rFonts w:ascii="Arial" w:eastAsia="仿宋" w:hAnsi="Arial" w:cs="Arial"/>
          <w:color w:val="000000"/>
          <w:kern w:val="2"/>
          <w:sz w:val="28"/>
          <w:szCs w:val="28"/>
        </w:rPr>
        <w:t>号以后所有经营性用地出让全部实行</w:t>
      </w:r>
      <w:proofErr w:type="gramStart"/>
      <w:r>
        <w:rPr>
          <w:rFonts w:ascii="Arial" w:eastAsia="仿宋" w:hAnsi="Arial" w:cs="Arial"/>
          <w:color w:val="000000"/>
          <w:kern w:val="2"/>
          <w:sz w:val="28"/>
          <w:szCs w:val="28"/>
        </w:rPr>
        <w:t>招拍挂</w:t>
      </w:r>
      <w:proofErr w:type="gramEnd"/>
      <w:r>
        <w:rPr>
          <w:rFonts w:ascii="Arial" w:eastAsia="仿宋" w:hAnsi="Arial" w:cs="Arial"/>
          <w:color w:val="000000"/>
          <w:kern w:val="2"/>
          <w:sz w:val="28"/>
          <w:szCs w:val="28"/>
        </w:rPr>
        <w:t>制度。该方式作为我国经营性用地出让的指定方式，对规范土地市场、提高政府的对城市土地的管理水平、促进房地产市场的有序发展等方面都有着重要意义。</w:t>
      </w:r>
    </w:p>
    <w:p w14:paraId="07D0C8DC"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按照</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时期的规划，北京市目前已基本建立全域国土空间开发保护新格局，提升绿色生态空间本底规模质量，深化耕地保护空间与政策保障，减量发展迈出实质性步伐。</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确定的土地资源保护利用任务目标基本完成，土地资源治理体系逐步完善，保障和支撑了城市发展方式实现历史性变革。</w:t>
      </w:r>
    </w:p>
    <w:p w14:paraId="6FB65797"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1</w:t>
      </w:r>
      <w:r>
        <w:rPr>
          <w:rFonts w:ascii="Arial" w:eastAsia="仿宋" w:hAnsi="Arial" w:cs="Arial"/>
          <w:color w:val="000000"/>
          <w:kern w:val="2"/>
          <w:sz w:val="28"/>
          <w:szCs w:val="28"/>
        </w:rPr>
        <w:t>）在国土空间规划中统筹划</w:t>
      </w:r>
      <w:proofErr w:type="gramStart"/>
      <w:r>
        <w:rPr>
          <w:rFonts w:ascii="Arial" w:eastAsia="仿宋" w:hAnsi="Arial" w:cs="Arial"/>
          <w:color w:val="000000"/>
          <w:kern w:val="2"/>
          <w:sz w:val="28"/>
          <w:szCs w:val="28"/>
        </w:rPr>
        <w:t>定落实</w:t>
      </w:r>
      <w:proofErr w:type="gramEnd"/>
      <w:r>
        <w:rPr>
          <w:rFonts w:ascii="Arial" w:eastAsia="仿宋" w:hAnsi="Arial" w:cs="Arial"/>
          <w:color w:val="000000"/>
          <w:kern w:val="2"/>
          <w:sz w:val="28"/>
          <w:szCs w:val="28"/>
        </w:rPr>
        <w:t>永久基本农田、生态保护红线、城镇开发边界三条控制线（以下简称三条控制线），确定国土空间开发保护刚性管控边界。统筹全域</w:t>
      </w:r>
      <w:proofErr w:type="gramStart"/>
      <w:r>
        <w:rPr>
          <w:rFonts w:ascii="Arial" w:eastAsia="仿宋" w:hAnsi="Arial" w:cs="Arial"/>
          <w:color w:val="000000"/>
          <w:kern w:val="2"/>
          <w:sz w:val="28"/>
          <w:szCs w:val="28"/>
        </w:rPr>
        <w:t>全类型</w:t>
      </w:r>
      <w:proofErr w:type="gramEnd"/>
      <w:r>
        <w:rPr>
          <w:rFonts w:ascii="Arial" w:eastAsia="仿宋" w:hAnsi="Arial" w:cs="Arial"/>
          <w:color w:val="000000"/>
          <w:kern w:val="2"/>
          <w:sz w:val="28"/>
          <w:szCs w:val="28"/>
        </w:rPr>
        <w:t>国土空间用途管制，划定覆盖全域的</w:t>
      </w:r>
      <w:r>
        <w:rPr>
          <w:rFonts w:ascii="Arial" w:eastAsia="仿宋" w:hAnsi="Arial" w:cs="Arial"/>
          <w:color w:val="000000"/>
          <w:kern w:val="2"/>
          <w:sz w:val="28"/>
          <w:szCs w:val="28"/>
        </w:rPr>
        <w:t>11</w:t>
      </w:r>
      <w:r>
        <w:rPr>
          <w:rFonts w:ascii="Arial" w:eastAsia="仿宋" w:hAnsi="Arial" w:cs="Arial"/>
          <w:color w:val="000000"/>
          <w:kern w:val="2"/>
          <w:sz w:val="28"/>
          <w:szCs w:val="28"/>
        </w:rPr>
        <w:t>类国土空间规划分区。</w:t>
      </w:r>
    </w:p>
    <w:p w14:paraId="414B3A7C"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2</w:t>
      </w:r>
      <w:r>
        <w:rPr>
          <w:rFonts w:ascii="Arial" w:eastAsia="仿宋" w:hAnsi="Arial" w:cs="Arial"/>
          <w:color w:val="000000"/>
          <w:kern w:val="2"/>
          <w:sz w:val="28"/>
          <w:szCs w:val="28"/>
        </w:rPr>
        <w:t>）严守耕地规模底线，划定耕地保护空间。</w:t>
      </w:r>
    </w:p>
    <w:p w14:paraId="7E0F7FFC"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33ADD7B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3</w:t>
      </w:r>
      <w:r>
        <w:rPr>
          <w:rFonts w:ascii="Arial" w:eastAsia="仿宋" w:hAnsi="Arial" w:cs="Arial"/>
          <w:color w:val="000000"/>
          <w:kern w:val="2"/>
          <w:sz w:val="28"/>
          <w:szCs w:val="28"/>
        </w:rPr>
        <w:t>）严控建设用地规模，城乡建设用地规模得到历史性控制。以</w:t>
      </w:r>
      <w:proofErr w:type="gramStart"/>
      <w:r>
        <w:rPr>
          <w:rFonts w:ascii="Arial" w:eastAsia="仿宋" w:hAnsi="Arial" w:cs="Arial"/>
          <w:color w:val="000000"/>
          <w:kern w:val="2"/>
          <w:sz w:val="28"/>
          <w:szCs w:val="28"/>
        </w:rPr>
        <w:t>疏解非首都</w:t>
      </w:r>
      <w:proofErr w:type="gramEnd"/>
      <w:r>
        <w:rPr>
          <w:rFonts w:ascii="Arial" w:eastAsia="仿宋" w:hAnsi="Arial" w:cs="Arial"/>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w:t>
      </w:r>
      <w:r>
        <w:rPr>
          <w:rFonts w:ascii="Arial" w:eastAsia="仿宋" w:hAnsi="Arial" w:cs="Arial"/>
          <w:color w:val="000000"/>
          <w:kern w:val="2"/>
          <w:sz w:val="28"/>
          <w:szCs w:val="28"/>
        </w:rPr>
        <w:t>“</w:t>
      </w:r>
      <w:r>
        <w:rPr>
          <w:rFonts w:ascii="Arial" w:eastAsia="仿宋" w:hAnsi="Arial" w:cs="Arial"/>
          <w:color w:val="000000"/>
          <w:kern w:val="2"/>
          <w:sz w:val="28"/>
          <w:szCs w:val="28"/>
        </w:rPr>
        <w:t>十二五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51%</w:t>
      </w:r>
      <w:r>
        <w:rPr>
          <w:rFonts w:ascii="Arial" w:eastAsia="仿宋" w:hAnsi="Arial" w:cs="Arial"/>
          <w:color w:val="000000"/>
          <w:kern w:val="2"/>
          <w:sz w:val="28"/>
          <w:szCs w:val="28"/>
        </w:rPr>
        <w:t>提升至</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55%</w:t>
      </w:r>
      <w:r>
        <w:rPr>
          <w:rFonts w:ascii="Arial" w:eastAsia="仿宋" w:hAnsi="Arial" w:cs="Arial"/>
          <w:color w:val="000000"/>
          <w:kern w:val="2"/>
          <w:sz w:val="28"/>
          <w:szCs w:val="28"/>
        </w:rPr>
        <w:t>以上</w:t>
      </w:r>
      <w:r>
        <w:rPr>
          <w:rFonts w:ascii="Arial" w:eastAsia="仿宋" w:hAnsi="Arial" w:cs="Arial"/>
          <w:color w:val="000000"/>
          <w:kern w:val="2"/>
          <w:sz w:val="28"/>
          <w:szCs w:val="28"/>
        </w:rPr>
        <w:t>.</w:t>
      </w:r>
    </w:p>
    <w:p w14:paraId="2F385F9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4</w:t>
      </w:r>
      <w:r>
        <w:rPr>
          <w:rFonts w:ascii="Arial" w:eastAsia="仿宋" w:hAnsi="Arial" w:cs="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Pr>
          <w:rFonts w:ascii="Arial" w:eastAsia="仿宋" w:hAnsi="Arial" w:cs="Arial"/>
          <w:color w:val="000000"/>
          <w:kern w:val="2"/>
          <w:sz w:val="28"/>
          <w:szCs w:val="28"/>
        </w:rPr>
        <w:t>“</w:t>
      </w:r>
      <w:r>
        <w:rPr>
          <w:rFonts w:ascii="Arial" w:eastAsia="仿宋" w:hAnsi="Arial" w:cs="Arial"/>
          <w:color w:val="000000"/>
          <w:kern w:val="2"/>
          <w:sz w:val="28"/>
          <w:szCs w:val="28"/>
        </w:rPr>
        <w:t>两图合一</w:t>
      </w:r>
      <w:r>
        <w:rPr>
          <w:rFonts w:ascii="Arial" w:eastAsia="仿宋" w:hAnsi="Arial" w:cs="Arial"/>
          <w:color w:val="000000"/>
          <w:kern w:val="2"/>
          <w:sz w:val="28"/>
          <w:szCs w:val="28"/>
        </w:rPr>
        <w:t>”</w:t>
      </w:r>
      <w:r>
        <w:rPr>
          <w:rFonts w:ascii="Arial" w:eastAsia="仿宋" w:hAnsi="Arial" w:cs="Arial"/>
          <w:color w:val="000000"/>
          <w:kern w:val="2"/>
          <w:sz w:val="28"/>
          <w:szCs w:val="28"/>
        </w:rPr>
        <w:t>规划编制技术指南》《北京市国土空间规划分区和用途管制规则》等一系列政策文件，初步建立首都</w:t>
      </w:r>
      <w:r>
        <w:rPr>
          <w:rFonts w:ascii="Arial" w:eastAsia="仿宋" w:hAnsi="Arial" w:cs="Arial"/>
          <w:color w:val="000000"/>
          <w:kern w:val="2"/>
          <w:sz w:val="28"/>
          <w:szCs w:val="28"/>
        </w:rPr>
        <w:t>“</w:t>
      </w:r>
      <w:r>
        <w:rPr>
          <w:rFonts w:ascii="Arial" w:eastAsia="仿宋" w:hAnsi="Arial" w:cs="Arial"/>
          <w:color w:val="000000"/>
          <w:kern w:val="2"/>
          <w:sz w:val="28"/>
          <w:szCs w:val="28"/>
        </w:rPr>
        <w:t>三级三类</w:t>
      </w:r>
      <w:r>
        <w:rPr>
          <w:rFonts w:ascii="Arial" w:eastAsia="仿宋" w:hAnsi="Arial" w:cs="Arial"/>
          <w:color w:val="000000"/>
          <w:kern w:val="2"/>
          <w:sz w:val="28"/>
          <w:szCs w:val="28"/>
        </w:rPr>
        <w:t>”</w:t>
      </w:r>
      <w:r>
        <w:rPr>
          <w:rFonts w:ascii="Arial" w:eastAsia="仿宋" w:hAnsi="Arial" w:cs="Arial"/>
          <w:color w:val="000000"/>
          <w:kern w:val="2"/>
          <w:sz w:val="28"/>
          <w:szCs w:val="28"/>
        </w:rPr>
        <w:t>国土空间规划体系，不断完善首都国土空间治理体系，着力提高国土空间治理能力现代化水平。</w:t>
      </w:r>
    </w:p>
    <w:p w14:paraId="20B71558"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Pr>
          <w:rFonts w:ascii="Arial" w:eastAsia="仿宋" w:hAnsi="Arial" w:cs="Arial"/>
          <w:color w:val="000000"/>
          <w:kern w:val="2"/>
          <w:sz w:val="28"/>
          <w:szCs w:val="28"/>
        </w:rPr>
        <w:t>“</w:t>
      </w:r>
      <w:r>
        <w:rPr>
          <w:rFonts w:ascii="Arial" w:eastAsia="仿宋" w:hAnsi="Arial" w:cs="Arial"/>
          <w:color w:val="000000"/>
          <w:kern w:val="2"/>
          <w:sz w:val="28"/>
          <w:szCs w:val="28"/>
        </w:rPr>
        <w:t>一张底图</w:t>
      </w:r>
      <w:r>
        <w:rPr>
          <w:rFonts w:ascii="Arial" w:eastAsia="仿宋" w:hAnsi="Arial" w:cs="Arial"/>
          <w:color w:val="000000"/>
          <w:kern w:val="2"/>
          <w:sz w:val="28"/>
          <w:szCs w:val="28"/>
        </w:rPr>
        <w:t>”</w:t>
      </w:r>
      <w:r>
        <w:rPr>
          <w:rFonts w:ascii="Arial" w:eastAsia="仿宋" w:hAnsi="Arial" w:cs="Arial"/>
          <w:color w:val="000000"/>
          <w:kern w:val="2"/>
          <w:sz w:val="28"/>
          <w:szCs w:val="28"/>
        </w:rPr>
        <w:t>。建立北京市国有自然资源报告工作制度，自然资源统一调查、监测、确权、配置、评价、监督的管理制度逐步建立。</w:t>
      </w:r>
    </w:p>
    <w:p w14:paraId="2ABA986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加强推进农村土地管理改革。制定《关于进一步加强农村集体土地管理加快建立健全</w:t>
      </w:r>
      <w:r>
        <w:rPr>
          <w:rFonts w:ascii="Arial" w:eastAsia="仿宋" w:hAnsi="Arial" w:cs="Arial"/>
          <w:color w:val="000000"/>
          <w:kern w:val="2"/>
          <w:sz w:val="28"/>
          <w:szCs w:val="28"/>
        </w:rPr>
        <w:t>“</w:t>
      </w:r>
      <w:r>
        <w:rPr>
          <w:rFonts w:ascii="Arial" w:eastAsia="仿宋" w:hAnsi="Arial" w:cs="Arial"/>
          <w:color w:val="000000"/>
          <w:kern w:val="2"/>
          <w:sz w:val="28"/>
          <w:szCs w:val="28"/>
        </w:rPr>
        <w:t>村地区管</w:t>
      </w:r>
      <w:r>
        <w:rPr>
          <w:rFonts w:ascii="Arial" w:eastAsia="仿宋" w:hAnsi="Arial" w:cs="Arial"/>
          <w:color w:val="000000"/>
          <w:kern w:val="2"/>
          <w:sz w:val="28"/>
          <w:szCs w:val="28"/>
        </w:rPr>
        <w:t>”</w:t>
      </w:r>
      <w:r>
        <w:rPr>
          <w:rFonts w:ascii="Arial" w:eastAsia="仿宋" w:hAnsi="Arial" w:cs="Arial"/>
          <w:color w:val="000000"/>
          <w:kern w:val="2"/>
          <w:sz w:val="28"/>
          <w:szCs w:val="28"/>
        </w:rPr>
        <w:t>机制的指导意见》，强化区级管规划、管用途、管合同、管程序、管监督、</w:t>
      </w:r>
      <w:proofErr w:type="gramStart"/>
      <w:r>
        <w:rPr>
          <w:rFonts w:ascii="Arial" w:eastAsia="仿宋" w:hAnsi="Arial" w:cs="Arial"/>
          <w:color w:val="000000"/>
          <w:kern w:val="2"/>
          <w:sz w:val="28"/>
          <w:szCs w:val="28"/>
        </w:rPr>
        <w:t>管查处</w:t>
      </w:r>
      <w:proofErr w:type="gramEnd"/>
      <w:r>
        <w:rPr>
          <w:rFonts w:ascii="Arial" w:eastAsia="仿宋" w:hAnsi="Arial" w:cs="Arial"/>
          <w:color w:val="000000"/>
          <w:kern w:val="2"/>
          <w:sz w:val="28"/>
          <w:szCs w:val="28"/>
        </w:rPr>
        <w:t>的权责；在</w:t>
      </w:r>
      <w:proofErr w:type="gramStart"/>
      <w:r>
        <w:rPr>
          <w:rFonts w:ascii="Arial" w:eastAsia="仿宋" w:hAnsi="Arial" w:cs="Arial"/>
          <w:color w:val="000000"/>
          <w:kern w:val="2"/>
          <w:sz w:val="28"/>
          <w:szCs w:val="28"/>
        </w:rPr>
        <w:t>大兴区</w:t>
      </w:r>
      <w:proofErr w:type="gramEnd"/>
      <w:r>
        <w:rPr>
          <w:rFonts w:ascii="Arial" w:eastAsia="仿宋" w:hAnsi="Arial" w:cs="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537478AF"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3646BB4D" w14:textId="77777777" w:rsidR="00E70101" w:rsidRDefault="0060680B">
      <w:pPr>
        <w:spacing w:line="360" w:lineRule="auto"/>
        <w:ind w:firstLine="560"/>
        <w:jc w:val="both"/>
        <w:outlineLvl w:val="0"/>
      </w:pPr>
      <w:r>
        <w:rPr>
          <w:rFonts w:ascii="Arial" w:eastAsia="仿宋" w:hAnsi="Arial" w:cs="Arial"/>
          <w:color w:val="000000"/>
          <w:kern w:val="2"/>
          <w:sz w:val="28"/>
          <w:szCs w:val="28"/>
        </w:rPr>
        <w:t>2022</w:t>
      </w:r>
      <w:r>
        <w:rPr>
          <w:rFonts w:ascii="Arial" w:eastAsia="仿宋" w:hAnsi="Arial" w:cs="Arial"/>
          <w:color w:val="000000"/>
          <w:kern w:val="2"/>
          <w:sz w:val="28"/>
          <w:szCs w:val="28"/>
        </w:rPr>
        <w:t>年北京市人民政府关于印发《北京市</w:t>
      </w:r>
      <w:r>
        <w:rPr>
          <w:rFonts w:ascii="Arial" w:eastAsia="仿宋" w:hAnsi="Arial" w:cs="Arial"/>
          <w:color w:val="000000"/>
          <w:kern w:val="2"/>
          <w:sz w:val="28"/>
          <w:szCs w:val="28"/>
        </w:rPr>
        <w:t>“</w:t>
      </w:r>
      <w:r>
        <w:rPr>
          <w:rFonts w:ascii="Arial" w:eastAsia="仿宋" w:hAnsi="Arial" w:cs="Arial"/>
          <w:color w:val="000000"/>
          <w:kern w:val="2"/>
          <w:sz w:val="28"/>
          <w:szCs w:val="28"/>
        </w:rPr>
        <w:t>十四五</w:t>
      </w:r>
      <w:r>
        <w:rPr>
          <w:rFonts w:ascii="Arial" w:eastAsia="仿宋" w:hAnsi="Arial" w:cs="Arial"/>
          <w:color w:val="000000"/>
          <w:kern w:val="2"/>
          <w:sz w:val="28"/>
          <w:szCs w:val="28"/>
        </w:rPr>
        <w:t>”</w:t>
      </w:r>
      <w:r>
        <w:rPr>
          <w:rFonts w:ascii="Arial" w:eastAsia="仿宋" w:hAnsi="Arial" w:cs="Arial"/>
          <w:color w:val="000000"/>
          <w:kern w:val="2"/>
          <w:sz w:val="28"/>
          <w:szCs w:val="28"/>
        </w:rPr>
        <w:t>时期土地资源保护利用规划》的通知，要求全市继续统筹土地资源保护和利用工作，强化科学布局、整体保护、系统修复、高效利用、综合治理。</w:t>
      </w:r>
    </w:p>
    <w:p w14:paraId="528C37C3" w14:textId="77777777" w:rsidR="00E70101" w:rsidRDefault="0060680B">
      <w:pPr>
        <w:numPr>
          <w:ilvl w:val="0"/>
          <w:numId w:val="2"/>
        </w:numPr>
        <w:spacing w:line="360" w:lineRule="auto"/>
        <w:ind w:right="205"/>
        <w:jc w:val="both"/>
        <w:rPr>
          <w:rFonts w:ascii="仿宋_GB2312;仿宋" w:eastAsia="仿宋_GB2312;仿宋" w:hAnsi="仿宋_GB2312;仿宋"/>
          <w:b/>
          <w:bCs/>
          <w:color w:val="000000"/>
          <w:sz w:val="28"/>
          <w:szCs w:val="28"/>
          <w:u w:val="single"/>
        </w:rPr>
      </w:pPr>
      <w:r>
        <w:rPr>
          <w:rFonts w:ascii="仿宋_GB2312;仿宋" w:eastAsia="仿宋_GB2312;仿宋" w:hAnsi="仿宋_GB2312;仿宋"/>
          <w:b/>
          <w:bCs/>
          <w:color w:val="000000"/>
          <w:sz w:val="28"/>
          <w:szCs w:val="28"/>
          <w:u w:val="single"/>
        </w:rPr>
        <w:t>不动产管理政策：</w:t>
      </w:r>
    </w:p>
    <w:p w14:paraId="684415EB"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2022</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日，北京市住建委正式发布《北京住房和城乡建设发展白皮书（</w:t>
      </w:r>
      <w:r>
        <w:rPr>
          <w:rFonts w:ascii="Arial" w:eastAsia="仿宋" w:hAnsi="Arial" w:cs="Arial"/>
          <w:color w:val="000000"/>
          <w:kern w:val="2"/>
          <w:sz w:val="28"/>
          <w:szCs w:val="28"/>
        </w:rPr>
        <w:t>2022</w:t>
      </w:r>
      <w:r>
        <w:rPr>
          <w:rFonts w:ascii="Arial" w:eastAsia="仿宋" w:hAnsi="Arial" w:cs="Arial"/>
          <w:color w:val="000000"/>
          <w:kern w:val="2"/>
          <w:sz w:val="28"/>
          <w:szCs w:val="28"/>
        </w:rPr>
        <w:t>）》，围绕</w:t>
      </w:r>
      <w:r>
        <w:rPr>
          <w:rFonts w:ascii="Arial" w:eastAsia="仿宋" w:hAnsi="Arial" w:cs="Arial"/>
          <w:color w:val="000000"/>
          <w:kern w:val="2"/>
          <w:sz w:val="28"/>
          <w:szCs w:val="28"/>
        </w:rPr>
        <w:t>“</w:t>
      </w:r>
      <w:r>
        <w:rPr>
          <w:rFonts w:ascii="Arial" w:eastAsia="仿宋" w:hAnsi="Arial" w:cs="Arial"/>
          <w:color w:val="000000"/>
          <w:kern w:val="2"/>
          <w:sz w:val="28"/>
          <w:szCs w:val="28"/>
        </w:rPr>
        <w:t>三稳</w:t>
      </w:r>
      <w:r>
        <w:rPr>
          <w:rFonts w:ascii="Arial" w:eastAsia="仿宋" w:hAnsi="Arial" w:cs="Arial"/>
          <w:color w:val="000000"/>
          <w:kern w:val="2"/>
          <w:sz w:val="28"/>
          <w:szCs w:val="28"/>
        </w:rPr>
        <w:t>”</w:t>
      </w:r>
      <w:r>
        <w:rPr>
          <w:rFonts w:ascii="Arial" w:eastAsia="仿宋" w:hAnsi="Arial" w:cs="Arial"/>
          <w:color w:val="000000"/>
          <w:kern w:val="2"/>
          <w:sz w:val="28"/>
          <w:szCs w:val="28"/>
        </w:rPr>
        <w:t>目标下功夫，加快构建公租房等住房保障体系。</w:t>
      </w:r>
    </w:p>
    <w:p w14:paraId="1709CFA9"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2023</w:t>
      </w:r>
      <w:r>
        <w:rPr>
          <w:rFonts w:ascii="Arial" w:eastAsia="仿宋" w:hAnsi="Arial" w:cs="Arial"/>
          <w:color w:val="000000"/>
          <w:kern w:val="2"/>
          <w:sz w:val="28"/>
          <w:szCs w:val="28"/>
        </w:rPr>
        <w:t>年</w:t>
      </w:r>
      <w:r>
        <w:rPr>
          <w:rFonts w:ascii="Arial" w:eastAsia="仿宋" w:hAnsi="Arial" w:cs="Arial"/>
          <w:color w:val="000000"/>
          <w:kern w:val="2"/>
          <w:sz w:val="28"/>
          <w:szCs w:val="28"/>
        </w:rPr>
        <w:t>4</w:t>
      </w:r>
      <w:r>
        <w:rPr>
          <w:rFonts w:ascii="Arial" w:eastAsia="仿宋" w:hAnsi="Arial" w:cs="Arial"/>
          <w:color w:val="000000"/>
          <w:kern w:val="2"/>
          <w:sz w:val="28"/>
          <w:szCs w:val="28"/>
        </w:rPr>
        <w:t>月</w:t>
      </w:r>
      <w:r>
        <w:rPr>
          <w:rFonts w:ascii="Arial" w:eastAsia="仿宋" w:hAnsi="Arial" w:cs="Arial"/>
          <w:color w:val="000000"/>
          <w:kern w:val="2"/>
          <w:sz w:val="28"/>
          <w:szCs w:val="28"/>
        </w:rPr>
        <w:t>25</w:t>
      </w:r>
      <w:r>
        <w:rPr>
          <w:rFonts w:ascii="Arial" w:eastAsia="仿宋" w:hAnsi="Arial" w:cs="Arial"/>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6E704076" w14:textId="77777777" w:rsidR="00E70101" w:rsidRDefault="0060680B">
      <w:pPr>
        <w:spacing w:line="360" w:lineRule="auto"/>
        <w:ind w:firstLine="560"/>
        <w:jc w:val="both"/>
        <w:outlineLvl w:val="0"/>
      </w:pPr>
      <w:r>
        <w:rPr>
          <w:rFonts w:ascii="Arial" w:eastAsia="仿宋" w:hAnsi="Arial" w:cs="Arial"/>
          <w:color w:val="000000"/>
          <w:kern w:val="2"/>
          <w:sz w:val="28"/>
          <w:szCs w:val="28"/>
        </w:rPr>
        <w:t>2024</w:t>
      </w:r>
      <w:r>
        <w:rPr>
          <w:rFonts w:ascii="Arial" w:eastAsia="仿宋" w:hAnsi="Arial" w:cs="Arial"/>
          <w:color w:val="000000"/>
          <w:kern w:val="2"/>
          <w:sz w:val="28"/>
          <w:szCs w:val="28"/>
        </w:rPr>
        <w:t>年</w:t>
      </w:r>
      <w:r>
        <w:rPr>
          <w:rFonts w:ascii="Arial" w:eastAsia="仿宋" w:hAnsi="Arial" w:cs="Arial"/>
          <w:color w:val="000000"/>
          <w:kern w:val="2"/>
          <w:sz w:val="28"/>
          <w:szCs w:val="28"/>
        </w:rPr>
        <w:t>1</w:t>
      </w:r>
      <w:r>
        <w:rPr>
          <w:rFonts w:ascii="Arial" w:eastAsia="仿宋" w:hAnsi="Arial" w:cs="Arial"/>
          <w:color w:val="000000"/>
          <w:kern w:val="2"/>
          <w:sz w:val="28"/>
          <w:szCs w:val="28"/>
        </w:rPr>
        <w:t>月</w:t>
      </w:r>
      <w:r>
        <w:rPr>
          <w:rFonts w:ascii="Arial" w:eastAsia="仿宋" w:hAnsi="Arial" w:cs="Arial"/>
          <w:color w:val="000000"/>
          <w:kern w:val="2"/>
          <w:sz w:val="28"/>
          <w:szCs w:val="28"/>
        </w:rPr>
        <w:t>17</w:t>
      </w:r>
      <w:r>
        <w:rPr>
          <w:rFonts w:ascii="Arial" w:eastAsia="仿宋" w:hAnsi="Arial" w:cs="Arial"/>
          <w:color w:val="000000"/>
          <w:kern w:val="2"/>
          <w:sz w:val="28"/>
          <w:szCs w:val="28"/>
        </w:rPr>
        <w:t>日，北京市规划和自然资源委员会、北京市发展和改革委员会联合发布《北京市</w:t>
      </w:r>
      <w:r>
        <w:rPr>
          <w:rFonts w:ascii="Arial" w:eastAsia="仿宋" w:hAnsi="Arial" w:cs="Arial"/>
          <w:color w:val="000000"/>
          <w:kern w:val="2"/>
          <w:sz w:val="28"/>
          <w:szCs w:val="28"/>
        </w:rPr>
        <w:t>2024</w:t>
      </w:r>
      <w:r>
        <w:rPr>
          <w:rFonts w:ascii="Arial" w:eastAsia="仿宋" w:hAnsi="Arial" w:cs="Arial"/>
          <w:color w:val="000000"/>
          <w:kern w:val="2"/>
          <w:sz w:val="28"/>
          <w:szCs w:val="28"/>
        </w:rPr>
        <w:t>年度建设用地供应计划》，</w:t>
      </w:r>
      <w:r>
        <w:rPr>
          <w:rFonts w:ascii="Arial" w:eastAsia="仿宋" w:hAnsi="Arial" w:cs="Arial"/>
          <w:color w:val="000000"/>
          <w:kern w:val="2"/>
          <w:sz w:val="28"/>
          <w:szCs w:val="28"/>
        </w:rPr>
        <w:t xml:space="preserve">2024 </w:t>
      </w:r>
      <w:r>
        <w:rPr>
          <w:rFonts w:ascii="Arial" w:eastAsia="仿宋" w:hAnsi="Arial" w:cs="Arial"/>
          <w:color w:val="000000"/>
          <w:kern w:val="2"/>
          <w:sz w:val="28"/>
          <w:szCs w:val="28"/>
        </w:rPr>
        <w:t>年计划安排建设用地供应总量</w:t>
      </w:r>
      <w:r>
        <w:rPr>
          <w:rFonts w:ascii="Arial" w:eastAsia="仿宋" w:hAnsi="Arial" w:cs="Arial"/>
          <w:color w:val="000000"/>
          <w:kern w:val="2"/>
          <w:sz w:val="28"/>
          <w:szCs w:val="28"/>
        </w:rPr>
        <w:t>3240</w:t>
      </w:r>
      <w:r>
        <w:rPr>
          <w:rFonts w:ascii="Arial" w:eastAsia="仿宋" w:hAnsi="Arial" w:cs="Arial"/>
          <w:color w:val="000000"/>
          <w:kern w:val="2"/>
          <w:sz w:val="28"/>
          <w:szCs w:val="28"/>
        </w:rPr>
        <w:t>至</w:t>
      </w:r>
      <w:r>
        <w:rPr>
          <w:rFonts w:ascii="Arial" w:eastAsia="仿宋" w:hAnsi="Arial" w:cs="Arial"/>
          <w:color w:val="000000"/>
          <w:kern w:val="2"/>
          <w:sz w:val="28"/>
          <w:szCs w:val="28"/>
        </w:rPr>
        <w:t>3660</w:t>
      </w:r>
      <w:r>
        <w:rPr>
          <w:rFonts w:ascii="Arial" w:eastAsia="仿宋" w:hAnsi="Arial" w:cs="Arial"/>
          <w:color w:val="000000"/>
          <w:kern w:val="2"/>
          <w:sz w:val="28"/>
          <w:szCs w:val="28"/>
        </w:rPr>
        <w:t>公顷，较</w:t>
      </w:r>
      <w:r>
        <w:rPr>
          <w:rFonts w:ascii="Arial" w:eastAsia="仿宋" w:hAnsi="Arial" w:cs="Arial"/>
          <w:color w:val="000000"/>
          <w:kern w:val="2"/>
          <w:sz w:val="28"/>
          <w:szCs w:val="28"/>
        </w:rPr>
        <w:t>2023</w:t>
      </w:r>
      <w:r>
        <w:rPr>
          <w:rFonts w:ascii="Arial" w:eastAsia="仿宋" w:hAnsi="Arial" w:cs="Arial"/>
          <w:color w:val="000000"/>
          <w:kern w:val="2"/>
          <w:sz w:val="28"/>
          <w:szCs w:val="28"/>
        </w:rPr>
        <w:t>年增加</w:t>
      </w:r>
      <w:r>
        <w:rPr>
          <w:rFonts w:ascii="Arial" w:eastAsia="仿宋" w:hAnsi="Arial" w:cs="Arial"/>
          <w:color w:val="000000"/>
          <w:kern w:val="2"/>
          <w:sz w:val="28"/>
          <w:szCs w:val="28"/>
        </w:rPr>
        <w:t>30</w:t>
      </w:r>
      <w:r>
        <w:rPr>
          <w:rFonts w:ascii="Arial" w:eastAsia="仿宋" w:hAnsi="Arial" w:cs="Arial"/>
          <w:color w:val="000000"/>
          <w:kern w:val="2"/>
          <w:sz w:val="28"/>
          <w:szCs w:val="28"/>
        </w:rPr>
        <w:t>公顷（全部增加在特交水用地）。住宅用地安排</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1060</w:t>
      </w:r>
      <w:r>
        <w:rPr>
          <w:rFonts w:ascii="Arial" w:eastAsia="仿宋" w:hAnsi="Arial" w:cs="Arial"/>
          <w:color w:val="000000"/>
          <w:kern w:val="2"/>
          <w:sz w:val="28"/>
          <w:szCs w:val="28"/>
        </w:rPr>
        <w:t>公顷，与去年持平。本次供地计划保持供应总量、生产生活结构基本稳定，重点在优空间、调结构、</w:t>
      </w:r>
      <w:proofErr w:type="gramStart"/>
      <w:r>
        <w:rPr>
          <w:rFonts w:ascii="Arial" w:eastAsia="仿宋" w:hAnsi="Arial" w:cs="Arial"/>
          <w:color w:val="000000"/>
          <w:kern w:val="2"/>
          <w:sz w:val="28"/>
          <w:szCs w:val="28"/>
        </w:rPr>
        <w:t>提质量</w:t>
      </w:r>
      <w:proofErr w:type="gramEnd"/>
      <w:r>
        <w:rPr>
          <w:rFonts w:ascii="Arial" w:eastAsia="仿宋" w:hAnsi="Arial" w:cs="Arial"/>
          <w:color w:val="000000"/>
          <w:kern w:val="2"/>
          <w:sz w:val="28"/>
          <w:szCs w:val="28"/>
        </w:rPr>
        <w:t>上积极进取，全力稳投资、保增长、稳预期。在空间布局上，持续强化</w:t>
      </w:r>
      <w:r>
        <w:rPr>
          <w:rFonts w:ascii="Arial" w:eastAsia="仿宋" w:hAnsi="Arial" w:cs="Arial"/>
          <w:color w:val="000000"/>
          <w:kern w:val="2"/>
          <w:sz w:val="28"/>
          <w:szCs w:val="28"/>
        </w:rPr>
        <w:t>“</w:t>
      </w:r>
      <w:proofErr w:type="gramStart"/>
      <w:r>
        <w:rPr>
          <w:rFonts w:ascii="Arial" w:eastAsia="仿宋" w:hAnsi="Arial" w:cs="Arial"/>
          <w:color w:val="000000"/>
          <w:kern w:val="2"/>
          <w:sz w:val="28"/>
          <w:szCs w:val="28"/>
        </w:rPr>
        <w:t>一</w:t>
      </w:r>
      <w:proofErr w:type="gramEnd"/>
      <w:r>
        <w:rPr>
          <w:rFonts w:ascii="Arial" w:eastAsia="仿宋" w:hAnsi="Arial" w:cs="Arial"/>
          <w:color w:val="000000"/>
          <w:kern w:val="2"/>
          <w:sz w:val="28"/>
          <w:szCs w:val="28"/>
        </w:rPr>
        <w:t>核一主一副、两轴多点一区</w:t>
      </w:r>
      <w:r>
        <w:rPr>
          <w:rFonts w:ascii="Arial" w:eastAsia="仿宋" w:hAnsi="Arial" w:cs="Arial"/>
          <w:color w:val="000000"/>
          <w:kern w:val="2"/>
          <w:sz w:val="28"/>
          <w:szCs w:val="28"/>
        </w:rPr>
        <w:t>”</w:t>
      </w:r>
      <w:r>
        <w:rPr>
          <w:rFonts w:ascii="Arial" w:eastAsia="仿宋" w:hAnsi="Arial" w:cs="Arial"/>
          <w:color w:val="000000"/>
          <w:kern w:val="2"/>
          <w:sz w:val="28"/>
          <w:szCs w:val="28"/>
        </w:rPr>
        <w:t>圈层协同的城市空间结构，着力推进中心城区功能疏解提升、重点推进资源向城市副中心多点地区投放、平原新城梯次承接，构建起北京新的城市发展格局，土地供应向重点功能区、轨道站点周边、南部地区等重点发展空间倾斜。中心城区（含核心区）土地供应规模约占全市土地供应总量</w:t>
      </w:r>
      <w:r>
        <w:rPr>
          <w:rFonts w:ascii="Arial" w:eastAsia="仿宋" w:hAnsi="Arial" w:cs="Arial"/>
          <w:color w:val="000000"/>
          <w:kern w:val="2"/>
          <w:sz w:val="28"/>
          <w:szCs w:val="28"/>
        </w:rPr>
        <w:t>25%</w:t>
      </w:r>
      <w:r>
        <w:rPr>
          <w:rFonts w:ascii="Arial" w:eastAsia="仿宋" w:hAnsi="Arial" w:cs="Arial"/>
          <w:color w:val="000000"/>
          <w:kern w:val="2"/>
          <w:sz w:val="28"/>
          <w:szCs w:val="28"/>
        </w:rPr>
        <w:t>，对比过去五年，</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2024</w:t>
      </w:r>
      <w:r>
        <w:rPr>
          <w:rFonts w:ascii="Arial" w:eastAsia="仿宋" w:hAnsi="Arial" w:cs="Arial"/>
          <w:color w:val="000000"/>
          <w:kern w:val="2"/>
          <w:sz w:val="28"/>
          <w:szCs w:val="28"/>
        </w:rPr>
        <w:t>年中心城区供地占比是近年最高水平（</w:t>
      </w:r>
      <w:r>
        <w:rPr>
          <w:rFonts w:ascii="Arial" w:eastAsia="仿宋" w:hAnsi="Arial" w:cs="Arial"/>
          <w:color w:val="000000"/>
          <w:kern w:val="2"/>
          <w:sz w:val="28"/>
          <w:szCs w:val="28"/>
        </w:rPr>
        <w:t>2022</w:t>
      </w:r>
      <w:r>
        <w:rPr>
          <w:rFonts w:ascii="Arial" w:eastAsia="仿宋" w:hAnsi="Arial" w:cs="Arial"/>
          <w:color w:val="000000"/>
          <w:kern w:val="2"/>
          <w:sz w:val="28"/>
          <w:szCs w:val="28"/>
        </w:rPr>
        <w:t>、</w:t>
      </w:r>
      <w:r>
        <w:rPr>
          <w:rFonts w:ascii="Arial" w:eastAsia="仿宋" w:hAnsi="Arial" w:cs="Arial"/>
          <w:color w:val="000000"/>
          <w:kern w:val="2"/>
          <w:sz w:val="28"/>
          <w:szCs w:val="28"/>
        </w:rPr>
        <w:t>2023</w:t>
      </w:r>
      <w:r>
        <w:rPr>
          <w:rFonts w:ascii="Arial" w:eastAsia="仿宋" w:hAnsi="Arial" w:cs="Arial"/>
          <w:color w:val="000000"/>
          <w:kern w:val="2"/>
          <w:sz w:val="28"/>
          <w:szCs w:val="28"/>
        </w:rPr>
        <w:t>年分别为</w:t>
      </w:r>
      <w:r>
        <w:rPr>
          <w:rFonts w:ascii="Arial" w:eastAsia="仿宋" w:hAnsi="Arial" w:cs="Arial"/>
          <w:color w:val="000000"/>
          <w:kern w:val="2"/>
          <w:sz w:val="28"/>
          <w:szCs w:val="28"/>
        </w:rPr>
        <w:t>23%</w:t>
      </w:r>
      <w:r>
        <w:rPr>
          <w:rFonts w:ascii="Arial" w:eastAsia="仿宋" w:hAnsi="Arial" w:cs="Arial"/>
          <w:color w:val="000000"/>
          <w:kern w:val="2"/>
          <w:sz w:val="28"/>
          <w:szCs w:val="28"/>
        </w:rPr>
        <w:t>和</w:t>
      </w:r>
      <w:r>
        <w:rPr>
          <w:rFonts w:ascii="Arial" w:eastAsia="仿宋" w:hAnsi="Arial" w:cs="Arial"/>
          <w:color w:val="000000"/>
          <w:kern w:val="2"/>
          <w:sz w:val="28"/>
          <w:szCs w:val="28"/>
        </w:rPr>
        <w:t>20%</w:t>
      </w:r>
      <w:r>
        <w:rPr>
          <w:rFonts w:ascii="Arial" w:eastAsia="仿宋" w:hAnsi="Arial" w:cs="Arial"/>
          <w:color w:val="000000"/>
          <w:kern w:val="2"/>
          <w:sz w:val="28"/>
          <w:szCs w:val="28"/>
        </w:rPr>
        <w:t>），预计</w:t>
      </w:r>
      <w:r>
        <w:rPr>
          <w:rFonts w:ascii="Arial" w:eastAsia="仿宋" w:hAnsi="Arial" w:cs="Arial"/>
          <w:color w:val="000000"/>
          <w:kern w:val="2"/>
          <w:sz w:val="28"/>
          <w:szCs w:val="28"/>
        </w:rPr>
        <w:t>2024</w:t>
      </w:r>
      <w:r>
        <w:rPr>
          <w:rFonts w:ascii="Arial" w:eastAsia="仿宋" w:hAnsi="Arial" w:cs="Arial"/>
          <w:color w:val="000000"/>
          <w:kern w:val="2"/>
          <w:sz w:val="28"/>
          <w:szCs w:val="28"/>
        </w:rPr>
        <w:t>年北京土地市场供应宗地质量将有望进一步提升。从用地结构上，</w:t>
      </w:r>
      <w:r>
        <w:rPr>
          <w:rFonts w:ascii="Arial" w:eastAsia="仿宋" w:hAnsi="Arial" w:cs="Arial"/>
          <w:color w:val="000000"/>
          <w:kern w:val="2"/>
          <w:sz w:val="28"/>
          <w:szCs w:val="28"/>
        </w:rPr>
        <w:t>2024</w:t>
      </w:r>
      <w:r>
        <w:rPr>
          <w:rFonts w:ascii="Arial" w:eastAsia="仿宋" w:hAnsi="Arial" w:cs="Arial"/>
          <w:color w:val="000000"/>
          <w:kern w:val="2"/>
          <w:sz w:val="28"/>
          <w:szCs w:val="28"/>
        </w:rPr>
        <w:t>年安排产业用地</w:t>
      </w:r>
      <w:r>
        <w:rPr>
          <w:rFonts w:ascii="Arial" w:eastAsia="仿宋" w:hAnsi="Arial" w:cs="Arial"/>
          <w:color w:val="000000"/>
          <w:kern w:val="2"/>
          <w:sz w:val="28"/>
          <w:szCs w:val="28"/>
        </w:rPr>
        <w:t>510-530</w:t>
      </w:r>
      <w:r>
        <w:rPr>
          <w:rFonts w:ascii="Arial" w:eastAsia="仿宋" w:hAnsi="Arial" w:cs="Arial"/>
          <w:color w:val="000000"/>
          <w:kern w:val="2"/>
          <w:sz w:val="28"/>
          <w:szCs w:val="28"/>
        </w:rPr>
        <w:t>公顷（研发用地</w:t>
      </w:r>
      <w:r>
        <w:rPr>
          <w:rFonts w:ascii="Arial" w:eastAsia="仿宋" w:hAnsi="Arial" w:cs="Arial"/>
          <w:color w:val="000000"/>
          <w:kern w:val="2"/>
          <w:sz w:val="28"/>
          <w:szCs w:val="28"/>
        </w:rPr>
        <w:t>80</w:t>
      </w:r>
      <w:r>
        <w:rPr>
          <w:rFonts w:ascii="Arial" w:eastAsia="仿宋" w:hAnsi="Arial" w:cs="Arial"/>
          <w:color w:val="000000"/>
          <w:kern w:val="2"/>
          <w:sz w:val="28"/>
          <w:szCs w:val="28"/>
        </w:rPr>
        <w:t>公顷，工业用地</w:t>
      </w:r>
      <w:r>
        <w:rPr>
          <w:rFonts w:ascii="Arial" w:eastAsia="仿宋" w:hAnsi="Arial" w:cs="Arial"/>
          <w:color w:val="000000"/>
          <w:kern w:val="2"/>
          <w:sz w:val="28"/>
          <w:szCs w:val="28"/>
        </w:rPr>
        <w:t>200</w:t>
      </w:r>
      <w:r>
        <w:rPr>
          <w:rFonts w:ascii="Arial" w:eastAsia="仿宋" w:hAnsi="Arial" w:cs="Arial"/>
          <w:color w:val="000000"/>
          <w:kern w:val="2"/>
          <w:sz w:val="28"/>
          <w:szCs w:val="28"/>
        </w:rPr>
        <w:t>公顷，仓储用地</w:t>
      </w:r>
      <w:r>
        <w:rPr>
          <w:rFonts w:ascii="Arial" w:eastAsia="仿宋" w:hAnsi="Arial" w:cs="Arial"/>
          <w:color w:val="000000"/>
          <w:kern w:val="2"/>
          <w:sz w:val="28"/>
          <w:szCs w:val="28"/>
        </w:rPr>
        <w:t>100</w:t>
      </w:r>
      <w:r>
        <w:rPr>
          <w:rFonts w:ascii="Arial" w:eastAsia="仿宋" w:hAnsi="Arial" w:cs="Arial"/>
          <w:color w:val="000000"/>
          <w:kern w:val="2"/>
          <w:sz w:val="28"/>
          <w:szCs w:val="28"/>
        </w:rPr>
        <w:t>公顷，商服用地</w:t>
      </w:r>
      <w:r>
        <w:rPr>
          <w:rFonts w:ascii="Arial" w:eastAsia="仿宋" w:hAnsi="Arial" w:cs="Arial"/>
          <w:color w:val="000000"/>
          <w:kern w:val="2"/>
          <w:sz w:val="28"/>
          <w:szCs w:val="28"/>
        </w:rPr>
        <w:t>80</w:t>
      </w:r>
      <w:r>
        <w:rPr>
          <w:rFonts w:ascii="Arial" w:eastAsia="仿宋" w:hAnsi="Arial" w:cs="Arial"/>
          <w:color w:val="000000"/>
          <w:kern w:val="2"/>
          <w:sz w:val="28"/>
          <w:szCs w:val="28"/>
        </w:rPr>
        <w:t>公顷，乡村产业用地</w:t>
      </w:r>
      <w:r>
        <w:rPr>
          <w:rFonts w:ascii="Arial" w:eastAsia="仿宋" w:hAnsi="Arial" w:cs="Arial"/>
          <w:color w:val="000000"/>
          <w:kern w:val="2"/>
          <w:sz w:val="28"/>
          <w:szCs w:val="28"/>
        </w:rPr>
        <w:t>50-70</w:t>
      </w:r>
      <w:r>
        <w:rPr>
          <w:rFonts w:ascii="Arial" w:eastAsia="仿宋" w:hAnsi="Arial" w:cs="Arial"/>
          <w:color w:val="000000"/>
          <w:kern w:val="2"/>
          <w:sz w:val="28"/>
          <w:szCs w:val="28"/>
        </w:rPr>
        <w:t>公顷）；住宅用地</w:t>
      </w:r>
      <w:r>
        <w:rPr>
          <w:rFonts w:ascii="Arial" w:eastAsia="仿宋" w:hAnsi="Arial" w:cs="Arial"/>
          <w:color w:val="000000"/>
          <w:kern w:val="2"/>
          <w:sz w:val="28"/>
          <w:szCs w:val="28"/>
        </w:rPr>
        <w:t>1060</w:t>
      </w:r>
      <w:r>
        <w:rPr>
          <w:rFonts w:ascii="Arial" w:eastAsia="仿宋" w:hAnsi="Arial" w:cs="Arial"/>
          <w:color w:val="000000"/>
          <w:kern w:val="2"/>
          <w:sz w:val="28"/>
          <w:szCs w:val="28"/>
        </w:rPr>
        <w:t>公顷，其中安排商品住宅用地供应不低于</w:t>
      </w:r>
      <w:r>
        <w:rPr>
          <w:rFonts w:ascii="Arial" w:eastAsia="仿宋" w:hAnsi="Arial" w:cs="Arial"/>
          <w:color w:val="000000"/>
          <w:kern w:val="2"/>
          <w:sz w:val="28"/>
          <w:szCs w:val="28"/>
        </w:rPr>
        <w:t>300</w:t>
      </w:r>
      <w:r>
        <w:rPr>
          <w:rFonts w:ascii="Arial" w:eastAsia="仿宋" w:hAnsi="Arial" w:cs="Arial"/>
          <w:color w:val="000000"/>
          <w:kern w:val="2"/>
          <w:sz w:val="28"/>
          <w:szCs w:val="28"/>
        </w:rPr>
        <w:t>公顷，安排保障性住房用地</w:t>
      </w:r>
      <w:r>
        <w:rPr>
          <w:rFonts w:ascii="Arial" w:eastAsia="仿宋" w:hAnsi="Arial" w:cs="Arial"/>
          <w:color w:val="000000"/>
          <w:kern w:val="2"/>
          <w:sz w:val="28"/>
          <w:szCs w:val="28"/>
        </w:rPr>
        <w:t>460</w:t>
      </w:r>
      <w:r>
        <w:rPr>
          <w:rFonts w:ascii="Arial" w:eastAsia="仿宋" w:hAnsi="Arial" w:cs="Arial"/>
          <w:color w:val="000000"/>
          <w:kern w:val="2"/>
          <w:sz w:val="28"/>
          <w:szCs w:val="28"/>
        </w:rPr>
        <w:t>公顷。</w:t>
      </w:r>
      <w:r>
        <w:rPr>
          <w:rFonts w:ascii="Arial" w:eastAsia="仿宋" w:hAnsi="Arial" w:cs="Arial"/>
          <w:color w:val="000000"/>
          <w:kern w:val="2"/>
          <w:sz w:val="28"/>
          <w:szCs w:val="28"/>
        </w:rPr>
        <w:t>2024</w:t>
      </w:r>
      <w:r>
        <w:rPr>
          <w:rFonts w:ascii="Arial" w:eastAsia="仿宋" w:hAnsi="Arial" w:cs="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Pr>
          <w:rFonts w:ascii="Arial" w:eastAsia="仿宋" w:hAnsi="Arial" w:cs="Arial"/>
          <w:color w:val="000000"/>
          <w:kern w:val="2"/>
          <w:sz w:val="28"/>
          <w:szCs w:val="28"/>
        </w:rPr>
        <w:t>-</w:t>
      </w:r>
      <w:r>
        <w:rPr>
          <w:rFonts w:ascii="Arial" w:eastAsia="仿宋" w:hAnsi="Arial" w:cs="Arial"/>
          <w:color w:val="000000"/>
          <w:kern w:val="2"/>
          <w:sz w:val="28"/>
          <w:szCs w:val="28"/>
        </w:rPr>
        <w:t>大红门地区等服务业聚集区的产业用地供应将减少或者告一段落。</w:t>
      </w:r>
    </w:p>
    <w:p w14:paraId="6365E64D"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不动产市场状况</w:t>
      </w:r>
    </w:p>
    <w:p w14:paraId="5741067E"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）土地供应及成交</w:t>
      </w:r>
    </w:p>
    <w:p w14:paraId="74A2E68A"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年北京计划供应产业用地</w:t>
      </w:r>
      <w:r>
        <w:rPr>
          <w:rFonts w:ascii="Arial" w:eastAsia="仿宋_GB2312;仿宋" w:hAnsi="Arial" w:cs="Arial"/>
          <w:bCs/>
          <w:color w:val="000000"/>
          <w:sz w:val="28"/>
          <w:szCs w:val="28"/>
        </w:rPr>
        <w:t>510~530</w:t>
      </w:r>
      <w:r>
        <w:rPr>
          <w:rFonts w:ascii="Arial" w:eastAsia="仿宋_GB2312;仿宋" w:hAnsi="Arial" w:cs="Arial"/>
          <w:bCs/>
          <w:color w:val="000000"/>
          <w:sz w:val="28"/>
          <w:szCs w:val="28"/>
        </w:rPr>
        <w:t>公顷，其中研发用地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公顷、工业用地</w:t>
      </w:r>
      <w:r>
        <w:rPr>
          <w:rFonts w:ascii="Arial" w:eastAsia="仿宋_GB2312;仿宋" w:hAnsi="Arial" w:cs="Arial"/>
          <w:bCs/>
          <w:color w:val="000000"/>
          <w:sz w:val="28"/>
          <w:szCs w:val="28"/>
        </w:rPr>
        <w:t>200</w:t>
      </w:r>
      <w:r>
        <w:rPr>
          <w:rFonts w:ascii="Arial" w:eastAsia="仿宋_GB2312;仿宋" w:hAnsi="Arial" w:cs="Arial"/>
          <w:bCs/>
          <w:color w:val="000000"/>
          <w:sz w:val="28"/>
          <w:szCs w:val="28"/>
        </w:rPr>
        <w:t>公顷、仓储用地</w:t>
      </w:r>
      <w:r>
        <w:rPr>
          <w:rFonts w:ascii="Arial" w:eastAsia="仿宋_GB2312;仿宋" w:hAnsi="Arial" w:cs="Arial"/>
          <w:bCs/>
          <w:color w:val="000000"/>
          <w:sz w:val="28"/>
          <w:szCs w:val="28"/>
        </w:rPr>
        <w:t>100</w:t>
      </w:r>
      <w:r>
        <w:rPr>
          <w:rFonts w:ascii="Arial" w:eastAsia="仿宋_GB2312;仿宋" w:hAnsi="Arial" w:cs="Arial"/>
          <w:bCs/>
          <w:color w:val="000000"/>
          <w:sz w:val="28"/>
          <w:szCs w:val="28"/>
        </w:rPr>
        <w:t>公顷、商服用地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公顷，乡村产业用地</w:t>
      </w:r>
      <w:r>
        <w:rPr>
          <w:rFonts w:ascii="Arial" w:eastAsia="仿宋_GB2312;仿宋" w:hAnsi="Arial" w:cs="Arial"/>
          <w:bCs/>
          <w:color w:val="000000"/>
          <w:sz w:val="28"/>
          <w:szCs w:val="28"/>
        </w:rPr>
        <w:t>50-70</w:t>
      </w:r>
      <w:r>
        <w:rPr>
          <w:rFonts w:ascii="Arial" w:eastAsia="仿宋_GB2312;仿宋" w:hAnsi="Arial" w:cs="Arial"/>
          <w:bCs/>
          <w:color w:val="000000"/>
          <w:sz w:val="28"/>
          <w:szCs w:val="28"/>
        </w:rPr>
        <w:t>公顷。按照不低于</w:t>
      </w:r>
      <w:r>
        <w:rPr>
          <w:rFonts w:ascii="Arial" w:eastAsia="仿宋_GB2312;仿宋" w:hAnsi="Arial" w:cs="Arial"/>
          <w:bCs/>
          <w:color w:val="000000"/>
          <w:sz w:val="28"/>
          <w:szCs w:val="28"/>
        </w:rPr>
        <w:t>80%</w:t>
      </w:r>
      <w:r>
        <w:rPr>
          <w:rFonts w:ascii="Arial" w:eastAsia="仿宋_GB2312;仿宋" w:hAnsi="Arial" w:cs="Arial"/>
          <w:bCs/>
          <w:color w:val="000000"/>
          <w:sz w:val="28"/>
          <w:szCs w:val="28"/>
        </w:rPr>
        <w:t>的比例推动产业用地向产业发展重点领域、重点功能区集聚，</w:t>
      </w:r>
      <w:proofErr w:type="gramStart"/>
      <w:r>
        <w:rPr>
          <w:rFonts w:ascii="Arial" w:eastAsia="仿宋_GB2312;仿宋" w:hAnsi="Arial" w:cs="Arial"/>
          <w:bCs/>
          <w:color w:val="000000"/>
          <w:sz w:val="28"/>
          <w:szCs w:val="28"/>
        </w:rPr>
        <w:t>支持壮大</w:t>
      </w:r>
      <w:proofErr w:type="gramEnd"/>
      <w:r>
        <w:rPr>
          <w:rFonts w:ascii="Arial" w:eastAsia="仿宋_GB2312;仿宋" w:hAnsi="Arial" w:cs="Arial"/>
          <w:bCs/>
          <w:color w:val="000000"/>
          <w:sz w:val="28"/>
          <w:szCs w:val="28"/>
        </w:rPr>
        <w:t>高精尖产业集聚势能，加快供应智能制造、产业互联网、医药健康等产业用地。重点向服务国际科技创新中心、国家服务业扩大开放综合示范区和中国（北京）自由贸易试验区、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三城一区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、中关村国家自主创新示范区、临空经济区等重点功能区精准配置产业用地。</w:t>
      </w:r>
    </w:p>
    <w:p w14:paraId="28732303"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年一季度，北京市推出工业用地（按公告时间）共计</w:t>
      </w:r>
      <w:r>
        <w:rPr>
          <w:rFonts w:ascii="Arial" w:eastAsia="仿宋_GB2312;仿宋" w:hAnsi="Arial" w:cs="Arial"/>
          <w:bCs/>
          <w:color w:val="000000"/>
          <w:sz w:val="28"/>
          <w:szCs w:val="28"/>
        </w:rPr>
        <w:t>4</w:t>
      </w:r>
      <w:r>
        <w:rPr>
          <w:rFonts w:ascii="Arial" w:eastAsia="仿宋_GB2312;仿宋" w:hAnsi="Arial" w:cs="Arial"/>
          <w:bCs/>
          <w:color w:val="000000"/>
          <w:sz w:val="28"/>
          <w:szCs w:val="28"/>
        </w:rPr>
        <w:t>宗，推出建设用地面积</w:t>
      </w:r>
      <w:r>
        <w:rPr>
          <w:rFonts w:ascii="Arial" w:eastAsia="仿宋_GB2312;仿宋" w:hAnsi="Arial" w:cs="Arial"/>
          <w:bCs/>
          <w:color w:val="000000"/>
          <w:sz w:val="28"/>
          <w:szCs w:val="28"/>
        </w:rPr>
        <w:t>26.77</w:t>
      </w:r>
      <w:r>
        <w:rPr>
          <w:rFonts w:ascii="Arial" w:eastAsia="仿宋_GB2312;仿宋" w:hAnsi="Arial" w:cs="Arial"/>
          <w:bCs/>
          <w:color w:val="000000"/>
          <w:sz w:val="28"/>
          <w:szCs w:val="28"/>
        </w:rPr>
        <w:t>万平方米；实际成交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宗，成交建设用地面积</w:t>
      </w:r>
      <w:r>
        <w:rPr>
          <w:rFonts w:ascii="Arial" w:eastAsia="仿宋_GB2312;仿宋" w:hAnsi="Arial" w:cs="Arial"/>
          <w:bCs/>
          <w:color w:val="000000"/>
          <w:sz w:val="28"/>
          <w:szCs w:val="28"/>
        </w:rPr>
        <w:t>22.99</w:t>
      </w:r>
      <w:r>
        <w:rPr>
          <w:rFonts w:ascii="Arial" w:eastAsia="仿宋_GB2312;仿宋" w:hAnsi="Arial" w:cs="Arial"/>
          <w:bCs/>
          <w:color w:val="000000"/>
          <w:sz w:val="28"/>
          <w:szCs w:val="28"/>
        </w:rPr>
        <w:t>万平方米。</w:t>
      </w:r>
    </w:p>
    <w:p w14:paraId="6412ECB3" w14:textId="77777777" w:rsidR="00E70101" w:rsidRDefault="0060680B">
      <w:pPr>
        <w:spacing w:line="360" w:lineRule="auto"/>
        <w:jc w:val="center"/>
        <w:rPr>
          <w:rFonts w:ascii="Arial" w:eastAsia="仿宋_GB2312;仿宋" w:hAnsi="Arial" w:cs="Arial"/>
          <w:bCs/>
          <w:color w:val="000000"/>
          <w:sz w:val="28"/>
          <w:szCs w:val="28"/>
        </w:rPr>
      </w:pPr>
      <w:r>
        <w:rPr>
          <w:noProof/>
        </w:rPr>
        <w:drawing>
          <wp:inline distT="0" distB="0" distL="0" distR="0" wp14:anchorId="04431CB0" wp14:editId="1DB03BBF">
            <wp:extent cx="5900420" cy="2696210"/>
            <wp:effectExtent l="0" t="0" r="0" b="0"/>
            <wp:docPr id="27"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像6"/>
                    <pic:cNvPicPr>
                      <a:picLocks noChangeAspect="1" noChangeArrowheads="1"/>
                    </pic:cNvPicPr>
                  </pic:nvPicPr>
                  <pic:blipFill>
                    <a:blip r:embed="rId31"/>
                    <a:srcRect l="-6" t="-12" r="-6" b="-12"/>
                    <a:stretch>
                      <a:fillRect/>
                    </a:stretch>
                  </pic:blipFill>
                  <pic:spPr bwMode="auto">
                    <a:xfrm>
                      <a:off x="0" y="0"/>
                      <a:ext cx="5900420" cy="2696210"/>
                    </a:xfrm>
                    <a:prstGeom prst="rect">
                      <a:avLst/>
                    </a:prstGeom>
                  </pic:spPr>
                </pic:pic>
              </a:graphicData>
            </a:graphic>
          </wp:inline>
        </w:drawing>
      </w:r>
    </w:p>
    <w:p w14:paraId="450F7B39" w14:textId="77777777" w:rsidR="00E70101" w:rsidRDefault="0060680B">
      <w:pPr>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）成交价格</w:t>
      </w:r>
    </w:p>
    <w:p w14:paraId="7DF71EA2"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年一季度，北京市工业用地成交总额约</w:t>
      </w:r>
      <w:r>
        <w:rPr>
          <w:rFonts w:ascii="Arial" w:eastAsia="仿宋_GB2312;仿宋" w:hAnsi="Arial" w:cs="Arial"/>
          <w:bCs/>
          <w:color w:val="000000"/>
          <w:sz w:val="28"/>
          <w:szCs w:val="28"/>
        </w:rPr>
        <w:t>8811</w:t>
      </w:r>
      <w:r>
        <w:rPr>
          <w:rFonts w:ascii="Arial" w:eastAsia="仿宋_GB2312;仿宋" w:hAnsi="Arial" w:cs="Arial"/>
          <w:bCs/>
          <w:color w:val="000000"/>
          <w:sz w:val="28"/>
          <w:szCs w:val="28"/>
        </w:rPr>
        <w:t>万元，成交楼面单价</w:t>
      </w:r>
      <w:r>
        <w:rPr>
          <w:rFonts w:ascii="Arial" w:eastAsia="仿宋_GB2312;仿宋" w:hAnsi="Arial" w:cs="Arial"/>
          <w:bCs/>
          <w:color w:val="000000"/>
          <w:sz w:val="28"/>
          <w:szCs w:val="28"/>
        </w:rPr>
        <w:t>2209</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w:t>
      </w:r>
      <w:proofErr w:type="gramStart"/>
      <w:r>
        <w:rPr>
          <w:rFonts w:ascii="Arial" w:eastAsia="仿宋_GB2312;仿宋" w:hAnsi="Arial" w:cs="Arial"/>
          <w:bCs/>
          <w:color w:val="000000"/>
          <w:sz w:val="28"/>
          <w:szCs w:val="28"/>
        </w:rPr>
        <w:t>地面价</w:t>
      </w:r>
      <w:proofErr w:type="gramEnd"/>
      <w:r>
        <w:rPr>
          <w:rFonts w:ascii="Arial" w:eastAsia="仿宋_GB2312;仿宋" w:hAnsi="Arial" w:cs="Arial"/>
          <w:bCs/>
          <w:color w:val="000000"/>
          <w:sz w:val="28"/>
          <w:szCs w:val="28"/>
        </w:rPr>
        <w:t>3767</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平方米（合</w:t>
      </w:r>
      <w:r>
        <w:rPr>
          <w:rFonts w:ascii="Arial" w:eastAsia="仿宋_GB2312;仿宋" w:hAnsi="Arial" w:cs="Arial"/>
          <w:bCs/>
          <w:color w:val="000000"/>
          <w:sz w:val="28"/>
          <w:szCs w:val="28"/>
        </w:rPr>
        <w:t>251</w:t>
      </w:r>
      <w:r>
        <w:rPr>
          <w:rFonts w:ascii="Arial" w:eastAsia="仿宋_GB2312;仿宋" w:hAnsi="Arial" w:cs="Arial"/>
          <w:bCs/>
          <w:color w:val="000000"/>
          <w:sz w:val="28"/>
          <w:szCs w:val="28"/>
        </w:rPr>
        <w:t>万元</w:t>
      </w:r>
      <w:r>
        <w:rPr>
          <w:rFonts w:ascii="Arial" w:eastAsia="仿宋_GB2312;仿宋" w:hAnsi="Arial" w:cs="Arial"/>
          <w:bCs/>
          <w:color w:val="000000"/>
          <w:sz w:val="28"/>
          <w:szCs w:val="28"/>
        </w:rPr>
        <w:t>/</w:t>
      </w:r>
      <w:r>
        <w:rPr>
          <w:rFonts w:ascii="Arial" w:eastAsia="仿宋_GB2312;仿宋" w:hAnsi="Arial" w:cs="Arial"/>
          <w:bCs/>
          <w:color w:val="000000"/>
          <w:sz w:val="28"/>
          <w:szCs w:val="28"/>
        </w:rPr>
        <w:t>亩）。自</w:t>
      </w:r>
      <w:r>
        <w:rPr>
          <w:rFonts w:ascii="Arial" w:eastAsia="仿宋_GB2312;仿宋" w:hAnsi="Arial" w:cs="Arial"/>
          <w:bCs/>
          <w:color w:val="000000"/>
          <w:sz w:val="28"/>
          <w:szCs w:val="28"/>
        </w:rPr>
        <w:t>2015</w:t>
      </w:r>
      <w:r>
        <w:rPr>
          <w:rFonts w:ascii="Arial" w:eastAsia="仿宋_GB2312;仿宋" w:hAnsi="Arial" w:cs="Arial"/>
          <w:bCs/>
          <w:color w:val="000000"/>
          <w:sz w:val="28"/>
          <w:szCs w:val="28"/>
        </w:rPr>
        <w:t>年起，北京市工业用地均为零溢价成交。地价方面，</w:t>
      </w:r>
      <w:r>
        <w:rPr>
          <w:rFonts w:ascii="Arial" w:eastAsia="仿宋_GB2312;仿宋" w:hAnsi="Arial" w:cs="Arial"/>
          <w:bCs/>
          <w:color w:val="000000"/>
          <w:sz w:val="28"/>
          <w:szCs w:val="28"/>
        </w:rPr>
        <w:t>2013</w:t>
      </w:r>
      <w:r>
        <w:rPr>
          <w:rFonts w:ascii="Arial" w:eastAsia="仿宋_GB2312;仿宋" w:hAnsi="Arial" w:cs="Arial"/>
          <w:bCs/>
          <w:color w:val="000000"/>
          <w:sz w:val="28"/>
          <w:szCs w:val="28"/>
        </w:rPr>
        <w:t>年至今除</w:t>
      </w:r>
      <w:proofErr w:type="gramStart"/>
      <w:r>
        <w:rPr>
          <w:rFonts w:ascii="Arial" w:eastAsia="仿宋_GB2312;仿宋" w:hAnsi="Arial" w:cs="Arial"/>
          <w:bCs/>
          <w:color w:val="000000"/>
          <w:sz w:val="28"/>
          <w:szCs w:val="28"/>
        </w:rPr>
        <w:t>受成交</w:t>
      </w:r>
      <w:proofErr w:type="gramEnd"/>
      <w:r>
        <w:rPr>
          <w:rFonts w:ascii="Arial" w:eastAsia="仿宋_GB2312;仿宋" w:hAnsi="Arial" w:cs="Arial"/>
          <w:bCs/>
          <w:color w:val="000000"/>
          <w:sz w:val="28"/>
          <w:szCs w:val="28"/>
        </w:rPr>
        <w:t>结构影响在</w:t>
      </w:r>
      <w:r>
        <w:rPr>
          <w:rFonts w:ascii="Arial" w:eastAsia="仿宋_GB2312;仿宋" w:hAnsi="Arial" w:cs="Arial"/>
          <w:bCs/>
          <w:color w:val="000000"/>
          <w:sz w:val="28"/>
          <w:szCs w:val="28"/>
        </w:rPr>
        <w:t>2017</w:t>
      </w:r>
      <w:r>
        <w:rPr>
          <w:rFonts w:ascii="Arial" w:eastAsia="仿宋_GB2312;仿宋" w:hAnsi="Arial" w:cs="Arial"/>
          <w:bCs/>
          <w:color w:val="000000"/>
          <w:sz w:val="28"/>
          <w:szCs w:val="28"/>
        </w:rPr>
        <w:t>年出现较大波动，工业用地市场呈平稳上涨趋势。</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w:t>
      </w:r>
      <w:proofErr w:type="gramStart"/>
      <w:r>
        <w:rPr>
          <w:rFonts w:ascii="Arial" w:eastAsia="仿宋_GB2312;仿宋" w:hAnsi="Arial" w:cs="Arial"/>
          <w:bCs/>
          <w:color w:val="000000"/>
          <w:sz w:val="28"/>
          <w:szCs w:val="28"/>
        </w:rPr>
        <w:t>受成交</w:t>
      </w:r>
      <w:proofErr w:type="gramEnd"/>
      <w:r>
        <w:rPr>
          <w:rFonts w:ascii="Arial" w:eastAsia="仿宋_GB2312;仿宋" w:hAnsi="Arial" w:cs="Arial"/>
          <w:bCs/>
          <w:color w:val="000000"/>
          <w:sz w:val="28"/>
          <w:szCs w:val="28"/>
        </w:rPr>
        <w:t>物流用地影响，工业成交地价再次出现较大涨幅，若扣除物流用地成交影响，整体仍呈平稳上涨趋势。</w:t>
      </w:r>
    </w:p>
    <w:p w14:paraId="0C5F2065" w14:textId="77777777" w:rsidR="00E70101" w:rsidRDefault="0060680B">
      <w:pPr>
        <w:spacing w:line="360" w:lineRule="auto"/>
        <w:jc w:val="center"/>
      </w:pPr>
      <w:r>
        <w:rPr>
          <w:rFonts w:ascii="Arial" w:eastAsia="仿宋_GB2312;仿宋" w:hAnsi="Arial" w:cs="Arial"/>
          <w:b/>
          <w:bCs/>
          <w:color w:val="000000"/>
          <w:szCs w:val="28"/>
        </w:rPr>
        <w:t>2014</w:t>
      </w:r>
      <w:r>
        <w:rPr>
          <w:rFonts w:ascii="Arial" w:eastAsia="仿宋_GB2312;仿宋" w:hAnsi="Arial" w:cs="Arial"/>
          <w:b/>
          <w:bCs/>
          <w:color w:val="000000"/>
          <w:szCs w:val="28"/>
        </w:rPr>
        <w:t>年至</w:t>
      </w:r>
      <w:r>
        <w:rPr>
          <w:rFonts w:ascii="Arial" w:eastAsia="仿宋_GB2312;仿宋" w:hAnsi="Arial" w:cs="Arial"/>
          <w:b/>
          <w:bCs/>
          <w:color w:val="000000"/>
          <w:szCs w:val="28"/>
        </w:rPr>
        <w:t>2024</w:t>
      </w:r>
      <w:r>
        <w:rPr>
          <w:rFonts w:ascii="Arial" w:eastAsia="仿宋_GB2312;仿宋" w:hAnsi="Arial" w:cs="Arial"/>
          <w:b/>
          <w:bCs/>
          <w:color w:val="000000"/>
          <w:szCs w:val="28"/>
        </w:rPr>
        <w:t>年</w:t>
      </w:r>
      <w:r>
        <w:rPr>
          <w:rFonts w:ascii="Arial" w:eastAsia="仿宋_GB2312;仿宋" w:hAnsi="Arial" w:cs="Arial"/>
          <w:b/>
          <w:bCs/>
          <w:color w:val="000000"/>
          <w:szCs w:val="28"/>
        </w:rPr>
        <w:t>Q1</w:t>
      </w:r>
      <w:r>
        <w:rPr>
          <w:rFonts w:ascii="Arial" w:eastAsia="仿宋_GB2312;仿宋" w:hAnsi="Arial" w:cs="Arial"/>
          <w:b/>
          <w:bCs/>
          <w:color w:val="000000"/>
          <w:szCs w:val="28"/>
        </w:rPr>
        <w:t>北京市工业用地地价走势</w:t>
      </w:r>
    </w:p>
    <w:p w14:paraId="386A79C4" w14:textId="77777777" w:rsidR="00E70101" w:rsidRDefault="0060680B">
      <w:pPr>
        <w:spacing w:line="360" w:lineRule="auto"/>
        <w:jc w:val="center"/>
        <w:rPr>
          <w:lang w:val="zh-CN"/>
        </w:rPr>
      </w:pPr>
      <w:r>
        <w:rPr>
          <w:noProof/>
        </w:rPr>
        <w:drawing>
          <wp:inline distT="0" distB="0" distL="0" distR="0" wp14:anchorId="0CF0BD85" wp14:editId="0AA35476">
            <wp:extent cx="5905500" cy="2315210"/>
            <wp:effectExtent l="0" t="0" r="0" b="0"/>
            <wp:docPr id="28" name="图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7"/>
                    <pic:cNvPicPr>
                      <a:picLocks noChangeAspect="1" noChangeArrowheads="1"/>
                    </pic:cNvPicPr>
                  </pic:nvPicPr>
                  <pic:blipFill>
                    <a:blip r:embed="rId32"/>
                    <a:srcRect l="-6" t="-15" r="-6" b="-15"/>
                    <a:stretch>
                      <a:fillRect/>
                    </a:stretch>
                  </pic:blipFill>
                  <pic:spPr bwMode="auto">
                    <a:xfrm>
                      <a:off x="0" y="0"/>
                      <a:ext cx="5905500" cy="2315210"/>
                    </a:xfrm>
                    <a:prstGeom prst="rect">
                      <a:avLst/>
                    </a:prstGeom>
                  </pic:spPr>
                </pic:pic>
              </a:graphicData>
            </a:graphic>
          </wp:inline>
        </w:drawing>
      </w:r>
    </w:p>
    <w:p w14:paraId="67CE1B15" w14:textId="77777777" w:rsidR="00E70101" w:rsidRDefault="0060680B">
      <w:pPr>
        <w:widowControl/>
        <w:spacing w:line="220" w:lineRule="exact"/>
        <w:textAlignment w:val="auto"/>
      </w:pPr>
      <w:r>
        <w:rPr>
          <w:rFonts w:ascii="Arial" w:hAnsi="Arial" w:cs="宋体;SimSun"/>
          <w:color w:val="000000"/>
          <w:sz w:val="20"/>
        </w:rPr>
        <w:t>注：图中</w:t>
      </w:r>
      <w:r>
        <w:rPr>
          <w:rFonts w:ascii="Arial" w:hAnsi="Arial" w:cs="宋体;SimSun"/>
          <w:color w:val="000000"/>
          <w:sz w:val="20"/>
        </w:rPr>
        <w:t>2022</w:t>
      </w:r>
      <w:r>
        <w:rPr>
          <w:rFonts w:ascii="Arial" w:hAnsi="Arial" w:cs="宋体;SimSun"/>
          <w:color w:val="000000"/>
          <w:sz w:val="20"/>
        </w:rPr>
        <w:t>年至</w:t>
      </w:r>
      <w:r>
        <w:rPr>
          <w:rFonts w:ascii="Arial" w:hAnsi="Arial" w:cs="宋体;SimSun"/>
          <w:color w:val="000000"/>
          <w:sz w:val="20"/>
        </w:rPr>
        <w:t>2024Q1</w:t>
      </w:r>
      <w:r>
        <w:rPr>
          <w:rFonts w:ascii="Arial" w:hAnsi="Arial" w:cs="宋体;SimSun"/>
          <w:color w:val="000000"/>
          <w:sz w:val="20"/>
        </w:rPr>
        <w:t>虚线段为扣除物流用地影响走势</w:t>
      </w:r>
    </w:p>
    <w:p w14:paraId="68F1EE63" w14:textId="77777777" w:rsidR="00E70101" w:rsidRDefault="00E70101">
      <w:pPr>
        <w:widowControl/>
        <w:spacing w:line="220" w:lineRule="exact"/>
        <w:textAlignment w:val="auto"/>
        <w:rPr>
          <w:rFonts w:ascii="宋体;SimSun" w:hAnsi="宋体;SimSun" w:cs="宋体;SimSun"/>
          <w:color w:val="000000"/>
          <w:sz w:val="22"/>
          <w:szCs w:val="22"/>
        </w:rPr>
      </w:pPr>
    </w:p>
    <w:p w14:paraId="24532C2D"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）区域成交情况</w:t>
      </w:r>
    </w:p>
    <w:p w14:paraId="25D27684" w14:textId="77777777" w:rsidR="00E70101" w:rsidRDefault="0060680B">
      <w:pPr>
        <w:widowControl/>
        <w:spacing w:line="360" w:lineRule="auto"/>
        <w:ind w:firstLine="560"/>
        <w:jc w:val="both"/>
        <w:textAlignment w:val="auto"/>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宗，分别位于大兴区、</w:t>
      </w:r>
      <w:proofErr w:type="gramStart"/>
      <w:r>
        <w:rPr>
          <w:rFonts w:ascii="Arial" w:eastAsia="仿宋_GB2312;仿宋" w:hAnsi="Arial" w:cs="Arial"/>
          <w:bCs/>
          <w:color w:val="000000"/>
          <w:sz w:val="28"/>
          <w:szCs w:val="28"/>
        </w:rPr>
        <w:t>平谷区</w:t>
      </w:r>
      <w:proofErr w:type="gramEnd"/>
      <w:r>
        <w:rPr>
          <w:rFonts w:ascii="Arial" w:eastAsia="仿宋_GB2312;仿宋" w:hAnsi="Arial" w:cs="Arial"/>
          <w:bCs/>
          <w:color w:val="000000"/>
          <w:sz w:val="28"/>
          <w:szCs w:val="28"/>
        </w:rPr>
        <w:t>及昌平区。</w:t>
      </w:r>
    </w:p>
    <w:p w14:paraId="16197A53" w14:textId="77777777" w:rsidR="00E70101" w:rsidRDefault="0060680B">
      <w:pPr>
        <w:widowControl/>
        <w:spacing w:line="360" w:lineRule="auto"/>
        <w:ind w:firstLine="560"/>
        <w:jc w:val="both"/>
        <w:textAlignment w:val="auto"/>
        <w:rPr>
          <w:lang w:val="zh-CN"/>
        </w:rPr>
      </w:pPr>
      <w:proofErr w:type="gramStart"/>
      <w:r>
        <w:rPr>
          <w:rFonts w:ascii="Arial" w:eastAsia="仿宋_GB2312;仿宋" w:hAnsi="Arial" w:cs="Arial"/>
          <w:bCs/>
          <w:sz w:val="28"/>
          <w:szCs w:val="28"/>
        </w:rPr>
        <w:t>大兴区成交</w:t>
      </w:r>
      <w:proofErr w:type="gramEnd"/>
      <w:r>
        <w:rPr>
          <w:rFonts w:ascii="Arial" w:eastAsia="仿宋_GB2312;仿宋" w:hAnsi="Arial" w:cs="Arial"/>
          <w:bCs/>
          <w:sz w:val="28"/>
          <w:szCs w:val="28"/>
        </w:rPr>
        <w:t>宗地位于亦庄新城地区，为</w:t>
      </w:r>
      <w:r>
        <w:rPr>
          <w:rFonts w:ascii="Arial" w:eastAsia="仿宋_GB2312;仿宋" w:hAnsi="Arial" w:cs="Arial"/>
          <w:bCs/>
          <w:sz w:val="28"/>
          <w:szCs w:val="28"/>
        </w:rPr>
        <w:t>M1</w:t>
      </w:r>
      <w:r>
        <w:rPr>
          <w:rFonts w:ascii="Arial" w:eastAsia="仿宋_GB2312;仿宋" w:hAnsi="Arial" w:cs="Arial"/>
          <w:bCs/>
          <w:sz w:val="28"/>
          <w:szCs w:val="28"/>
        </w:rPr>
        <w:t>一类工业用地，建设用地面积</w:t>
      </w:r>
      <w:r>
        <w:rPr>
          <w:rFonts w:ascii="Arial" w:eastAsia="仿宋_GB2312;仿宋" w:hAnsi="Arial" w:cs="Arial"/>
          <w:bCs/>
          <w:sz w:val="28"/>
          <w:szCs w:val="28"/>
        </w:rPr>
        <w:t>1.75</w:t>
      </w:r>
      <w:r>
        <w:rPr>
          <w:rFonts w:ascii="Arial" w:eastAsia="仿宋_GB2312;仿宋" w:hAnsi="Arial" w:cs="Arial"/>
          <w:bCs/>
          <w:sz w:val="28"/>
          <w:szCs w:val="28"/>
        </w:rPr>
        <w:t>万平方米，成交地面均价为</w:t>
      </w:r>
      <w:r>
        <w:rPr>
          <w:rFonts w:ascii="Arial" w:eastAsia="仿宋_GB2312;仿宋" w:hAnsi="Arial" w:cs="Arial"/>
          <w:bCs/>
          <w:sz w:val="28"/>
          <w:szCs w:val="28"/>
        </w:rPr>
        <w:t>1197</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79.8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w:t>
      </w:r>
      <w:proofErr w:type="gramStart"/>
      <w:r>
        <w:rPr>
          <w:rFonts w:ascii="Arial" w:eastAsia="仿宋_GB2312;仿宋" w:hAnsi="Arial" w:cs="Arial"/>
          <w:bCs/>
          <w:sz w:val="28"/>
          <w:szCs w:val="28"/>
        </w:rPr>
        <w:t>平谷区成交</w:t>
      </w:r>
      <w:proofErr w:type="gramEnd"/>
      <w:r>
        <w:rPr>
          <w:rFonts w:ascii="Arial" w:eastAsia="仿宋_GB2312;仿宋" w:hAnsi="Arial" w:cs="Arial"/>
          <w:bCs/>
          <w:sz w:val="28"/>
          <w:szCs w:val="28"/>
        </w:rPr>
        <w:t>建设用地面积</w:t>
      </w:r>
      <w:r>
        <w:rPr>
          <w:rFonts w:ascii="Arial" w:eastAsia="仿宋_GB2312;仿宋" w:hAnsi="Arial" w:cs="Arial"/>
          <w:bCs/>
          <w:sz w:val="28"/>
          <w:szCs w:val="28"/>
        </w:rPr>
        <w:t>18.67</w:t>
      </w:r>
      <w:r>
        <w:rPr>
          <w:rFonts w:ascii="Arial" w:eastAsia="仿宋_GB2312;仿宋" w:hAnsi="Arial" w:cs="Arial"/>
          <w:bCs/>
          <w:sz w:val="28"/>
          <w:szCs w:val="28"/>
        </w:rPr>
        <w:t>万平方米，成交地面均价为</w:t>
      </w:r>
      <w:r>
        <w:rPr>
          <w:rFonts w:ascii="Arial" w:eastAsia="仿宋_GB2312;仿宋" w:hAnsi="Arial" w:cs="Arial"/>
          <w:bCs/>
          <w:sz w:val="28"/>
          <w:szCs w:val="28"/>
        </w:rPr>
        <w:t>4168</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278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W1</w:t>
      </w:r>
      <w:r>
        <w:rPr>
          <w:rFonts w:ascii="Arial" w:eastAsia="仿宋_GB2312;仿宋" w:hAnsi="Arial" w:cs="Arial"/>
          <w:bCs/>
          <w:sz w:val="28"/>
          <w:szCs w:val="28"/>
        </w:rPr>
        <w:t>物流用地；</w:t>
      </w:r>
      <w:proofErr w:type="gramStart"/>
      <w:r>
        <w:rPr>
          <w:rFonts w:ascii="Arial" w:eastAsia="仿宋_GB2312;仿宋" w:hAnsi="Arial" w:cs="Arial"/>
          <w:bCs/>
          <w:sz w:val="28"/>
          <w:szCs w:val="28"/>
        </w:rPr>
        <w:t>昌平区成交</w:t>
      </w:r>
      <w:proofErr w:type="gramEnd"/>
      <w:r>
        <w:rPr>
          <w:rFonts w:ascii="Arial" w:eastAsia="仿宋_GB2312;仿宋" w:hAnsi="Arial" w:cs="Arial"/>
          <w:bCs/>
          <w:sz w:val="28"/>
          <w:szCs w:val="28"/>
        </w:rPr>
        <w:t>建设用地面积</w:t>
      </w:r>
      <w:r>
        <w:rPr>
          <w:rFonts w:ascii="Arial" w:eastAsia="仿宋_GB2312;仿宋" w:hAnsi="Arial" w:cs="Arial"/>
          <w:bCs/>
          <w:sz w:val="28"/>
          <w:szCs w:val="28"/>
        </w:rPr>
        <w:t>2.57</w:t>
      </w:r>
      <w:r>
        <w:rPr>
          <w:rFonts w:ascii="Arial" w:eastAsia="仿宋_GB2312;仿宋" w:hAnsi="Arial" w:cs="Arial"/>
          <w:bCs/>
          <w:sz w:val="28"/>
          <w:szCs w:val="28"/>
        </w:rPr>
        <w:t>万平方米，成交地面均价为</w:t>
      </w:r>
      <w:r>
        <w:rPr>
          <w:rFonts w:ascii="Arial" w:eastAsia="仿宋_GB2312;仿宋" w:hAnsi="Arial" w:cs="Arial"/>
          <w:bCs/>
          <w:sz w:val="28"/>
          <w:szCs w:val="28"/>
        </w:rPr>
        <w:t>2610</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174</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M1</w:t>
      </w:r>
      <w:r>
        <w:rPr>
          <w:rFonts w:ascii="Arial" w:eastAsia="仿宋_GB2312;仿宋" w:hAnsi="Arial" w:cs="Arial"/>
          <w:bCs/>
          <w:sz w:val="28"/>
          <w:szCs w:val="28"/>
        </w:rPr>
        <w:t>一类工业用地。</w:t>
      </w:r>
      <w:r>
        <w:rPr>
          <w:rFonts w:eastAsia="Times New Roman"/>
          <w:lang w:val="zh-CN"/>
        </w:rPr>
        <w:t xml:space="preserve"> </w:t>
      </w:r>
    </w:p>
    <w:p w14:paraId="6A7689DB" w14:textId="77777777" w:rsidR="00E70101" w:rsidRDefault="0060680B">
      <w:pPr>
        <w:spacing w:line="360" w:lineRule="auto"/>
        <w:rPr>
          <w:lang w:val="zh-CN"/>
        </w:rPr>
      </w:pPr>
      <w:r>
        <w:rPr>
          <w:rFonts w:eastAsia="Times New Roman"/>
          <w:lang w:val="zh-CN"/>
        </w:rPr>
        <w:t xml:space="preserve"> </w:t>
      </w:r>
      <w:r>
        <w:rPr>
          <w:rFonts w:eastAsia="Times New Roman"/>
          <w:noProof/>
        </w:rPr>
        <mc:AlternateContent>
          <mc:Choice Requires="wps">
            <w:drawing>
              <wp:anchor distT="0" distB="0" distL="114935" distR="114935" simplePos="0" relativeHeight="77" behindDoc="0" locked="0" layoutInCell="1" allowOverlap="1" wp14:anchorId="36EBEEBC" wp14:editId="14328129">
                <wp:simplePos x="0" y="0"/>
                <wp:positionH relativeFrom="column">
                  <wp:posOffset>4194810</wp:posOffset>
                </wp:positionH>
                <wp:positionV relativeFrom="paragraph">
                  <wp:posOffset>4697095</wp:posOffset>
                </wp:positionV>
                <wp:extent cx="1603375" cy="591185"/>
                <wp:effectExtent l="0" t="0" r="0" b="0"/>
                <wp:wrapNone/>
                <wp:docPr id="29" name="线形标注 2 29"/>
                <wp:cNvGraphicFramePr/>
                <a:graphic xmlns:a="http://schemas.openxmlformats.org/drawingml/2006/main">
                  <a:graphicData uri="http://schemas.microsoft.com/office/word/2010/wordprocessingShape">
                    <wps:wsp>
                      <wps:cNvSpPr/>
                      <wps:spPr>
                        <a:xfrm>
                          <a:off x="0" y="0"/>
                          <a:ext cx="1602720" cy="590400"/>
                        </a:xfrm>
                        <a:prstGeom prst="borderCallout2">
                          <a:avLst>
                            <a:gd name="adj1" fmla="val 18750"/>
                            <a:gd name="adj2" fmla="val -8333"/>
                            <a:gd name="adj3" fmla="val 19356"/>
                            <a:gd name="adj4" fmla="val -41083"/>
                            <a:gd name="adj5" fmla="val -96129"/>
                            <a:gd name="adj6" fmla="val -77893"/>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2BF4AF3E"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64F3A28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1AF2068" w14:textId="77777777" w:rsidR="0060680B" w:rsidRDefault="0060680B">
                            <w:pPr>
                              <w:overflowPunct w:val="0"/>
                              <w:spacing w:line="240" w:lineRule="exact"/>
                            </w:pPr>
                            <w:r>
                              <w:rPr>
                                <w:rFonts w:ascii="Arial" w:hAnsi="Arial" w:cs="Arial"/>
                                <w:kern w:val="2"/>
                                <w:sz w:val="15"/>
                                <w:szCs w:val="15"/>
                              </w:rPr>
                              <w:t xml:space="preserve">      </w:t>
                            </w:r>
                          </w:p>
                        </w:txbxContent>
                      </wps:txbx>
                      <wps:bodyPr lIns="36360" tIns="36360" rIns="36360" bIns="36360">
                        <a:noAutofit/>
                      </wps:bodyPr>
                    </wps:wsp>
                  </a:graphicData>
                </a:graphic>
              </wp:anchor>
            </w:drawing>
          </mc:Choice>
          <mc:Fallback>
            <w:pict>
              <v:shape w14:anchorId="36EBEEBC" id="线形标注 2 29" o:spid="_x0000_s1030" type="#_x0000_t48" style="position:absolute;margin-left:330.3pt;margin-top:369.85pt;width:126.25pt;height:46.55pt;z-index:7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" adj="-16825,-20764,-8874,4181" strokeweight=".26mm">
                <v:stroke startarrow="oval" endarrow="oval"/>
                <v:textbox inset="1.01mm,1.01mm,1.01mm,1.01mm">
                  <w:txbxContent>
                    <w:p w14:paraId="2BF4AF3E"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64F3A28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1AF2068" w14:textId="77777777" w:rsidR="0060680B" w:rsidRDefault="0060680B">
                      <w:pPr>
                        <w:overflowPunct w:val="0"/>
                        <w:spacing w:line="240" w:lineRule="exact"/>
                      </w:pPr>
                      <w:r>
                        <w:rPr>
                          <w:rFonts w:ascii="Arial" w:hAnsi="Arial" w:cs="Arial"/>
                          <w:kern w:val="2"/>
                          <w:sz w:val="15"/>
                          <w:szCs w:val="15"/>
                        </w:rPr>
                        <w:t xml:space="preserve">      </w:t>
                      </w:r>
                    </w:p>
                  </w:txbxContent>
                </v:textbox>
              </v:shape>
            </w:pict>
          </mc:Fallback>
        </mc:AlternateContent>
      </w:r>
      <w:r>
        <w:rPr>
          <w:rFonts w:eastAsia="Times New Roman"/>
          <w:noProof/>
        </w:rPr>
        <mc:AlternateContent>
          <mc:Choice Requires="wps">
            <w:drawing>
              <wp:anchor distT="0" distB="0" distL="114935" distR="114935" simplePos="0" relativeHeight="78" behindDoc="0" locked="0" layoutInCell="1" allowOverlap="1" wp14:anchorId="7091B3B8" wp14:editId="20A89208">
                <wp:simplePos x="0" y="0"/>
                <wp:positionH relativeFrom="column">
                  <wp:posOffset>4605655</wp:posOffset>
                </wp:positionH>
                <wp:positionV relativeFrom="paragraph">
                  <wp:posOffset>3084195</wp:posOffset>
                </wp:positionV>
                <wp:extent cx="1192530" cy="695325"/>
                <wp:effectExtent l="0" t="0" r="0" b="0"/>
                <wp:wrapNone/>
                <wp:docPr id="30" name="线形标注 2 30"/>
                <wp:cNvGraphicFramePr/>
                <a:graphic xmlns:a="http://schemas.openxmlformats.org/drawingml/2006/main">
                  <a:graphicData uri="http://schemas.microsoft.com/office/word/2010/wordprocessingShape">
                    <wps:wsp>
                      <wps:cNvSpPr/>
                      <wps:spPr>
                        <a:xfrm>
                          <a:off x="0" y="0"/>
                          <a:ext cx="1191960" cy="694800"/>
                        </a:xfrm>
                        <a:prstGeom prst="borderCallout2">
                          <a:avLst>
                            <a:gd name="adj1" fmla="val 18750"/>
                            <a:gd name="adj2" fmla="val -8333"/>
                            <a:gd name="adj3" fmla="val 16453"/>
                            <a:gd name="adj4" fmla="val -6393"/>
                            <a:gd name="adj5" fmla="val 16453"/>
                            <a:gd name="adj6" fmla="val -28717"/>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1EF86020"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398C6BEA" w14:textId="77777777" w:rsidR="0060680B" w:rsidRDefault="0060680B">
                            <w:pPr>
                              <w:overflowPunct w:val="0"/>
                              <w:spacing w:line="240" w:lineRule="exact"/>
                            </w:pPr>
                            <w:r>
                              <w:rPr>
                                <w:rFonts w:ascii="Arial" w:hAnsi="Arial" w:cs="Arial"/>
                                <w:kern w:val="2"/>
                                <w:sz w:val="15"/>
                                <w:szCs w:val="15"/>
                              </w:rPr>
                              <w:t>京平公转</w:t>
                            </w:r>
                            <w:proofErr w:type="gramStart"/>
                            <w:r>
                              <w:rPr>
                                <w:rFonts w:ascii="Arial" w:hAnsi="Arial" w:cs="Arial"/>
                                <w:kern w:val="2"/>
                                <w:sz w:val="15"/>
                                <w:szCs w:val="15"/>
                              </w:rPr>
                              <w:t>铁综合</w:t>
                            </w:r>
                            <w:proofErr w:type="gramEnd"/>
                            <w:r>
                              <w:rPr>
                                <w:rFonts w:ascii="Arial" w:hAnsi="Arial" w:cs="Arial"/>
                                <w:kern w:val="2"/>
                                <w:sz w:val="15"/>
                                <w:szCs w:val="15"/>
                              </w:rPr>
                              <w:t>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5B14C400"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7091B3B8" id="线形标注 2 30" o:spid="_x0000_s1031" type="#_x0000_t48" style="position:absolute;margin-left:362.65pt;margin-top:242.85pt;width:93.9pt;height:54.75pt;z-index:7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" adj="-6203,3554,-1381,3554" strokeweight=".26mm">
                <v:stroke startarrow="oval" endarrow="oval"/>
                <v:textbox inset="1.01mm,1.01mm,1.01mm,1.01mm">
                  <w:txbxContent>
                    <w:p w14:paraId="1EF86020"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398C6BEA" w14:textId="77777777" w:rsidR="0060680B" w:rsidRDefault="0060680B">
                      <w:pPr>
                        <w:overflowPunct w:val="0"/>
                        <w:spacing w:line="240" w:lineRule="exact"/>
                      </w:pPr>
                      <w:r>
                        <w:rPr>
                          <w:rFonts w:ascii="Arial" w:hAnsi="Arial" w:cs="Arial"/>
                          <w:kern w:val="2"/>
                          <w:sz w:val="15"/>
                          <w:szCs w:val="15"/>
                        </w:rPr>
                        <w:t>京平公转</w:t>
                      </w:r>
                      <w:proofErr w:type="gramStart"/>
                      <w:r>
                        <w:rPr>
                          <w:rFonts w:ascii="Arial" w:hAnsi="Arial" w:cs="Arial"/>
                          <w:kern w:val="2"/>
                          <w:sz w:val="15"/>
                          <w:szCs w:val="15"/>
                        </w:rPr>
                        <w:t>铁综合</w:t>
                      </w:r>
                      <w:proofErr w:type="gramEnd"/>
                      <w:r>
                        <w:rPr>
                          <w:rFonts w:ascii="Arial" w:hAnsi="Arial" w:cs="Arial"/>
                          <w:kern w:val="2"/>
                          <w:sz w:val="15"/>
                          <w:szCs w:val="15"/>
                        </w:rPr>
                        <w:t>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5B14C400"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w:pict>
          </mc:Fallback>
        </mc:AlternateContent>
      </w:r>
      <w:r>
        <w:rPr>
          <w:rFonts w:eastAsia="Times New Roman"/>
          <w:noProof/>
        </w:rPr>
        <mc:AlternateContent>
          <mc:Choice Requires="wps">
            <w:drawing>
              <wp:anchor distT="0" distB="0" distL="114935" distR="114935" simplePos="0" relativeHeight="79" behindDoc="0" locked="0" layoutInCell="1" allowOverlap="1" wp14:anchorId="7DF6FDDE" wp14:editId="07761A00">
                <wp:simplePos x="0" y="0"/>
                <wp:positionH relativeFrom="column">
                  <wp:posOffset>107950</wp:posOffset>
                </wp:positionH>
                <wp:positionV relativeFrom="paragraph">
                  <wp:posOffset>2006600</wp:posOffset>
                </wp:positionV>
                <wp:extent cx="1393825" cy="471805"/>
                <wp:effectExtent l="0" t="0" r="0" b="0"/>
                <wp:wrapNone/>
                <wp:docPr id="31" name="线形标注 2 31"/>
                <wp:cNvGraphicFramePr/>
                <a:graphic xmlns:a="http://schemas.openxmlformats.org/drawingml/2006/main">
                  <a:graphicData uri="http://schemas.microsoft.com/office/word/2010/wordprocessingShape">
                    <wps:wsp>
                      <wps:cNvSpPr/>
                      <wps:spPr>
                        <a:xfrm>
                          <a:off x="0" y="0"/>
                          <a:ext cx="1393200" cy="471240"/>
                        </a:xfrm>
                        <a:prstGeom prst="borderCallout2">
                          <a:avLst>
                            <a:gd name="adj1" fmla="val 18750"/>
                            <a:gd name="adj2" fmla="val -8333"/>
                            <a:gd name="adj3" fmla="val 24259"/>
                            <a:gd name="adj4" fmla="val 125203"/>
                            <a:gd name="adj5" fmla="val 207680"/>
                            <a:gd name="adj6" fmla="val 159800"/>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6E9EF9C7"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63E14505"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7DF6FDDE" id="线形标注 2 31" o:spid="_x0000_s1032" type="#_x0000_t48" style="position:absolute;margin-left:8.5pt;margin-top:158pt;width:109.75pt;height:37.15pt;z-index:7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" adj="34517,44859,27044,5240" strokeweight=".26mm">
                <v:stroke startarrow="oval" endarrow="oval"/>
                <v:textbox inset="1.01mm,1.01mm,1.01mm,1.01mm">
                  <w:txbxContent>
                    <w:p w14:paraId="6E9EF9C7"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63E14505"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w:pict>
          </mc:Fallback>
        </mc:AlternateContent>
      </w:r>
      <w:r>
        <w:rPr>
          <w:noProof/>
        </w:rPr>
        <w:drawing>
          <wp:inline distT="0" distB="0" distL="0" distR="0" wp14:anchorId="58D0184A" wp14:editId="4240A1C1">
            <wp:extent cx="5749925" cy="5760720"/>
            <wp:effectExtent l="0" t="0" r="0" b="0"/>
            <wp:docPr id="32" name="图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像8"/>
                    <pic:cNvPicPr>
                      <a:picLocks noChangeAspect="1" noChangeArrowheads="1"/>
                    </pic:cNvPicPr>
                  </pic:nvPicPr>
                  <pic:blipFill>
                    <a:blip r:embed="rId33"/>
                    <a:srcRect l="-5" t="-6" r="-5" b="-6"/>
                    <a:stretch>
                      <a:fillRect/>
                    </a:stretch>
                  </pic:blipFill>
                  <pic:spPr bwMode="auto">
                    <a:xfrm>
                      <a:off x="0" y="0"/>
                      <a:ext cx="5749925" cy="5760720"/>
                    </a:xfrm>
                    <a:prstGeom prst="rect">
                      <a:avLst/>
                    </a:prstGeom>
                  </pic:spPr>
                </pic:pic>
              </a:graphicData>
            </a:graphic>
          </wp:inline>
        </w:drawing>
      </w:r>
      <w:r>
        <w:rPr>
          <w:noProof/>
        </w:rPr>
        <mc:AlternateContent>
          <mc:Choice Requires="wps">
            <w:drawing>
              <wp:anchor distT="0" distB="0" distL="114935" distR="114935" simplePos="0" relativeHeight="80" behindDoc="0" locked="0" layoutInCell="1" allowOverlap="1" wp14:anchorId="448A3EE8" wp14:editId="069C234D">
                <wp:simplePos x="0" y="0"/>
                <wp:positionH relativeFrom="column">
                  <wp:posOffset>2136775</wp:posOffset>
                </wp:positionH>
                <wp:positionV relativeFrom="paragraph">
                  <wp:posOffset>163195</wp:posOffset>
                </wp:positionV>
                <wp:extent cx="1703070" cy="257175"/>
                <wp:effectExtent l="0" t="0" r="0" b="0"/>
                <wp:wrapNone/>
                <wp:docPr id="33" name="框架2"/>
                <wp:cNvGraphicFramePr/>
                <a:graphic xmlns:a="http://schemas.openxmlformats.org/drawingml/2006/main">
                  <a:graphicData uri="http://schemas.microsoft.com/office/word/2010/wordprocessingShape">
                    <wps:wsp>
                      <wps:cNvSpPr txBox="1"/>
                      <wps:spPr>
                        <a:xfrm>
                          <a:off x="0" y="0"/>
                          <a:ext cx="1703070" cy="257175"/>
                        </a:xfrm>
                        <a:prstGeom prst="rect">
                          <a:avLst/>
                        </a:prstGeom>
                        <a:solidFill>
                          <a:srgbClr val="FFFFFF"/>
                        </a:solidFill>
                      </wps:spPr>
                      <wps:txbx>
                        <w:txbxContent>
                          <w:p w14:paraId="2F318BF1"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wps:txbx>
                      <wps:bodyPr lIns="36830" tIns="36830" rIns="36830" bIns="36830" anchor="t">
                        <a:noAutofit/>
                      </wps:bodyPr>
                    </wps:wsp>
                  </a:graphicData>
                </a:graphic>
              </wp:anchor>
            </w:drawing>
          </mc:Choice>
          <mc:Fallback>
            <w:pict>
              <v:shape w14:anchorId="448A3EE8" id="框架2" o:spid="_x0000_s1033" type="#_x0000_t202" style="position:absolute;margin-left:168.25pt;margin-top:12.85pt;width:134.1pt;height:20.25pt;z-index: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" stroked="f">
                <v:textbox inset="2.9pt,2.9pt,2.9pt,2.9pt">
                  <w:txbxContent>
                    <w:p w14:paraId="2F318BF1"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v:textbox>
              </v:shape>
            </w:pict>
          </mc:Fallback>
        </mc:AlternateContent>
      </w:r>
    </w:p>
    <w:p w14:paraId="6093903E" w14:textId="77777777" w:rsidR="00E70101" w:rsidRDefault="0060680B">
      <w:pPr>
        <w:widowControl/>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4</w:t>
      </w:r>
      <w:r>
        <w:rPr>
          <w:rFonts w:ascii="Arial" w:eastAsia="仿宋_GB2312;仿宋" w:hAnsi="Arial" w:cs="Arial"/>
          <w:bCs/>
          <w:color w:val="000000"/>
          <w:sz w:val="28"/>
          <w:szCs w:val="28"/>
        </w:rPr>
        <w:t>）未来趋势</w:t>
      </w:r>
    </w:p>
    <w:p w14:paraId="181173C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sz w:val="28"/>
          <w:szCs w:val="28"/>
        </w:rPr>
        <w:t>北京市随着经济的稳步修复，工业生产持续回升，高端产业发挥引领作用。北京</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规划明确新一代信息技术、医药健康、新能源智能网联汽车、绿色智慧能源等为未来重点产业发展方向，界定多个未来重点发展新区及区域产业发展细分方向；同时，</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规划还提出支持具备条件的物流园区和重点企业引入铁路专用线，支持利用工业厂房改造建设冷链物流基础设施，发展智能立体仓等</w:t>
      </w:r>
      <w:r>
        <w:rPr>
          <w:rFonts w:ascii="Arial" w:eastAsia="仿宋_GB2312;仿宋" w:hAnsi="Arial" w:cs="Arial"/>
          <w:bCs/>
          <w:color w:val="000000"/>
          <w:sz w:val="28"/>
          <w:szCs w:val="28"/>
        </w:rPr>
        <w:t>。在高技术产业快速增长的带动下，各园区稳步发展，预计工业地价继续稳中向上。</w:t>
      </w:r>
    </w:p>
    <w:p w14:paraId="7092E67D"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3.</w:t>
      </w:r>
      <w:r>
        <w:rPr>
          <w:rFonts w:ascii="Arial" w:eastAsia="仿宋_GB2312;仿宋" w:hAnsi="Arial" w:cs="Arial"/>
          <w:bCs/>
          <w:color w:val="000000"/>
          <w:sz w:val="28"/>
          <w:szCs w:val="28"/>
        </w:rPr>
        <w:t>产业政策</w:t>
      </w:r>
    </w:p>
    <w:p w14:paraId="4EA143C4" w14:textId="77777777" w:rsidR="00E70101" w:rsidRDefault="0060680B">
      <w:pPr>
        <w:overflowPunct w:val="0"/>
        <w:spacing w:line="360" w:lineRule="auto"/>
        <w:jc w:val="both"/>
        <w:textAlignment w:val="auto"/>
        <w:rPr>
          <w:rFonts w:ascii="Arial" w:eastAsia="仿宋_GB2312;仿宋" w:hAnsi="Arial" w:cs="Arial"/>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产业优惠政策</w:t>
      </w:r>
    </w:p>
    <w:p w14:paraId="1BB1A7DF"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15</w:t>
      </w:r>
      <w:r>
        <w:rPr>
          <w:rFonts w:ascii="Arial" w:eastAsia="仿宋_GB2312;仿宋" w:hAnsi="Arial" w:cs="Arial"/>
          <w:bCs/>
          <w:color w:val="000000"/>
          <w:sz w:val="28"/>
          <w:szCs w:val="28"/>
        </w:rPr>
        <w:t>日，自然资源部发布《产业用地政策实施工作指引（</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年版）》（简称</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0981DE8C"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日，北京市住房和城乡建设</w:t>
      </w:r>
      <w:proofErr w:type="gramStart"/>
      <w:r>
        <w:rPr>
          <w:rFonts w:ascii="Arial" w:eastAsia="仿宋_GB2312;仿宋" w:hAnsi="Arial" w:cs="Arial"/>
          <w:bCs/>
          <w:color w:val="000000"/>
          <w:sz w:val="28"/>
          <w:szCs w:val="28"/>
        </w:rPr>
        <w:t>委员会官网发布</w:t>
      </w:r>
      <w:proofErr w:type="gramEnd"/>
      <w:r>
        <w:rPr>
          <w:rFonts w:ascii="Arial" w:eastAsia="仿宋_GB2312;仿宋" w:hAnsi="Arial" w:cs="Arial"/>
          <w:bCs/>
          <w:color w:val="000000"/>
          <w:sz w:val="28"/>
          <w:szCs w:val="28"/>
        </w:rPr>
        <w:t>《关于进一步完善已建成研发、工业项目转让管理有关问题的通知（京建发〔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216</w:t>
      </w:r>
      <w:r>
        <w:rPr>
          <w:rFonts w:ascii="Arial" w:eastAsia="仿宋_GB2312;仿宋" w:hAnsi="Arial" w:cs="Arial"/>
          <w:bCs/>
          <w:color w:val="000000"/>
          <w:sz w:val="28"/>
          <w:szCs w:val="28"/>
        </w:rPr>
        <w:t>号）》和《关于进一步明确已建成产业项目买受人审核有关问题的通知（京建发〔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217</w:t>
      </w:r>
      <w:r>
        <w:rPr>
          <w:rFonts w:ascii="Arial" w:eastAsia="仿宋_GB2312;仿宋" w:hAnsi="Arial" w:cs="Arial"/>
          <w:bCs/>
          <w:color w:val="000000"/>
          <w:sz w:val="28"/>
          <w:szCs w:val="28"/>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w:t>
      </w:r>
      <w:proofErr w:type="gramStart"/>
      <w:r>
        <w:rPr>
          <w:rFonts w:ascii="Arial" w:eastAsia="仿宋_GB2312;仿宋" w:hAnsi="Arial" w:cs="Arial"/>
          <w:bCs/>
          <w:color w:val="000000"/>
          <w:sz w:val="28"/>
          <w:szCs w:val="28"/>
        </w:rPr>
        <w:t>炒房抄地行为</w:t>
      </w:r>
      <w:proofErr w:type="gramEnd"/>
      <w:r>
        <w:rPr>
          <w:rFonts w:ascii="Arial" w:eastAsia="仿宋_GB2312;仿宋" w:hAnsi="Arial" w:cs="Arial"/>
          <w:bCs/>
          <w:color w:val="000000"/>
          <w:sz w:val="28"/>
          <w:szCs w:val="28"/>
        </w:rPr>
        <w:t>，故禁止研发、工业项目的分割销售。另一方面，审批权下放，审批主体从市政府调整为区政府，对买受人的申请，应在</w:t>
      </w:r>
      <w:r>
        <w:rPr>
          <w:rFonts w:ascii="Arial" w:eastAsia="仿宋_GB2312;仿宋" w:hAnsi="Arial" w:cs="Arial"/>
          <w:bCs/>
          <w:color w:val="000000"/>
          <w:sz w:val="28"/>
          <w:szCs w:val="28"/>
        </w:rPr>
        <w:t>15</w:t>
      </w:r>
      <w:r>
        <w:rPr>
          <w:rFonts w:ascii="Arial" w:eastAsia="仿宋_GB2312;仿宋" w:hAnsi="Arial" w:cs="Arial"/>
          <w:bCs/>
          <w:color w:val="000000"/>
          <w:sz w:val="28"/>
          <w:szCs w:val="28"/>
        </w:rPr>
        <w:t>个工作日内出具书面意见，这大大加快了产业地产的审批效率，促进了产业地产的招商周转速度。</w:t>
      </w:r>
    </w:p>
    <w:p w14:paraId="56434DBE"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10</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日，《关于支持民营企业加快改革与转型升级的实施意见》（</w:t>
      </w:r>
      <w:proofErr w:type="gramStart"/>
      <w:r>
        <w:rPr>
          <w:rFonts w:ascii="Arial" w:eastAsia="仿宋_GB2312;仿宋" w:hAnsi="Arial" w:cs="Arial"/>
          <w:bCs/>
          <w:color w:val="000000"/>
          <w:sz w:val="28"/>
          <w:szCs w:val="28"/>
        </w:rPr>
        <w:t>发改体改</w:t>
      </w:r>
      <w:proofErr w:type="gramEnd"/>
      <w:r>
        <w:rPr>
          <w:rFonts w:ascii="Arial" w:eastAsia="仿宋_GB2312;仿宋" w:hAnsi="Arial" w:cs="Arial"/>
          <w:bCs/>
          <w:color w:val="000000"/>
          <w:sz w:val="28"/>
          <w:szCs w:val="28"/>
        </w:rPr>
        <w:t>[2020]1566</w:t>
      </w:r>
      <w:r>
        <w:rPr>
          <w:rFonts w:ascii="Arial" w:eastAsia="仿宋_GB2312;仿宋" w:hAnsi="Arial" w:cs="Arial"/>
          <w:bCs/>
          <w:color w:val="000000"/>
          <w:sz w:val="28"/>
          <w:szCs w:val="28"/>
        </w:rPr>
        <w:t>号），允许中小民营企业联合参与工业用地</w:t>
      </w:r>
      <w:proofErr w:type="gramStart"/>
      <w:r>
        <w:rPr>
          <w:rFonts w:ascii="Arial" w:eastAsia="仿宋_GB2312;仿宋" w:hAnsi="Arial" w:cs="Arial"/>
          <w:bCs/>
          <w:color w:val="000000"/>
          <w:sz w:val="28"/>
          <w:szCs w:val="28"/>
        </w:rPr>
        <w:t>招拍挂</w:t>
      </w:r>
      <w:proofErr w:type="gramEnd"/>
      <w:r>
        <w:rPr>
          <w:rFonts w:ascii="Arial" w:eastAsia="仿宋_GB2312;仿宋" w:hAnsi="Arial" w:cs="Arial"/>
          <w:bCs/>
          <w:color w:val="000000"/>
          <w:sz w:val="28"/>
          <w:szCs w:val="28"/>
        </w:rPr>
        <w:t>，可按规定进行宗地分割；允许增加容积率的，不增收土地价款等费用；民营企业退出原使用土地的，支持依法依约转让土地；异地发展的，可以协议出让方式重新安排工业用地。</w:t>
      </w:r>
    </w:p>
    <w:p w14:paraId="6F0A444B"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6</w:t>
      </w:r>
      <w:r>
        <w:rPr>
          <w:rFonts w:ascii="Arial" w:eastAsia="仿宋_GB2312;仿宋" w:hAnsi="Arial" w:cs="Arial"/>
          <w:bCs/>
          <w:color w:val="000000"/>
          <w:sz w:val="28"/>
          <w:szCs w:val="28"/>
        </w:rPr>
        <w:t>日，中关村管委会研究制定了《中关村国家自主创新示范区关于推进特色产业园建设</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提升分园产业服务能力的指导意见》。提出了到</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年，中关村示范区产业布局更加优化，体制机制持续创新，创新创业环境进一步改善，各分</w:t>
      </w:r>
      <w:proofErr w:type="gramStart"/>
      <w:r>
        <w:rPr>
          <w:rFonts w:ascii="Arial" w:eastAsia="仿宋_GB2312;仿宋" w:hAnsi="Arial" w:cs="Arial"/>
          <w:bCs/>
          <w:color w:val="000000"/>
          <w:sz w:val="28"/>
          <w:szCs w:val="28"/>
        </w:rPr>
        <w:t>园产业</w:t>
      </w:r>
      <w:proofErr w:type="gramEnd"/>
      <w:r>
        <w:rPr>
          <w:rFonts w:ascii="Arial" w:eastAsia="仿宋_GB2312;仿宋" w:hAnsi="Arial" w:cs="Arial"/>
          <w:bCs/>
          <w:color w:val="000000"/>
          <w:sz w:val="28"/>
          <w:szCs w:val="28"/>
        </w:rPr>
        <w:t>服务能力显著提升，主导产业地位突出，高端化、特色化、差异化发展态势基本形成。特色产业园建设实现重点细分产业领域及发展组团两个</w:t>
      </w:r>
      <w:r>
        <w:rPr>
          <w:rFonts w:ascii="Arial" w:eastAsia="仿宋_GB2312;仿宋" w:hAnsi="Arial" w:cs="Arial"/>
          <w:bCs/>
          <w:color w:val="000000"/>
          <w:sz w:val="28"/>
          <w:szCs w:val="28"/>
        </w:rPr>
        <w:t>“</w:t>
      </w:r>
      <w:r>
        <w:rPr>
          <w:rFonts w:ascii="Arial" w:eastAsia="仿宋_GB2312;仿宋" w:hAnsi="Arial" w:cs="Arial"/>
          <w:bCs/>
          <w:color w:val="000000"/>
          <w:sz w:val="28"/>
          <w:szCs w:val="28"/>
        </w:rPr>
        <w:t>全覆盖</w:t>
      </w:r>
      <w:r>
        <w:rPr>
          <w:rFonts w:ascii="Arial" w:eastAsia="仿宋_GB2312;仿宋" w:hAnsi="Arial" w:cs="Arial"/>
          <w:bCs/>
          <w:color w:val="000000"/>
          <w:sz w:val="28"/>
          <w:szCs w:val="28"/>
        </w:rPr>
        <w:t>”</w:t>
      </w:r>
      <w:r>
        <w:rPr>
          <w:rFonts w:ascii="Arial" w:eastAsia="仿宋_GB2312;仿宋" w:hAnsi="Arial" w:cs="Arial"/>
          <w:bCs/>
          <w:color w:val="000000"/>
          <w:sz w:val="28"/>
          <w:szCs w:val="28"/>
        </w:rPr>
        <w:t>，成为分园主导产业发展的重要载体，对所在区域的经济贡献明显提升。各分园围绕主导产业建成产业促进服务机构，产业促进服务机构与分</w:t>
      </w:r>
      <w:proofErr w:type="gramStart"/>
      <w:r>
        <w:rPr>
          <w:rFonts w:ascii="Arial" w:eastAsia="仿宋_GB2312;仿宋" w:hAnsi="Arial" w:cs="Arial"/>
          <w:bCs/>
          <w:color w:val="000000"/>
          <w:sz w:val="28"/>
          <w:szCs w:val="28"/>
        </w:rPr>
        <w:t>园结合</w:t>
      </w:r>
      <w:proofErr w:type="gramEnd"/>
      <w:r>
        <w:rPr>
          <w:rFonts w:ascii="Arial" w:eastAsia="仿宋_GB2312;仿宋" w:hAnsi="Arial" w:cs="Arial"/>
          <w:bCs/>
          <w:color w:val="000000"/>
          <w:sz w:val="28"/>
          <w:szCs w:val="28"/>
        </w:rPr>
        <w:t>紧密、运营高效，对分园主导产业发展的促进作用凸显。</w:t>
      </w:r>
    </w:p>
    <w:p w14:paraId="77EADC0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2021</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日，北京市人民政府关于印发《北京市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时期高精尖产业发展规划》的通知。作为全市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时期高精尖产业的发展蓝图，《规划》深入贯彻市委市政府工作部署，以高质量发展为主题，以城市总体规划为遵循，推动产业</w:t>
      </w:r>
      <w:r>
        <w:rPr>
          <w:rFonts w:ascii="Arial" w:eastAsia="仿宋_GB2312;仿宋" w:hAnsi="Arial" w:cs="Arial"/>
          <w:bCs/>
          <w:color w:val="000000"/>
          <w:sz w:val="28"/>
          <w:szCs w:val="28"/>
        </w:rPr>
        <w:t>“</w:t>
      </w:r>
      <w:r>
        <w:rPr>
          <w:rFonts w:ascii="Arial" w:eastAsia="仿宋_GB2312;仿宋" w:hAnsi="Arial" w:cs="Arial"/>
          <w:bCs/>
          <w:color w:val="000000"/>
          <w:sz w:val="28"/>
          <w:szCs w:val="28"/>
        </w:rPr>
        <w:t>换核、强芯、赋智、融合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，加快产业基础再造提升、产业链条优化升级、智能绿色全面覆盖、制造服务深度融合、区域发展开放联动</w:t>
      </w:r>
      <w:r>
        <w:rPr>
          <w:rFonts w:ascii="Arial" w:eastAsia="仿宋_GB2312;仿宋" w:hAnsi="Arial" w:cs="Arial"/>
          <w:bCs/>
          <w:color w:val="000000"/>
          <w:sz w:val="28"/>
          <w:szCs w:val="28"/>
        </w:rPr>
        <w:t>“</w:t>
      </w:r>
      <w:r>
        <w:rPr>
          <w:rFonts w:ascii="Arial" w:eastAsia="仿宋_GB2312;仿宋" w:hAnsi="Arial" w:cs="Arial"/>
          <w:bCs/>
          <w:color w:val="000000"/>
          <w:sz w:val="28"/>
          <w:szCs w:val="28"/>
        </w:rPr>
        <w:t>五个突破</w:t>
      </w:r>
      <w:r>
        <w:rPr>
          <w:rFonts w:ascii="Arial" w:eastAsia="仿宋_GB2312;仿宋" w:hAnsi="Arial" w:cs="Arial"/>
          <w:bCs/>
          <w:color w:val="000000"/>
          <w:sz w:val="28"/>
          <w:szCs w:val="28"/>
        </w:rPr>
        <w:t>”</w:t>
      </w:r>
      <w:r>
        <w:rPr>
          <w:rFonts w:ascii="Arial" w:eastAsia="仿宋_GB2312;仿宋" w:hAnsi="Arial" w:cs="Arial"/>
          <w:bCs/>
          <w:color w:val="000000"/>
          <w:sz w:val="28"/>
          <w:szCs w:val="28"/>
        </w:rPr>
        <w:t>，推进动力转换、效率提升、结构优化</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三大变革</w:t>
      </w:r>
      <w:r>
        <w:rPr>
          <w:rFonts w:ascii="Arial" w:eastAsia="仿宋_GB2312;仿宋" w:hAnsi="Arial" w:cs="Arial"/>
          <w:bCs/>
          <w:color w:val="000000"/>
          <w:sz w:val="28"/>
          <w:szCs w:val="28"/>
        </w:rPr>
        <w:t>”</w:t>
      </w:r>
      <w:r>
        <w:rPr>
          <w:rFonts w:ascii="Arial" w:eastAsia="仿宋_GB2312;仿宋" w:hAnsi="Arial" w:cs="Arial"/>
          <w:bCs/>
          <w:color w:val="000000"/>
          <w:sz w:val="28"/>
          <w:szCs w:val="28"/>
        </w:rPr>
        <w:t>，力争到</w:t>
      </w:r>
      <w:r>
        <w:rPr>
          <w:rFonts w:ascii="Arial" w:eastAsia="仿宋_GB2312;仿宋" w:hAnsi="Arial" w:cs="Arial"/>
          <w:bCs/>
          <w:color w:val="000000"/>
          <w:sz w:val="28"/>
          <w:szCs w:val="28"/>
        </w:rPr>
        <w:t>2025</w:t>
      </w:r>
      <w:r>
        <w:rPr>
          <w:rFonts w:ascii="Arial" w:eastAsia="仿宋_GB2312;仿宋" w:hAnsi="Arial" w:cs="Arial"/>
          <w:bCs/>
          <w:color w:val="000000"/>
          <w:sz w:val="28"/>
          <w:szCs w:val="28"/>
        </w:rPr>
        <w:t>年，高精尖产业占</w:t>
      </w:r>
      <w:r>
        <w:rPr>
          <w:rFonts w:ascii="Arial" w:eastAsia="仿宋_GB2312;仿宋" w:hAnsi="Arial" w:cs="Arial"/>
          <w:bCs/>
          <w:color w:val="000000"/>
          <w:sz w:val="28"/>
          <w:szCs w:val="28"/>
        </w:rPr>
        <w:t>GDP</w:t>
      </w:r>
      <w:r>
        <w:rPr>
          <w:rFonts w:ascii="Arial" w:eastAsia="仿宋_GB2312;仿宋" w:hAnsi="Arial" w:cs="Arial"/>
          <w:bCs/>
          <w:color w:val="000000"/>
          <w:sz w:val="28"/>
          <w:szCs w:val="28"/>
        </w:rPr>
        <w:t>比重</w:t>
      </w:r>
      <w:r>
        <w:rPr>
          <w:rFonts w:ascii="Arial" w:eastAsia="仿宋_GB2312;仿宋" w:hAnsi="Arial" w:cs="Arial"/>
          <w:bCs/>
          <w:color w:val="000000"/>
          <w:sz w:val="28"/>
          <w:szCs w:val="28"/>
        </w:rPr>
        <w:t>30%</w:t>
      </w:r>
      <w:r>
        <w:rPr>
          <w:rFonts w:ascii="Arial" w:eastAsia="仿宋_GB2312;仿宋" w:hAnsi="Arial" w:cs="Arial"/>
          <w:bCs/>
          <w:color w:val="000000"/>
          <w:sz w:val="28"/>
          <w:szCs w:val="28"/>
        </w:rPr>
        <w:t>以上，培育形成</w:t>
      </w:r>
      <w:r>
        <w:rPr>
          <w:rFonts w:ascii="Arial" w:eastAsia="仿宋_GB2312;仿宋" w:hAnsi="Arial" w:cs="Arial"/>
          <w:bCs/>
          <w:color w:val="000000"/>
          <w:sz w:val="28"/>
          <w:szCs w:val="28"/>
        </w:rPr>
        <w:t>4-5</w:t>
      </w:r>
      <w:r>
        <w:rPr>
          <w:rFonts w:ascii="Arial" w:eastAsia="仿宋_GB2312;仿宋" w:hAnsi="Arial" w:cs="Arial"/>
          <w:bCs/>
          <w:color w:val="000000"/>
          <w:sz w:val="28"/>
          <w:szCs w:val="28"/>
        </w:rPr>
        <w:t>个万亿级产业集群，基本形成以智能制造、产业互联网、医药健康等为新支柱的现代产业体系，将集成电路、智能网联汽车、区块链、创新药等打造成为</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北京智造</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北京服务</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的新名片，为我国提升创新</w:t>
      </w:r>
      <w:proofErr w:type="gramStart"/>
      <w:r>
        <w:rPr>
          <w:rFonts w:ascii="Arial" w:eastAsia="仿宋_GB2312;仿宋" w:hAnsi="Arial" w:cs="Arial"/>
          <w:bCs/>
          <w:color w:val="000000"/>
          <w:sz w:val="28"/>
          <w:szCs w:val="28"/>
        </w:rPr>
        <w:t>链产业链供应</w:t>
      </w:r>
      <w:proofErr w:type="gramEnd"/>
      <w:r>
        <w:rPr>
          <w:rFonts w:ascii="Arial" w:eastAsia="仿宋_GB2312;仿宋" w:hAnsi="Arial" w:cs="Arial"/>
          <w:bCs/>
          <w:color w:val="000000"/>
          <w:sz w:val="28"/>
          <w:szCs w:val="28"/>
        </w:rPr>
        <w:t>链现代化水平，更好建设制造强国、质量强国、网络强国和数字中国做出北京贡献。</w:t>
      </w:r>
    </w:p>
    <w:p w14:paraId="08077F8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Pr>
          <w:rFonts w:ascii="Arial" w:eastAsia="仿宋_GB2312;仿宋" w:hAnsi="Arial" w:cs="Arial"/>
          <w:bCs/>
          <w:color w:val="000000"/>
          <w:sz w:val="28"/>
          <w:szCs w:val="28"/>
        </w:rPr>
        <w:t>资源台</w:t>
      </w:r>
      <w:proofErr w:type="gramEnd"/>
      <w:r>
        <w:rPr>
          <w:rFonts w:ascii="Arial" w:eastAsia="仿宋_GB2312;仿宋" w:hAnsi="Arial" w:cs="Arial"/>
          <w:bCs/>
          <w:color w:val="000000"/>
          <w:sz w:val="28"/>
          <w:szCs w:val="28"/>
        </w:rPr>
        <w:t>账和项目</w:t>
      </w:r>
      <w:proofErr w:type="gramStart"/>
      <w:r>
        <w:rPr>
          <w:rFonts w:ascii="Arial" w:eastAsia="仿宋_GB2312;仿宋" w:hAnsi="Arial" w:cs="Arial"/>
          <w:bCs/>
          <w:color w:val="000000"/>
          <w:sz w:val="28"/>
          <w:szCs w:val="28"/>
        </w:rPr>
        <w:t>储备库并动态</w:t>
      </w:r>
      <w:proofErr w:type="gramEnd"/>
      <w:r>
        <w:rPr>
          <w:rFonts w:ascii="Arial" w:eastAsia="仿宋_GB2312;仿宋" w:hAnsi="Arial" w:cs="Arial"/>
          <w:bCs/>
          <w:color w:val="000000"/>
          <w:sz w:val="28"/>
          <w:szCs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Pr>
          <w:rFonts w:ascii="Arial" w:eastAsia="仿宋_GB2312;仿宋" w:hAnsi="Arial" w:cs="Arial"/>
          <w:bCs/>
          <w:color w:val="000000"/>
          <w:sz w:val="28"/>
          <w:szCs w:val="28"/>
        </w:rPr>
        <w:t>10%</w:t>
      </w:r>
      <w:r>
        <w:rPr>
          <w:rFonts w:ascii="Arial" w:eastAsia="仿宋_GB2312;仿宋" w:hAnsi="Arial" w:cs="Arial"/>
          <w:bCs/>
          <w:color w:val="000000"/>
          <w:sz w:val="28"/>
          <w:szCs w:val="28"/>
        </w:rPr>
        <w:t>的比例、老旧厂房改造和配套基础设施改造项目按照固定资产投资总额</w:t>
      </w:r>
      <w:r>
        <w:rPr>
          <w:rFonts w:ascii="Arial" w:eastAsia="仿宋_GB2312;仿宋" w:hAnsi="Arial" w:cs="Arial"/>
          <w:bCs/>
          <w:color w:val="000000"/>
          <w:sz w:val="28"/>
          <w:szCs w:val="28"/>
        </w:rPr>
        <w:t>30%</w:t>
      </w:r>
      <w:r>
        <w:rPr>
          <w:rFonts w:ascii="Arial" w:eastAsia="仿宋_GB2312;仿宋" w:hAnsi="Arial" w:cs="Arial"/>
          <w:bCs/>
          <w:color w:val="000000"/>
          <w:sz w:val="28"/>
          <w:szCs w:val="28"/>
        </w:rPr>
        <w:t>的比例安排补助资金；贷款贴息方式是对改造升级项目发生的银行贷款按照</w:t>
      </w:r>
      <w:r>
        <w:rPr>
          <w:rFonts w:ascii="Arial" w:eastAsia="仿宋_GB2312;仿宋" w:hAnsi="Arial" w:cs="Arial"/>
          <w:bCs/>
          <w:color w:val="000000"/>
          <w:sz w:val="28"/>
          <w:szCs w:val="28"/>
        </w:rPr>
        <w:t>LPR</w:t>
      </w:r>
      <w:r>
        <w:rPr>
          <w:rFonts w:ascii="Arial" w:eastAsia="仿宋_GB2312;仿宋" w:hAnsi="Arial" w:cs="Arial"/>
          <w:bCs/>
          <w:color w:val="000000"/>
          <w:sz w:val="28"/>
          <w:szCs w:val="28"/>
        </w:rPr>
        <w:t>（实际利率低于</w:t>
      </w:r>
      <w:r>
        <w:rPr>
          <w:rFonts w:ascii="Arial" w:eastAsia="仿宋_GB2312;仿宋" w:hAnsi="Arial" w:cs="Arial"/>
          <w:bCs/>
          <w:color w:val="000000"/>
          <w:sz w:val="28"/>
          <w:szCs w:val="28"/>
        </w:rPr>
        <w:t>LPR</w:t>
      </w:r>
      <w:r>
        <w:rPr>
          <w:rFonts w:ascii="Arial" w:eastAsia="仿宋_GB2312;仿宋" w:hAnsi="Arial" w:cs="Arial"/>
          <w:bCs/>
          <w:color w:val="000000"/>
          <w:sz w:val="28"/>
          <w:szCs w:val="28"/>
        </w:rPr>
        <w:t>的，按照实际利率）给予不超过</w:t>
      </w:r>
      <w:r>
        <w:rPr>
          <w:rFonts w:ascii="Arial" w:eastAsia="仿宋_GB2312;仿宋" w:hAnsi="Arial" w:cs="Arial"/>
          <w:bCs/>
          <w:color w:val="000000"/>
          <w:sz w:val="28"/>
          <w:szCs w:val="28"/>
        </w:rPr>
        <w:t>2</w:t>
      </w:r>
      <w:r>
        <w:rPr>
          <w:rFonts w:ascii="Arial" w:eastAsia="仿宋_GB2312;仿宋" w:hAnsi="Arial" w:cs="Arial"/>
          <w:bCs/>
          <w:color w:val="000000"/>
          <w:sz w:val="28"/>
          <w:szCs w:val="28"/>
        </w:rPr>
        <w:t>年的贴息支持。</w:t>
      </w:r>
    </w:p>
    <w:p w14:paraId="22B39A63" w14:textId="77777777" w:rsidR="00E70101" w:rsidRDefault="0060680B">
      <w:pPr>
        <w:widowControl/>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w:t>
      </w:r>
      <w:r>
        <w:rPr>
          <w:rFonts w:ascii="Arial" w:eastAsia="仿宋_GB2312;仿宋" w:hAnsi="Arial" w:cs="Arial"/>
          <w:bCs/>
          <w:color w:val="000000"/>
          <w:sz w:val="28"/>
          <w:szCs w:val="28"/>
        </w:rPr>
        <w:t>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发展和改革委员会发布《关于印发北京市产业地图和产业政策导引的通知》，清晰勾勒北京市产业现状和布局，服务和引导经营主体精准布局、项目快速落地，促进产业错位互补发展。产业地图覆盖一二三产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高精尖</w:t>
      </w:r>
      <w:r>
        <w:rPr>
          <w:rFonts w:ascii="Arial" w:eastAsia="仿宋_GB2312;仿宋" w:hAnsi="Arial" w:cs="Arial"/>
          <w:bCs/>
          <w:color w:val="000000"/>
          <w:sz w:val="28"/>
          <w:szCs w:val="28"/>
        </w:rPr>
        <w:t>”</w:t>
      </w:r>
      <w:r>
        <w:rPr>
          <w:rFonts w:ascii="Arial" w:eastAsia="仿宋_GB2312;仿宋" w:hAnsi="Arial" w:cs="Arial"/>
          <w:bCs/>
          <w:color w:val="000000"/>
          <w:sz w:val="28"/>
          <w:szCs w:val="28"/>
        </w:rPr>
        <w:t>产业、现代服务业、</w:t>
      </w:r>
      <w:r>
        <w:rPr>
          <w:rFonts w:ascii="Arial" w:eastAsia="仿宋_GB2312;仿宋" w:hAnsi="Arial" w:cs="Arial"/>
          <w:bCs/>
          <w:color w:val="000000"/>
          <w:sz w:val="28"/>
          <w:szCs w:val="28"/>
        </w:rPr>
        <w:t>“</w:t>
      </w:r>
      <w:r>
        <w:rPr>
          <w:rFonts w:ascii="Arial" w:eastAsia="仿宋_GB2312;仿宋" w:hAnsi="Arial" w:cs="Arial"/>
          <w:bCs/>
          <w:color w:val="000000"/>
          <w:sz w:val="28"/>
          <w:szCs w:val="28"/>
        </w:rPr>
        <w:t>两业融合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先进制造业和现代服务业融合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、现代基础设施产业、现代农业等</w:t>
      </w:r>
      <w:r>
        <w:rPr>
          <w:rFonts w:ascii="Arial" w:eastAsia="仿宋_GB2312;仿宋" w:hAnsi="Arial" w:cs="Arial"/>
          <w:bCs/>
          <w:color w:val="000000"/>
          <w:sz w:val="28"/>
          <w:szCs w:val="28"/>
        </w:rPr>
        <w:t>31</w:t>
      </w:r>
      <w:r>
        <w:rPr>
          <w:rFonts w:ascii="Arial" w:eastAsia="仿宋_GB2312;仿宋" w:hAnsi="Arial" w:cs="Arial"/>
          <w:bCs/>
          <w:color w:val="000000"/>
          <w:sz w:val="28"/>
          <w:szCs w:val="28"/>
        </w:rPr>
        <w:t>个重点行业，聚焦</w:t>
      </w:r>
      <w:r>
        <w:rPr>
          <w:rFonts w:ascii="Arial" w:eastAsia="仿宋_GB2312;仿宋" w:hAnsi="Arial" w:cs="Arial"/>
          <w:bCs/>
          <w:color w:val="000000"/>
          <w:sz w:val="28"/>
          <w:szCs w:val="28"/>
        </w:rPr>
        <w:t>16</w:t>
      </w:r>
      <w:r>
        <w:rPr>
          <w:rFonts w:ascii="Arial" w:eastAsia="仿宋_GB2312;仿宋" w:hAnsi="Arial" w:cs="Arial"/>
          <w:bCs/>
          <w:color w:val="000000"/>
          <w:sz w:val="28"/>
          <w:szCs w:val="28"/>
        </w:rPr>
        <w:t>个区和北京经济技术开发区的重点产业区域，全面展示各区、相关园区产业基础和资源禀赋优势。此次北京市</w:t>
      </w:r>
      <w:proofErr w:type="gramStart"/>
      <w:r>
        <w:rPr>
          <w:rFonts w:ascii="Arial" w:eastAsia="仿宋_GB2312;仿宋" w:hAnsi="Arial" w:cs="Arial"/>
          <w:bCs/>
          <w:color w:val="000000"/>
          <w:sz w:val="28"/>
          <w:szCs w:val="28"/>
        </w:rPr>
        <w:t>基于近</w:t>
      </w:r>
      <w:proofErr w:type="gramEnd"/>
      <w:r>
        <w:rPr>
          <w:rFonts w:ascii="Arial" w:eastAsia="仿宋_GB2312;仿宋" w:hAnsi="Arial" w:cs="Arial"/>
          <w:bCs/>
          <w:color w:val="000000"/>
          <w:sz w:val="28"/>
          <w:szCs w:val="28"/>
        </w:rPr>
        <w:t>3</w:t>
      </w:r>
      <w:r>
        <w:rPr>
          <w:rFonts w:ascii="Arial" w:eastAsia="仿宋_GB2312;仿宋" w:hAnsi="Arial" w:cs="Arial"/>
          <w:bCs/>
          <w:color w:val="000000"/>
          <w:sz w:val="28"/>
          <w:szCs w:val="28"/>
        </w:rPr>
        <w:t>年市级出台的相关产业政策，与产业地图同步推出政策导引，将具体政策核心条款、服务内容、办理流程、联系部门和电话提炼成</w:t>
      </w:r>
      <w:r>
        <w:rPr>
          <w:rFonts w:ascii="Arial" w:eastAsia="仿宋_GB2312;仿宋" w:hAnsi="Arial" w:cs="Arial"/>
          <w:bCs/>
          <w:color w:val="000000"/>
          <w:sz w:val="28"/>
          <w:szCs w:val="28"/>
        </w:rPr>
        <w:t>145</w:t>
      </w:r>
      <w:r>
        <w:rPr>
          <w:rFonts w:ascii="Arial" w:eastAsia="仿宋_GB2312;仿宋" w:hAnsi="Arial" w:cs="Arial"/>
          <w:bCs/>
          <w:color w:val="000000"/>
          <w:sz w:val="28"/>
          <w:szCs w:val="28"/>
        </w:rPr>
        <w:t>张政策工具应用指南卡片，其中</w:t>
      </w:r>
      <w:r>
        <w:rPr>
          <w:rFonts w:ascii="Arial" w:eastAsia="仿宋_GB2312;仿宋" w:hAnsi="Arial" w:cs="Arial"/>
          <w:bCs/>
          <w:color w:val="000000"/>
          <w:sz w:val="28"/>
          <w:szCs w:val="28"/>
        </w:rPr>
        <w:t>30</w:t>
      </w:r>
      <w:r>
        <w:rPr>
          <w:rFonts w:ascii="Arial" w:eastAsia="仿宋_GB2312;仿宋" w:hAnsi="Arial" w:cs="Arial"/>
          <w:bCs/>
          <w:color w:val="000000"/>
          <w:sz w:val="28"/>
          <w:szCs w:val="28"/>
        </w:rPr>
        <w:t>张与产业地图对应展示，形成</w:t>
      </w:r>
      <w:r>
        <w:rPr>
          <w:rFonts w:ascii="Arial" w:eastAsia="仿宋_GB2312;仿宋" w:hAnsi="Arial" w:cs="Arial"/>
          <w:bCs/>
          <w:color w:val="000000"/>
          <w:sz w:val="28"/>
          <w:szCs w:val="28"/>
        </w:rPr>
        <w:t>“</w:t>
      </w:r>
      <w:r>
        <w:rPr>
          <w:rFonts w:ascii="Arial" w:eastAsia="仿宋_GB2312;仿宋" w:hAnsi="Arial" w:cs="Arial"/>
          <w:bCs/>
          <w:color w:val="000000"/>
          <w:sz w:val="28"/>
          <w:szCs w:val="28"/>
        </w:rPr>
        <w:t>地图</w:t>
      </w:r>
      <w:r>
        <w:rPr>
          <w:rFonts w:ascii="Arial" w:eastAsia="仿宋_GB2312;仿宋" w:hAnsi="Arial" w:cs="Arial"/>
          <w:bCs/>
          <w:color w:val="000000"/>
          <w:sz w:val="28"/>
          <w:szCs w:val="28"/>
        </w:rPr>
        <w:t>+</w:t>
      </w:r>
      <w:r>
        <w:rPr>
          <w:rFonts w:ascii="Arial" w:eastAsia="仿宋_GB2312;仿宋" w:hAnsi="Arial" w:cs="Arial"/>
          <w:bCs/>
          <w:color w:val="000000"/>
          <w:sz w:val="28"/>
          <w:szCs w:val="28"/>
        </w:rPr>
        <w:t>政策</w:t>
      </w:r>
      <w:r>
        <w:rPr>
          <w:rFonts w:ascii="Arial" w:eastAsia="仿宋_GB2312;仿宋" w:hAnsi="Arial" w:cs="Arial"/>
          <w:bCs/>
          <w:color w:val="000000"/>
          <w:sz w:val="28"/>
          <w:szCs w:val="28"/>
        </w:rPr>
        <w:t>”</w:t>
      </w:r>
      <w:r>
        <w:rPr>
          <w:rFonts w:ascii="Arial" w:eastAsia="仿宋_GB2312;仿宋" w:hAnsi="Arial" w:cs="Arial"/>
          <w:bCs/>
          <w:color w:val="000000"/>
          <w:sz w:val="28"/>
          <w:szCs w:val="28"/>
        </w:rPr>
        <w:t>的立体化导引。</w:t>
      </w:r>
    </w:p>
    <w:p w14:paraId="5F367A9D"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税收政策：</w:t>
      </w:r>
    </w:p>
    <w:p w14:paraId="480AD125"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年，按照党中央、国务院决策部署，税务总局会同财政部等部门先后发布了一系列延续优化创新实施的税费优惠政策，根据《财政部</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税务总局关于明确增值税小规模纳税人减免增值税等政策的公告》（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号）、《国家税务总局关于增值税小规模纳税人减免增值税等政策有关征管事项的公告》（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号），针对增值税小规模纳税人的优惠政策有：</w:t>
      </w:r>
      <w:r>
        <w:rPr>
          <w:rFonts w:ascii="Arial" w:eastAsia="仿宋_GB2312;仿宋" w:hAnsi="Arial" w:cs="Arial"/>
          <w:bCs/>
          <w:color w:val="000000"/>
          <w:sz w:val="28"/>
          <w:szCs w:val="28"/>
        </w:rPr>
        <w:t>①</w:t>
      </w:r>
      <w:r>
        <w:rPr>
          <w:rFonts w:ascii="Arial" w:eastAsia="仿宋_GB2312;仿宋" w:hAnsi="Arial" w:cs="Arial"/>
          <w:bCs/>
          <w:color w:val="000000"/>
          <w:sz w:val="28"/>
          <w:szCs w:val="28"/>
        </w:rPr>
        <w:t>增值税政策增值税小规模纳税人发生增值税应税销售行为，合计月销售额未超过</w:t>
      </w:r>
      <w:r>
        <w:rPr>
          <w:rFonts w:ascii="Arial" w:eastAsia="仿宋_GB2312;仿宋" w:hAnsi="Arial" w:cs="Arial"/>
          <w:bCs/>
          <w:color w:val="000000"/>
          <w:sz w:val="28"/>
          <w:szCs w:val="28"/>
        </w:rPr>
        <w:t>10</w:t>
      </w:r>
      <w:r>
        <w:rPr>
          <w:rFonts w:ascii="Arial" w:eastAsia="仿宋_GB2312;仿宋" w:hAnsi="Arial" w:cs="Arial"/>
          <w:bCs/>
          <w:color w:val="000000"/>
          <w:sz w:val="28"/>
          <w:szCs w:val="28"/>
        </w:rPr>
        <w:t>万元（以</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个季度为</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个纳税期的，季度销售额未超过</w:t>
      </w:r>
      <w:r>
        <w:rPr>
          <w:rFonts w:ascii="Arial" w:eastAsia="仿宋_GB2312;仿宋" w:hAnsi="Arial" w:cs="Arial"/>
          <w:bCs/>
          <w:color w:val="000000"/>
          <w:sz w:val="28"/>
          <w:szCs w:val="28"/>
        </w:rPr>
        <w:t>30</w:t>
      </w:r>
      <w:r>
        <w:rPr>
          <w:rFonts w:ascii="Arial" w:eastAsia="仿宋_GB2312;仿宋" w:hAnsi="Arial" w:cs="Arial"/>
          <w:bCs/>
          <w:color w:val="000000"/>
          <w:sz w:val="28"/>
          <w:szCs w:val="28"/>
        </w:rPr>
        <w:t>万元，下同）的，免征增值税。</w:t>
      </w:r>
      <w:r>
        <w:rPr>
          <w:rFonts w:ascii="Arial" w:eastAsia="仿宋_GB2312;仿宋" w:hAnsi="Arial" w:cs="Arial"/>
          <w:bCs/>
          <w:color w:val="000000"/>
          <w:sz w:val="28"/>
          <w:szCs w:val="28"/>
        </w:rPr>
        <w:t>②</w:t>
      </w:r>
      <w:r>
        <w:rPr>
          <w:rFonts w:ascii="Arial" w:eastAsia="仿宋_GB2312;仿宋" w:hAnsi="Arial" w:cs="Arial"/>
          <w:bCs/>
          <w:color w:val="000000"/>
          <w:sz w:val="28"/>
          <w:szCs w:val="28"/>
        </w:rPr>
        <w:t>自</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w:t>
      </w:r>
      <w:r>
        <w:rPr>
          <w:rFonts w:ascii="Arial" w:eastAsia="仿宋_GB2312;仿宋" w:hAnsi="Arial" w:cs="Arial"/>
          <w:bCs/>
          <w:color w:val="000000"/>
          <w:sz w:val="28"/>
          <w:szCs w:val="28"/>
        </w:rPr>
        <w:t>日至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日，增值税小规模纳税人适用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征收率的应税销售收入，减按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征收率征收增值税；适用</w:t>
      </w:r>
      <w:r>
        <w:rPr>
          <w:rFonts w:ascii="Arial" w:eastAsia="仿宋_GB2312;仿宋" w:hAnsi="Arial" w:cs="Arial"/>
          <w:bCs/>
          <w:color w:val="000000"/>
          <w:sz w:val="28"/>
          <w:szCs w:val="28"/>
        </w:rPr>
        <w:t>3%</w:t>
      </w:r>
      <w:proofErr w:type="gramStart"/>
      <w:r>
        <w:rPr>
          <w:rFonts w:ascii="Arial" w:eastAsia="仿宋_GB2312;仿宋" w:hAnsi="Arial" w:cs="Arial"/>
          <w:bCs/>
          <w:color w:val="000000"/>
          <w:sz w:val="28"/>
          <w:szCs w:val="28"/>
        </w:rPr>
        <w:t>预征率</w:t>
      </w:r>
      <w:proofErr w:type="gramEnd"/>
      <w:r>
        <w:rPr>
          <w:rFonts w:ascii="Arial" w:eastAsia="仿宋_GB2312;仿宋" w:hAnsi="Arial" w:cs="Arial"/>
          <w:bCs/>
          <w:color w:val="000000"/>
          <w:sz w:val="28"/>
          <w:szCs w:val="28"/>
        </w:rPr>
        <w:t>的预缴增值税项目，减按</w:t>
      </w:r>
      <w:r>
        <w:rPr>
          <w:rFonts w:ascii="Arial" w:eastAsia="仿宋_GB2312;仿宋" w:hAnsi="Arial" w:cs="Arial"/>
          <w:bCs/>
          <w:color w:val="000000"/>
          <w:sz w:val="28"/>
          <w:szCs w:val="28"/>
        </w:rPr>
        <w:t>1%</w:t>
      </w:r>
      <w:proofErr w:type="gramStart"/>
      <w:r>
        <w:rPr>
          <w:rFonts w:ascii="Arial" w:eastAsia="仿宋_GB2312;仿宋" w:hAnsi="Arial" w:cs="Arial"/>
          <w:bCs/>
          <w:color w:val="000000"/>
          <w:sz w:val="28"/>
          <w:szCs w:val="28"/>
        </w:rPr>
        <w:t>预征率</w:t>
      </w:r>
      <w:proofErr w:type="gramEnd"/>
      <w:r>
        <w:rPr>
          <w:rFonts w:ascii="Arial" w:eastAsia="仿宋_GB2312;仿宋" w:hAnsi="Arial" w:cs="Arial"/>
          <w:bCs/>
          <w:color w:val="000000"/>
          <w:sz w:val="28"/>
          <w:szCs w:val="28"/>
        </w:rPr>
        <w:t>预缴增值税。</w:t>
      </w:r>
    </w:p>
    <w:p w14:paraId="620658CC"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金融政策：</w:t>
      </w:r>
    </w:p>
    <w:p w14:paraId="28897A9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2022</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月，北京市发布《</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年度高精尖产业发展资金实施指南》（以下简称</w:t>
      </w:r>
      <w:r>
        <w:rPr>
          <w:rFonts w:ascii="Arial" w:eastAsia="仿宋_GB2312;仿宋" w:hAnsi="Arial" w:cs="Arial"/>
          <w:bCs/>
          <w:color w:val="000000"/>
          <w:sz w:val="28"/>
          <w:szCs w:val="28"/>
        </w:rPr>
        <w:t>‘</w:t>
      </w:r>
      <w:r>
        <w:rPr>
          <w:rFonts w:ascii="Arial" w:eastAsia="仿宋_GB2312;仿宋" w:hAnsi="Arial" w:cs="Arial"/>
          <w:bCs/>
          <w:color w:val="000000"/>
          <w:sz w:val="28"/>
          <w:szCs w:val="28"/>
        </w:rPr>
        <w:t>实施指南</w:t>
      </w:r>
      <w:r>
        <w:rPr>
          <w:rFonts w:ascii="Arial" w:eastAsia="仿宋_GB2312;仿宋" w:hAnsi="Arial" w:cs="Arial"/>
          <w:bCs/>
          <w:color w:val="000000"/>
          <w:sz w:val="28"/>
          <w:szCs w:val="28"/>
        </w:rPr>
        <w:t>’</w:t>
      </w:r>
      <w:r>
        <w:rPr>
          <w:rFonts w:ascii="Arial" w:eastAsia="仿宋_GB2312;仿宋" w:hAnsi="Arial" w:cs="Arial"/>
          <w:bCs/>
          <w:color w:val="000000"/>
          <w:sz w:val="28"/>
          <w:szCs w:val="28"/>
        </w:rPr>
        <w:t>），进一步加大普惠性产业资金支持力度。《实施指南》明确，</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年支持方向主要是高端智能绿色发展和高精尖产业平稳发展两方面，具体分为重点新材料首批</w:t>
      </w:r>
      <w:proofErr w:type="gramStart"/>
      <w:r>
        <w:rPr>
          <w:rFonts w:ascii="Arial" w:eastAsia="仿宋_GB2312;仿宋" w:hAnsi="Arial" w:cs="Arial"/>
          <w:bCs/>
          <w:color w:val="000000"/>
          <w:sz w:val="28"/>
          <w:szCs w:val="28"/>
        </w:rPr>
        <w:t>次应用</w:t>
      </w:r>
      <w:proofErr w:type="gramEnd"/>
      <w:r>
        <w:rPr>
          <w:rFonts w:ascii="Arial" w:eastAsia="仿宋_GB2312;仿宋" w:hAnsi="Arial" w:cs="Arial"/>
          <w:bCs/>
          <w:color w:val="000000"/>
          <w:sz w:val="28"/>
          <w:szCs w:val="28"/>
        </w:rPr>
        <w:t>奖励、医药创新品种首试产奖励等</w:t>
      </w:r>
      <w:r>
        <w:rPr>
          <w:rFonts w:ascii="Arial" w:eastAsia="仿宋_GB2312;仿宋" w:hAnsi="Arial" w:cs="Arial"/>
          <w:bCs/>
          <w:color w:val="000000"/>
          <w:sz w:val="28"/>
          <w:szCs w:val="28"/>
        </w:rPr>
        <w:t>12</w:t>
      </w:r>
      <w:r>
        <w:rPr>
          <w:rFonts w:ascii="Arial" w:eastAsia="仿宋_GB2312;仿宋" w:hAnsi="Arial" w:cs="Arial"/>
          <w:bCs/>
          <w:color w:val="000000"/>
          <w:sz w:val="28"/>
          <w:szCs w:val="28"/>
        </w:rPr>
        <w:t>个细分方向。高精尖资金将坚持</w:t>
      </w:r>
      <w:r>
        <w:rPr>
          <w:rFonts w:ascii="Arial" w:eastAsia="仿宋_GB2312;仿宋" w:hAnsi="Arial" w:cs="Arial"/>
          <w:bCs/>
          <w:color w:val="000000"/>
          <w:sz w:val="28"/>
          <w:szCs w:val="28"/>
        </w:rPr>
        <w:t>“</w:t>
      </w:r>
      <w:r>
        <w:rPr>
          <w:rFonts w:ascii="Arial" w:eastAsia="仿宋_GB2312;仿宋" w:hAnsi="Arial" w:cs="Arial"/>
          <w:bCs/>
          <w:color w:val="000000"/>
          <w:sz w:val="28"/>
          <w:szCs w:val="28"/>
        </w:rPr>
        <w:t>普惠共享</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支持原则，采取明确标准、达标即享的方式，进一步优化申报流程，确保对达标企业给予支持，扩大资金支持覆盖面，提高资金使用透明度。《实施指南》强调，要更加注重发挥有为政府和有效市场的双重作用，提升资金</w:t>
      </w:r>
      <w:r>
        <w:rPr>
          <w:rFonts w:ascii="Arial" w:eastAsia="仿宋_GB2312;仿宋" w:hAnsi="Arial" w:cs="Arial"/>
          <w:bCs/>
          <w:color w:val="000000"/>
          <w:sz w:val="28"/>
          <w:szCs w:val="28"/>
        </w:rPr>
        <w:t>“</w:t>
      </w:r>
      <w:r>
        <w:rPr>
          <w:rFonts w:ascii="Arial" w:eastAsia="仿宋_GB2312;仿宋" w:hAnsi="Arial" w:cs="Arial"/>
          <w:bCs/>
          <w:color w:val="000000"/>
          <w:sz w:val="28"/>
          <w:szCs w:val="28"/>
        </w:rPr>
        <w:t>四两拨千斤</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的政策效能，更加有力地服务支撑本市制造业高质量发展，为稳定经济增长和促进产业转型升级发挥积极作用。</w:t>
      </w:r>
    </w:p>
    <w:p w14:paraId="3D304BE5"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4.</w:t>
      </w:r>
      <w:r>
        <w:rPr>
          <w:rFonts w:ascii="Arial" w:eastAsia="仿宋_GB2312;仿宋" w:hAnsi="Arial" w:cs="Arial"/>
          <w:bCs/>
          <w:sz w:val="28"/>
          <w:szCs w:val="28"/>
        </w:rPr>
        <w:t>城市规划与发展目标</w:t>
      </w:r>
    </w:p>
    <w:p w14:paraId="00DC58A7"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《北京市国民经济和社会发展第十四个五年规划和二〇三五年远景目标纲要》（以下简称《纲要》）的指导思想，是要统筹推进</w:t>
      </w:r>
      <w:r>
        <w:rPr>
          <w:rFonts w:ascii="Arial" w:eastAsia="仿宋_GB2312;仿宋" w:hAnsi="Arial" w:cs="Arial"/>
          <w:bCs/>
          <w:sz w:val="28"/>
          <w:szCs w:val="28"/>
        </w:rPr>
        <w:t>“</w:t>
      </w:r>
      <w:r>
        <w:rPr>
          <w:rFonts w:ascii="Arial" w:eastAsia="仿宋_GB2312;仿宋" w:hAnsi="Arial" w:cs="Arial"/>
          <w:bCs/>
          <w:sz w:val="28"/>
          <w:szCs w:val="28"/>
        </w:rPr>
        <w:t>五位一体</w:t>
      </w:r>
      <w:r>
        <w:rPr>
          <w:rFonts w:ascii="Arial" w:eastAsia="仿宋_GB2312;仿宋" w:hAnsi="Arial" w:cs="Arial"/>
          <w:bCs/>
          <w:sz w:val="28"/>
          <w:szCs w:val="28"/>
        </w:rPr>
        <w:t>”</w:t>
      </w:r>
      <w:r>
        <w:rPr>
          <w:rFonts w:ascii="Arial" w:eastAsia="仿宋_GB2312;仿宋" w:hAnsi="Arial" w:cs="Arial"/>
          <w:bCs/>
          <w:sz w:val="28"/>
          <w:szCs w:val="28"/>
        </w:rPr>
        <w:t>总体布局，协调推进</w:t>
      </w:r>
      <w:r>
        <w:rPr>
          <w:rFonts w:ascii="Arial" w:eastAsia="仿宋_GB2312;仿宋" w:hAnsi="Arial" w:cs="Arial"/>
          <w:bCs/>
          <w:sz w:val="28"/>
          <w:szCs w:val="28"/>
        </w:rPr>
        <w:t>“</w:t>
      </w:r>
      <w:r>
        <w:rPr>
          <w:rFonts w:ascii="Arial" w:eastAsia="仿宋_GB2312;仿宋" w:hAnsi="Arial" w:cs="Arial"/>
          <w:bCs/>
          <w:sz w:val="28"/>
          <w:szCs w:val="28"/>
        </w:rPr>
        <w:t>四个全面</w:t>
      </w:r>
      <w:r>
        <w:rPr>
          <w:rFonts w:ascii="Arial" w:eastAsia="仿宋_GB2312;仿宋" w:hAnsi="Arial" w:cs="Arial"/>
          <w:bCs/>
          <w:sz w:val="28"/>
          <w:szCs w:val="28"/>
        </w:rPr>
        <w:t>”</w:t>
      </w:r>
      <w:r>
        <w:rPr>
          <w:rFonts w:ascii="Arial" w:eastAsia="仿宋_GB2312;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仿宋" w:hAnsi="Arial" w:cs="Arial"/>
          <w:bCs/>
          <w:sz w:val="28"/>
          <w:szCs w:val="28"/>
        </w:rPr>
        <w:t>疏解非首都</w:t>
      </w:r>
      <w:proofErr w:type="gramEnd"/>
      <w:r>
        <w:rPr>
          <w:rFonts w:ascii="Arial" w:eastAsia="仿宋_GB2312;仿宋" w:hAnsi="Arial" w:cs="Arial"/>
          <w:bCs/>
          <w:sz w:val="28"/>
          <w:szCs w:val="28"/>
        </w:rPr>
        <w:t>功能为</w:t>
      </w:r>
      <w:r>
        <w:rPr>
          <w:rFonts w:ascii="Arial" w:eastAsia="仿宋_GB2312;仿宋" w:hAnsi="Arial" w:cs="Arial"/>
          <w:bCs/>
          <w:sz w:val="28"/>
          <w:szCs w:val="28"/>
        </w:rPr>
        <w:t>“</w:t>
      </w:r>
      <w:r>
        <w:rPr>
          <w:rFonts w:ascii="Arial" w:eastAsia="仿宋_GB2312;仿宋" w:hAnsi="Arial" w:cs="Arial"/>
          <w:bCs/>
          <w:sz w:val="28"/>
          <w:szCs w:val="28"/>
        </w:rPr>
        <w:t>牛鼻子</w:t>
      </w:r>
      <w:r>
        <w:rPr>
          <w:rFonts w:ascii="Arial" w:eastAsia="仿宋_GB2312;仿宋" w:hAnsi="Arial" w:cs="Arial"/>
          <w:bCs/>
          <w:sz w:val="28"/>
          <w:szCs w:val="28"/>
        </w:rPr>
        <w:t>”</w:t>
      </w:r>
      <w:r>
        <w:rPr>
          <w:rFonts w:ascii="Arial" w:eastAsia="仿宋_GB2312;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041A495"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《纲要》提出，</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时期要坚决落实创新在现代化建设全局中的核心地位。加快建设</w:t>
      </w:r>
      <w:r>
        <w:rPr>
          <w:rFonts w:ascii="Arial" w:eastAsia="仿宋_GB2312;仿宋" w:hAnsi="Arial" w:cs="Arial"/>
          <w:bCs/>
          <w:sz w:val="28"/>
          <w:szCs w:val="28"/>
        </w:rPr>
        <w:t>“</w:t>
      </w:r>
      <w:r>
        <w:rPr>
          <w:rFonts w:ascii="Arial" w:eastAsia="仿宋_GB2312;仿宋" w:hAnsi="Arial" w:cs="Arial"/>
          <w:bCs/>
          <w:sz w:val="28"/>
          <w:szCs w:val="28"/>
        </w:rPr>
        <w:t>三城一区</w:t>
      </w:r>
      <w:r>
        <w:rPr>
          <w:rFonts w:ascii="Arial" w:eastAsia="仿宋_GB2312;仿宋" w:hAnsi="Arial" w:cs="Arial"/>
          <w:bCs/>
          <w:sz w:val="28"/>
          <w:szCs w:val="28"/>
        </w:rPr>
        <w:t>”</w:t>
      </w:r>
      <w:r>
        <w:rPr>
          <w:rFonts w:ascii="Arial" w:eastAsia="仿宋_GB2312;仿宋" w:hAnsi="Arial" w:cs="Arial"/>
          <w:bCs/>
          <w:sz w:val="28"/>
          <w:szCs w:val="28"/>
        </w:rPr>
        <w:t>主平台和中关村示范区主阵地：</w:t>
      </w:r>
      <w:r>
        <w:rPr>
          <w:rFonts w:ascii="Arial" w:eastAsia="仿宋_GB2312;仿宋" w:hAnsi="Arial" w:cs="Arial"/>
          <w:bCs/>
          <w:sz w:val="28"/>
          <w:szCs w:val="28"/>
        </w:rPr>
        <w:t>1.</w:t>
      </w:r>
      <w:r>
        <w:rPr>
          <w:rFonts w:ascii="Arial" w:eastAsia="仿宋_GB2312;仿宋" w:hAnsi="Arial" w:cs="Arial"/>
          <w:bCs/>
          <w:sz w:val="28"/>
          <w:szCs w:val="28"/>
        </w:rPr>
        <w:t>聚焦中关村科学城，立足</w:t>
      </w:r>
      <w:r>
        <w:rPr>
          <w:rFonts w:ascii="Arial" w:eastAsia="仿宋_GB2312;仿宋" w:hAnsi="Arial" w:cs="Arial"/>
          <w:bCs/>
          <w:sz w:val="28"/>
          <w:szCs w:val="28"/>
        </w:rPr>
        <w:t>“</w:t>
      </w:r>
      <w:r>
        <w:rPr>
          <w:rFonts w:ascii="Arial" w:eastAsia="仿宋_GB2312;仿宋" w:hAnsi="Arial" w:cs="Arial"/>
          <w:bCs/>
          <w:sz w:val="28"/>
          <w:szCs w:val="28"/>
        </w:rPr>
        <w:t>一轴</w:t>
      </w:r>
      <w:proofErr w:type="gramStart"/>
      <w:r>
        <w:rPr>
          <w:rFonts w:ascii="Arial" w:eastAsia="仿宋_GB2312;仿宋" w:hAnsi="Arial" w:cs="Arial"/>
          <w:bCs/>
          <w:sz w:val="28"/>
          <w:szCs w:val="28"/>
        </w:rPr>
        <w:t>一</w:t>
      </w:r>
      <w:proofErr w:type="gramEnd"/>
      <w:r>
        <w:rPr>
          <w:rFonts w:ascii="Arial" w:eastAsia="仿宋_GB2312;仿宋" w:hAnsi="Arial" w:cs="Arial"/>
          <w:bCs/>
          <w:sz w:val="28"/>
          <w:szCs w:val="28"/>
        </w:rPr>
        <w:t>廊一带，一极多组团多节点</w:t>
      </w:r>
      <w:r>
        <w:rPr>
          <w:rFonts w:ascii="Arial" w:eastAsia="仿宋_GB2312;仿宋" w:hAnsi="Arial" w:cs="Arial"/>
          <w:bCs/>
          <w:sz w:val="28"/>
          <w:szCs w:val="28"/>
        </w:rPr>
        <w:t>”</w:t>
      </w:r>
      <w:r>
        <w:rPr>
          <w:rFonts w:ascii="Arial" w:eastAsia="仿宋_GB2312;仿宋" w:hAnsi="Arial" w:cs="Arial"/>
          <w:bCs/>
          <w:sz w:val="28"/>
          <w:szCs w:val="28"/>
        </w:rPr>
        <w:t>，持续推动产业与空间高效匹配。在中关村科学城北区建设国际创新创业示范区，</w:t>
      </w:r>
      <w:proofErr w:type="gramStart"/>
      <w:r>
        <w:rPr>
          <w:rFonts w:ascii="Arial" w:eastAsia="仿宋_GB2312;仿宋" w:hAnsi="Arial" w:cs="Arial"/>
          <w:bCs/>
          <w:sz w:val="28"/>
          <w:szCs w:val="28"/>
        </w:rPr>
        <w:t>搭建全</w:t>
      </w:r>
      <w:proofErr w:type="gramEnd"/>
      <w:r>
        <w:rPr>
          <w:rFonts w:ascii="Arial" w:eastAsia="仿宋_GB2312;仿宋" w:hAnsi="Arial" w:cs="Arial"/>
          <w:bCs/>
          <w:sz w:val="28"/>
          <w:szCs w:val="28"/>
        </w:rPr>
        <w:t>链条、专业化、国际化的综合服务平台，持续优化国际化宜</w:t>
      </w:r>
      <w:proofErr w:type="gramStart"/>
      <w:r>
        <w:rPr>
          <w:rFonts w:ascii="Arial" w:eastAsia="仿宋_GB2312;仿宋" w:hAnsi="Arial" w:cs="Arial"/>
          <w:bCs/>
          <w:sz w:val="28"/>
          <w:szCs w:val="28"/>
        </w:rPr>
        <w:t>居宜业</w:t>
      </w:r>
      <w:proofErr w:type="gramEnd"/>
      <w:r>
        <w:rPr>
          <w:rFonts w:ascii="Arial" w:eastAsia="仿宋_GB2312;仿宋" w:hAnsi="Arial" w:cs="Arial"/>
          <w:bCs/>
          <w:sz w:val="28"/>
          <w:szCs w:val="28"/>
        </w:rPr>
        <w:t>环境，打造北京国际科技创新中心建设新的重要支撑和新增长极。</w:t>
      </w:r>
      <w:r>
        <w:rPr>
          <w:rFonts w:ascii="Arial" w:eastAsia="仿宋_GB2312;仿宋" w:hAnsi="Arial" w:cs="Arial"/>
          <w:bCs/>
          <w:sz w:val="28"/>
          <w:szCs w:val="28"/>
        </w:rPr>
        <w:t>2.</w:t>
      </w:r>
      <w:r>
        <w:rPr>
          <w:rFonts w:ascii="Arial" w:eastAsia="仿宋_GB2312;仿宋" w:hAnsi="Arial" w:cs="Arial"/>
          <w:bCs/>
          <w:sz w:val="28"/>
          <w:szCs w:val="28"/>
        </w:rPr>
        <w:t>突破怀柔科学城，以支撑北京怀柔综合性国家科学中心建设为核心，体系化布局一批设施平台、创新主体。突出科学功能适度集聚与城市发展集约高效的有机融合。聚焦</w:t>
      </w:r>
      <w:r>
        <w:rPr>
          <w:rFonts w:ascii="Arial" w:eastAsia="仿宋_GB2312;仿宋" w:hAnsi="Arial" w:cs="Arial"/>
          <w:bCs/>
          <w:sz w:val="28"/>
          <w:szCs w:val="28"/>
        </w:rPr>
        <w:t>“</w:t>
      </w:r>
      <w:r>
        <w:rPr>
          <w:rFonts w:ascii="Arial" w:eastAsia="仿宋_GB2312;仿宋" w:hAnsi="Arial" w:cs="Arial"/>
          <w:bCs/>
          <w:sz w:val="28"/>
          <w:szCs w:val="28"/>
        </w:rPr>
        <w:t>一心一核</w:t>
      </w:r>
      <w:r>
        <w:rPr>
          <w:rFonts w:ascii="Arial" w:eastAsia="仿宋_GB2312;仿宋" w:hAnsi="Arial" w:cs="Arial"/>
          <w:bCs/>
          <w:sz w:val="28"/>
          <w:szCs w:val="28"/>
        </w:rPr>
        <w:t>”</w:t>
      </w:r>
      <w:r>
        <w:rPr>
          <w:rFonts w:ascii="Arial" w:eastAsia="仿宋_GB2312;仿宋" w:hAnsi="Arial" w:cs="Arial"/>
          <w:bCs/>
          <w:sz w:val="28"/>
          <w:szCs w:val="28"/>
        </w:rPr>
        <w:t>，实施城市客厅等一批城市框架起步区品质提升工程。完善</w:t>
      </w:r>
      <w:r>
        <w:rPr>
          <w:rFonts w:ascii="Arial" w:eastAsia="仿宋_GB2312;仿宋" w:hAnsi="Arial" w:cs="Arial"/>
          <w:bCs/>
          <w:sz w:val="28"/>
          <w:szCs w:val="28"/>
        </w:rPr>
        <w:t>“</w:t>
      </w:r>
      <w:r>
        <w:rPr>
          <w:rFonts w:ascii="Arial" w:eastAsia="仿宋_GB2312;仿宋" w:hAnsi="Arial" w:cs="Arial"/>
          <w:bCs/>
          <w:sz w:val="28"/>
          <w:szCs w:val="28"/>
        </w:rPr>
        <w:t>三片</w:t>
      </w:r>
      <w:r>
        <w:rPr>
          <w:rFonts w:ascii="Arial" w:eastAsia="仿宋_GB2312;仿宋" w:hAnsi="Arial" w:cs="Arial"/>
          <w:bCs/>
          <w:sz w:val="28"/>
          <w:szCs w:val="28"/>
        </w:rPr>
        <w:t>”</w:t>
      </w:r>
      <w:r>
        <w:rPr>
          <w:rFonts w:ascii="Arial" w:eastAsia="仿宋_GB2312;仿宋" w:hAnsi="Arial" w:cs="Arial"/>
          <w:bCs/>
          <w:sz w:val="28"/>
          <w:szCs w:val="28"/>
        </w:rPr>
        <w:t>功能布局。推进怀柔南站交通接驳工程，布局雁栖小镇等重大项目，推进雁</w:t>
      </w:r>
      <w:proofErr w:type="gramStart"/>
      <w:r>
        <w:rPr>
          <w:rFonts w:ascii="Arial" w:eastAsia="仿宋_GB2312;仿宋" w:hAnsi="Arial" w:cs="Arial"/>
          <w:bCs/>
          <w:sz w:val="28"/>
          <w:szCs w:val="28"/>
        </w:rPr>
        <w:t>栖国际</w:t>
      </w:r>
      <w:proofErr w:type="gramEnd"/>
      <w:r>
        <w:rPr>
          <w:rFonts w:ascii="Arial" w:eastAsia="仿宋_GB2312;仿宋" w:hAnsi="Arial" w:cs="Arial"/>
          <w:bCs/>
          <w:sz w:val="28"/>
          <w:szCs w:val="28"/>
        </w:rPr>
        <w:t>人才社区建设，完善多类型分层次住房保障体系。</w:t>
      </w:r>
      <w:r>
        <w:rPr>
          <w:rFonts w:ascii="Arial" w:eastAsia="仿宋_GB2312;仿宋" w:hAnsi="Arial" w:cs="Arial"/>
          <w:bCs/>
          <w:sz w:val="28"/>
          <w:szCs w:val="28"/>
        </w:rPr>
        <w:t xml:space="preserve">3. </w:t>
      </w:r>
      <w:r>
        <w:rPr>
          <w:rFonts w:ascii="Arial" w:eastAsia="仿宋_GB2312;仿宋" w:hAnsi="Arial" w:cs="Arial"/>
          <w:bCs/>
          <w:sz w:val="28"/>
          <w:szCs w:val="28"/>
        </w:rPr>
        <w:t>搞活未来科学城，依托</w:t>
      </w:r>
      <w:r>
        <w:rPr>
          <w:rFonts w:ascii="Arial" w:eastAsia="仿宋_GB2312;仿宋" w:hAnsi="Arial" w:cs="Arial"/>
          <w:bCs/>
          <w:sz w:val="28"/>
          <w:szCs w:val="28"/>
        </w:rPr>
        <w:t>“</w:t>
      </w:r>
      <w:r>
        <w:rPr>
          <w:rFonts w:ascii="Arial" w:eastAsia="仿宋_GB2312;仿宋" w:hAnsi="Arial" w:cs="Arial"/>
          <w:bCs/>
          <w:sz w:val="28"/>
          <w:szCs w:val="28"/>
        </w:rPr>
        <w:t>两谷一园</w:t>
      </w:r>
      <w:r>
        <w:rPr>
          <w:rFonts w:ascii="Arial" w:eastAsia="仿宋_GB2312;仿宋" w:hAnsi="Arial" w:cs="Arial"/>
          <w:bCs/>
          <w:sz w:val="28"/>
          <w:szCs w:val="28"/>
        </w:rPr>
        <w:t>”</w:t>
      </w:r>
      <w:r>
        <w:rPr>
          <w:rFonts w:ascii="Arial" w:eastAsia="仿宋_GB2312;仿宋" w:hAnsi="Arial" w:cs="Arial"/>
          <w:bCs/>
          <w:sz w:val="28"/>
          <w:szCs w:val="28"/>
        </w:rPr>
        <w:t>，积极营造</w:t>
      </w:r>
      <w:r>
        <w:rPr>
          <w:rFonts w:ascii="Arial" w:eastAsia="仿宋_GB2312;仿宋" w:hAnsi="Arial" w:cs="Arial"/>
          <w:bCs/>
          <w:sz w:val="28"/>
          <w:szCs w:val="28"/>
        </w:rPr>
        <w:t>“</w:t>
      </w:r>
      <w:r>
        <w:rPr>
          <w:rFonts w:ascii="Arial" w:eastAsia="仿宋_GB2312;仿宋" w:hAnsi="Arial" w:cs="Arial"/>
          <w:bCs/>
          <w:sz w:val="28"/>
          <w:szCs w:val="28"/>
        </w:rPr>
        <w:t>龙头企业</w:t>
      </w:r>
      <w:r>
        <w:rPr>
          <w:rFonts w:ascii="Arial" w:eastAsia="仿宋_GB2312;仿宋" w:hAnsi="Arial" w:cs="Arial"/>
          <w:bCs/>
          <w:sz w:val="28"/>
          <w:szCs w:val="28"/>
        </w:rPr>
        <w:t>+</w:t>
      </w:r>
      <w:r>
        <w:rPr>
          <w:rFonts w:ascii="Arial" w:eastAsia="仿宋_GB2312;仿宋" w:hAnsi="Arial" w:cs="Arial"/>
          <w:bCs/>
          <w:sz w:val="28"/>
          <w:szCs w:val="28"/>
        </w:rPr>
        <w:t>中小创新企业</w:t>
      </w:r>
      <w:r>
        <w:rPr>
          <w:rFonts w:ascii="Arial" w:eastAsia="Arial" w:hAnsi="Arial" w:cs="Arial"/>
          <w:bCs/>
          <w:sz w:val="28"/>
          <w:szCs w:val="28"/>
        </w:rPr>
        <w:t xml:space="preserve"> </w:t>
      </w:r>
      <w:r>
        <w:rPr>
          <w:rFonts w:ascii="Arial" w:eastAsia="仿宋_GB2312;仿宋" w:hAnsi="Arial" w:cs="Arial"/>
          <w:bCs/>
          <w:sz w:val="28"/>
          <w:szCs w:val="28"/>
        </w:rPr>
        <w:t>+</w:t>
      </w:r>
      <w:r>
        <w:rPr>
          <w:rFonts w:ascii="Arial" w:eastAsia="仿宋_GB2312;仿宋" w:hAnsi="Arial" w:cs="Arial"/>
          <w:bCs/>
          <w:sz w:val="28"/>
          <w:szCs w:val="28"/>
        </w:rPr>
        <w:t>公共服务平台</w:t>
      </w:r>
      <w:r>
        <w:rPr>
          <w:rFonts w:ascii="Arial" w:eastAsia="仿宋_GB2312;仿宋" w:hAnsi="Arial" w:cs="Arial"/>
          <w:bCs/>
          <w:sz w:val="28"/>
          <w:szCs w:val="28"/>
        </w:rPr>
        <w:t>+</w:t>
      </w:r>
      <w:r>
        <w:rPr>
          <w:rFonts w:ascii="Arial" w:eastAsia="仿宋_GB2312;仿宋" w:hAnsi="Arial" w:cs="Arial"/>
          <w:bCs/>
          <w:sz w:val="28"/>
          <w:szCs w:val="28"/>
        </w:rPr>
        <w:t>高校</w:t>
      </w:r>
      <w:r>
        <w:rPr>
          <w:rFonts w:ascii="Arial" w:eastAsia="仿宋_GB2312;仿宋" w:hAnsi="Arial" w:cs="Arial"/>
          <w:bCs/>
          <w:sz w:val="28"/>
          <w:szCs w:val="28"/>
        </w:rPr>
        <w:t>”</w:t>
      </w:r>
      <w:r>
        <w:rPr>
          <w:rFonts w:ascii="Arial" w:eastAsia="仿宋_GB2312;仿宋" w:hAnsi="Arial" w:cs="Arial"/>
          <w:bCs/>
          <w:sz w:val="28"/>
          <w:szCs w:val="28"/>
        </w:rPr>
        <w:t>的创新生态。加快</w:t>
      </w:r>
      <w:r>
        <w:rPr>
          <w:rFonts w:ascii="Arial" w:eastAsia="仿宋_GB2312;仿宋" w:hAnsi="Arial" w:cs="Arial"/>
          <w:bCs/>
          <w:sz w:val="28"/>
          <w:szCs w:val="28"/>
        </w:rPr>
        <w:t>“</w:t>
      </w:r>
      <w:r>
        <w:rPr>
          <w:rFonts w:ascii="Arial" w:eastAsia="仿宋_GB2312;仿宋" w:hAnsi="Arial" w:cs="Arial"/>
          <w:bCs/>
          <w:sz w:val="28"/>
          <w:szCs w:val="28"/>
        </w:rPr>
        <w:t>能源谷</w:t>
      </w:r>
      <w:r>
        <w:rPr>
          <w:rFonts w:ascii="Arial" w:eastAsia="仿宋_GB2312;仿宋" w:hAnsi="Arial" w:cs="Arial"/>
          <w:bCs/>
          <w:sz w:val="28"/>
          <w:szCs w:val="28"/>
        </w:rPr>
        <w:t>”</w:t>
      </w:r>
      <w:r>
        <w:rPr>
          <w:rFonts w:ascii="Arial" w:eastAsia="仿宋_GB2312;仿宋" w:hAnsi="Arial" w:cs="Arial"/>
          <w:bCs/>
          <w:sz w:val="28"/>
          <w:szCs w:val="28"/>
        </w:rPr>
        <w:t>建设，</w:t>
      </w:r>
      <w:r>
        <w:rPr>
          <w:rFonts w:ascii="Arial" w:eastAsia="仿宋_GB2312;仿宋" w:hAnsi="Arial" w:cs="Arial"/>
          <w:bCs/>
          <w:sz w:val="28"/>
          <w:szCs w:val="28"/>
        </w:rPr>
        <w:t>“</w:t>
      </w:r>
      <w:proofErr w:type="gramStart"/>
      <w:r>
        <w:rPr>
          <w:rFonts w:ascii="Arial" w:eastAsia="仿宋_GB2312;仿宋" w:hAnsi="Arial" w:cs="Arial"/>
          <w:bCs/>
          <w:sz w:val="28"/>
          <w:szCs w:val="28"/>
        </w:rPr>
        <w:t>一</w:t>
      </w:r>
      <w:proofErr w:type="gramEnd"/>
      <w:r>
        <w:rPr>
          <w:rFonts w:ascii="Arial" w:eastAsia="仿宋_GB2312;仿宋" w:hAnsi="Arial" w:cs="Arial"/>
          <w:bCs/>
          <w:sz w:val="28"/>
          <w:szCs w:val="28"/>
        </w:rPr>
        <w:t>企</w:t>
      </w:r>
      <w:proofErr w:type="gramStart"/>
      <w:r>
        <w:rPr>
          <w:rFonts w:ascii="Arial" w:eastAsia="仿宋_GB2312;仿宋" w:hAnsi="Arial" w:cs="Arial"/>
          <w:bCs/>
          <w:sz w:val="28"/>
          <w:szCs w:val="28"/>
        </w:rPr>
        <w:t>一</w:t>
      </w:r>
      <w:proofErr w:type="gramEnd"/>
      <w:r>
        <w:rPr>
          <w:rFonts w:ascii="Arial" w:eastAsia="仿宋_GB2312;仿宋" w:hAnsi="Arial" w:cs="Arial"/>
          <w:bCs/>
          <w:sz w:val="28"/>
          <w:szCs w:val="28"/>
        </w:rPr>
        <w:t>策</w:t>
      </w:r>
      <w:r>
        <w:rPr>
          <w:rFonts w:ascii="Arial" w:eastAsia="仿宋_GB2312;仿宋" w:hAnsi="Arial" w:cs="Arial"/>
          <w:bCs/>
          <w:sz w:val="28"/>
          <w:szCs w:val="28"/>
        </w:rPr>
        <w:t>”</w:t>
      </w:r>
      <w:proofErr w:type="gramStart"/>
      <w:r>
        <w:rPr>
          <w:rFonts w:ascii="Arial" w:eastAsia="仿宋_GB2312;仿宋" w:hAnsi="Arial" w:cs="Arial"/>
          <w:bCs/>
          <w:sz w:val="28"/>
          <w:szCs w:val="28"/>
        </w:rPr>
        <w:t>盘活央企存量</w:t>
      </w:r>
      <w:proofErr w:type="gramEnd"/>
      <w:r>
        <w:rPr>
          <w:rFonts w:ascii="Arial" w:eastAsia="仿宋_GB2312;仿宋" w:hAnsi="Arial" w:cs="Arial"/>
          <w:bCs/>
          <w:sz w:val="28"/>
          <w:szCs w:val="28"/>
        </w:rPr>
        <w:t>资源，加速形成更具活力的创新空间。提</w:t>
      </w:r>
      <w:r>
        <w:rPr>
          <w:rFonts w:ascii="Arial" w:eastAsia="Arial" w:hAnsi="Arial" w:cs="Arial"/>
          <w:bCs/>
          <w:sz w:val="28"/>
          <w:szCs w:val="28"/>
        </w:rPr>
        <w:t xml:space="preserve"> </w:t>
      </w:r>
      <w:r>
        <w:rPr>
          <w:rFonts w:ascii="Arial" w:eastAsia="仿宋_GB2312;仿宋" w:hAnsi="Arial" w:cs="Arial"/>
          <w:bCs/>
          <w:sz w:val="28"/>
          <w:szCs w:val="28"/>
        </w:rPr>
        <w:t>升</w:t>
      </w:r>
      <w:r>
        <w:rPr>
          <w:rFonts w:ascii="Arial" w:eastAsia="仿宋_GB2312;仿宋" w:hAnsi="Arial" w:cs="Arial"/>
          <w:bCs/>
          <w:sz w:val="28"/>
          <w:szCs w:val="28"/>
        </w:rPr>
        <w:t>“</w:t>
      </w:r>
      <w:r>
        <w:rPr>
          <w:rFonts w:ascii="Arial" w:eastAsia="仿宋_GB2312;仿宋" w:hAnsi="Arial" w:cs="Arial"/>
          <w:bCs/>
          <w:sz w:val="28"/>
          <w:szCs w:val="28"/>
        </w:rPr>
        <w:t>生命谷</w:t>
      </w:r>
      <w:r>
        <w:rPr>
          <w:rFonts w:ascii="Arial" w:eastAsia="仿宋_GB2312;仿宋" w:hAnsi="Arial" w:cs="Arial"/>
          <w:bCs/>
          <w:sz w:val="28"/>
          <w:szCs w:val="28"/>
        </w:rPr>
        <w:t>”</w:t>
      </w:r>
      <w:r>
        <w:rPr>
          <w:rFonts w:ascii="Arial" w:eastAsia="仿宋_GB2312;仿宋" w:hAnsi="Arial" w:cs="Arial"/>
          <w:bCs/>
          <w:sz w:val="28"/>
          <w:szCs w:val="28"/>
        </w:rPr>
        <w:t>创新能级，推进</w:t>
      </w:r>
      <w:proofErr w:type="gramStart"/>
      <w:r>
        <w:rPr>
          <w:rFonts w:ascii="Arial" w:eastAsia="仿宋_GB2312;仿宋" w:hAnsi="Arial" w:cs="Arial"/>
          <w:bCs/>
          <w:sz w:val="28"/>
          <w:szCs w:val="28"/>
        </w:rPr>
        <w:t>生命园</w:t>
      </w:r>
      <w:proofErr w:type="gramEnd"/>
      <w:r>
        <w:rPr>
          <w:rFonts w:ascii="Arial" w:eastAsia="仿宋_GB2312;仿宋" w:hAnsi="Arial" w:cs="Arial"/>
          <w:bCs/>
          <w:sz w:val="28"/>
          <w:szCs w:val="28"/>
        </w:rPr>
        <w:t>三期建设，进一步拓展居住、产业和商业配套空间。</w:t>
      </w:r>
    </w:p>
    <w:p w14:paraId="1153BE87"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4C0EA37"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构建特色与活力兼备的现代化经济体系，探索构建新发展格局的有效路径，激发</w:t>
      </w:r>
      <w:r>
        <w:rPr>
          <w:rFonts w:ascii="Arial" w:eastAsia="仿宋_GB2312;仿宋" w:hAnsi="Arial" w:cs="Arial"/>
          <w:bCs/>
          <w:sz w:val="28"/>
          <w:szCs w:val="28"/>
        </w:rPr>
        <w:t>“</w:t>
      </w:r>
      <w:r>
        <w:rPr>
          <w:rFonts w:ascii="Arial" w:eastAsia="仿宋_GB2312;仿宋" w:hAnsi="Arial" w:cs="Arial"/>
          <w:bCs/>
          <w:sz w:val="28"/>
          <w:szCs w:val="28"/>
        </w:rPr>
        <w:t>两区</w:t>
      </w:r>
      <w:r>
        <w:rPr>
          <w:rFonts w:ascii="Arial" w:eastAsia="仿宋_GB2312;仿宋" w:hAnsi="Arial" w:cs="Arial"/>
          <w:bCs/>
          <w:sz w:val="28"/>
          <w:szCs w:val="28"/>
        </w:rPr>
        <w:t>”</w:t>
      </w:r>
      <w:r>
        <w:rPr>
          <w:rFonts w:ascii="Arial" w:eastAsia="仿宋_GB2312;仿宋" w:hAnsi="Arial" w:cs="Arial"/>
          <w:bCs/>
          <w:sz w:val="28"/>
          <w:szCs w:val="28"/>
        </w:rPr>
        <w:t>新活力，全方位打造</w:t>
      </w:r>
      <w:r>
        <w:rPr>
          <w:rFonts w:ascii="Arial" w:eastAsia="仿宋_GB2312;仿宋" w:hAnsi="Arial" w:cs="Arial"/>
          <w:bCs/>
          <w:sz w:val="28"/>
          <w:szCs w:val="28"/>
        </w:rPr>
        <w:t>“</w:t>
      </w:r>
      <w:r>
        <w:rPr>
          <w:rFonts w:ascii="Arial" w:eastAsia="仿宋_GB2312;仿宋" w:hAnsi="Arial" w:cs="Arial"/>
          <w:bCs/>
          <w:sz w:val="28"/>
          <w:szCs w:val="28"/>
        </w:rPr>
        <w:t>产业</w:t>
      </w:r>
      <w:r>
        <w:rPr>
          <w:rFonts w:ascii="Arial" w:eastAsia="仿宋_GB2312;仿宋" w:hAnsi="Arial" w:cs="Arial"/>
          <w:bCs/>
          <w:sz w:val="28"/>
          <w:szCs w:val="28"/>
        </w:rPr>
        <w:t>+</w:t>
      </w:r>
      <w:r>
        <w:rPr>
          <w:rFonts w:ascii="Arial" w:eastAsia="仿宋_GB2312;仿宋" w:hAnsi="Arial" w:cs="Arial"/>
          <w:bCs/>
          <w:sz w:val="28"/>
          <w:szCs w:val="28"/>
        </w:rPr>
        <w:t>园区</w:t>
      </w:r>
      <w:r>
        <w:rPr>
          <w:rFonts w:ascii="Arial" w:eastAsia="仿宋_GB2312;仿宋" w:hAnsi="Arial" w:cs="Arial"/>
          <w:bCs/>
          <w:sz w:val="28"/>
          <w:szCs w:val="28"/>
        </w:rPr>
        <w:t>”</w:t>
      </w:r>
      <w:r>
        <w:rPr>
          <w:rFonts w:ascii="Arial" w:eastAsia="仿宋_GB2312;仿宋" w:hAnsi="Arial" w:cs="Arial"/>
          <w:bCs/>
          <w:sz w:val="28"/>
          <w:szCs w:val="28"/>
        </w:rPr>
        <w:t>协同开放，优化产业空间布局；全力建设好国家服务业扩大开放综合示范区和中国</w:t>
      </w:r>
      <w:r>
        <w:rPr>
          <w:rFonts w:ascii="Arial" w:eastAsia="仿宋_GB2312;仿宋" w:hAnsi="Arial" w:cs="Arial"/>
          <w:bCs/>
          <w:sz w:val="28"/>
          <w:szCs w:val="28"/>
        </w:rPr>
        <w:t>(</w:t>
      </w:r>
      <w:r>
        <w:rPr>
          <w:rFonts w:ascii="Arial" w:eastAsia="仿宋_GB2312;仿宋" w:hAnsi="Arial" w:cs="Arial"/>
          <w:bCs/>
          <w:sz w:val="28"/>
          <w:szCs w:val="28"/>
        </w:rPr>
        <w:t>北京</w:t>
      </w:r>
      <w:r>
        <w:rPr>
          <w:rFonts w:ascii="Arial" w:eastAsia="仿宋_GB2312;仿宋" w:hAnsi="Arial" w:cs="Arial"/>
          <w:bCs/>
          <w:sz w:val="28"/>
          <w:szCs w:val="28"/>
        </w:rPr>
        <w:t>)</w:t>
      </w:r>
      <w:r>
        <w:rPr>
          <w:rFonts w:ascii="Arial" w:eastAsia="仿宋_GB2312;仿宋" w:hAnsi="Arial" w:cs="Arial"/>
          <w:bCs/>
          <w:sz w:val="28"/>
          <w:szCs w:val="28"/>
        </w:rPr>
        <w:t>自由贸易试验区。国家服务业扩大开放综合示范区</w:t>
      </w:r>
      <w:r>
        <w:rPr>
          <w:rFonts w:ascii="Arial" w:eastAsia="Arial" w:hAnsi="Arial" w:cs="Arial"/>
          <w:bCs/>
          <w:sz w:val="28"/>
          <w:szCs w:val="28"/>
        </w:rPr>
        <w:t xml:space="preserve"> </w:t>
      </w:r>
      <w:r>
        <w:rPr>
          <w:rFonts w:ascii="Arial" w:eastAsia="仿宋_GB2312;仿宋" w:hAnsi="Arial" w:cs="Arial"/>
          <w:bCs/>
          <w:sz w:val="28"/>
          <w:szCs w:val="28"/>
        </w:rPr>
        <w:t>突出金融街、丽泽金融商务区、通州</w:t>
      </w:r>
      <w:proofErr w:type="gramStart"/>
      <w:r>
        <w:rPr>
          <w:rFonts w:ascii="Arial" w:eastAsia="仿宋_GB2312;仿宋" w:hAnsi="Arial" w:cs="Arial"/>
          <w:bCs/>
          <w:sz w:val="28"/>
          <w:szCs w:val="28"/>
        </w:rPr>
        <w:t>文旅区</w:t>
      </w:r>
      <w:proofErr w:type="gramEnd"/>
      <w:r>
        <w:rPr>
          <w:rFonts w:ascii="Arial" w:eastAsia="仿宋_GB2312;仿宋" w:hAnsi="Arial" w:cs="Arial"/>
          <w:bCs/>
          <w:sz w:val="28"/>
          <w:szCs w:val="28"/>
        </w:rPr>
        <w:t>、</w:t>
      </w:r>
      <w:r>
        <w:rPr>
          <w:rFonts w:ascii="Arial" w:eastAsia="仿宋_GB2312;仿宋" w:hAnsi="Arial" w:cs="Arial"/>
          <w:bCs/>
          <w:sz w:val="28"/>
          <w:szCs w:val="28"/>
        </w:rPr>
        <w:t xml:space="preserve">CBD </w:t>
      </w:r>
      <w:r>
        <w:rPr>
          <w:rFonts w:ascii="Arial" w:eastAsia="仿宋_GB2312;仿宋" w:hAnsi="Arial" w:cs="Arial"/>
          <w:bCs/>
          <w:sz w:val="28"/>
          <w:szCs w:val="28"/>
        </w:rPr>
        <w:t>等</w:t>
      </w:r>
      <w:proofErr w:type="gramStart"/>
      <w:r>
        <w:rPr>
          <w:rFonts w:ascii="Arial" w:eastAsia="仿宋_GB2312;仿宋" w:hAnsi="Arial" w:cs="Arial"/>
          <w:bCs/>
          <w:sz w:val="28"/>
          <w:szCs w:val="28"/>
        </w:rPr>
        <w:t>重点园</w:t>
      </w:r>
      <w:proofErr w:type="gramEnd"/>
      <w:r>
        <w:rPr>
          <w:rFonts w:ascii="Arial" w:eastAsia="Arial" w:hAnsi="Arial" w:cs="Arial"/>
          <w:bCs/>
          <w:sz w:val="28"/>
          <w:szCs w:val="28"/>
        </w:rPr>
        <w:t xml:space="preserve"> </w:t>
      </w:r>
      <w:r>
        <w:rPr>
          <w:rFonts w:ascii="Arial" w:eastAsia="仿宋_GB2312;仿宋" w:hAnsi="Arial" w:cs="Arial"/>
          <w:bCs/>
          <w:sz w:val="28"/>
          <w:szCs w:val="28"/>
        </w:rPr>
        <w:t>区建设，与自贸区三个片区衔接联动。</w:t>
      </w:r>
    </w:p>
    <w:p w14:paraId="07E625C6"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5.</w:t>
      </w:r>
      <w:r>
        <w:rPr>
          <w:rFonts w:ascii="Arial" w:eastAsia="仿宋_GB2312;仿宋" w:hAnsi="Arial" w:cs="Arial"/>
          <w:bCs/>
          <w:sz w:val="28"/>
          <w:szCs w:val="28"/>
        </w:rPr>
        <w:t>城市经济发展运行状况</w:t>
      </w:r>
    </w:p>
    <w:p w14:paraId="2343DA5F"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根据北京市统计局地区生产总值统一核算结果，</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年一季度，北京市实现地区生产总值</w:t>
      </w:r>
      <w:r>
        <w:rPr>
          <w:rFonts w:ascii="Arial" w:eastAsia="仿宋_GB2312;仿宋" w:hAnsi="Arial" w:cs="Arial"/>
          <w:bCs/>
          <w:color w:val="000000"/>
          <w:sz w:val="28"/>
          <w:szCs w:val="28"/>
        </w:rPr>
        <w:t>10581.4</w:t>
      </w:r>
      <w:r>
        <w:rPr>
          <w:rFonts w:ascii="Arial" w:eastAsia="仿宋_GB2312;仿宋" w:hAnsi="Arial" w:cs="Arial"/>
          <w:bCs/>
          <w:color w:val="000000"/>
          <w:sz w:val="28"/>
          <w:szCs w:val="28"/>
        </w:rPr>
        <w:t>亿元，按不变价格计算，同比增长</w:t>
      </w:r>
      <w:r>
        <w:rPr>
          <w:rFonts w:ascii="Arial" w:eastAsia="仿宋_GB2312;仿宋" w:hAnsi="Arial" w:cs="Arial"/>
          <w:bCs/>
          <w:color w:val="000000"/>
          <w:sz w:val="28"/>
          <w:szCs w:val="28"/>
        </w:rPr>
        <w:t>6.0%</w:t>
      </w:r>
      <w:r>
        <w:rPr>
          <w:rFonts w:ascii="Arial" w:eastAsia="仿宋_GB2312;仿宋" w:hAnsi="Arial" w:cs="Arial"/>
          <w:bCs/>
          <w:color w:val="000000"/>
          <w:sz w:val="28"/>
          <w:szCs w:val="28"/>
        </w:rPr>
        <w:t>，高于上年全年增速</w:t>
      </w:r>
      <w:r>
        <w:rPr>
          <w:rFonts w:ascii="Arial" w:eastAsia="仿宋_GB2312;仿宋" w:hAnsi="Arial" w:cs="Arial"/>
          <w:bCs/>
          <w:color w:val="000000"/>
          <w:sz w:val="28"/>
          <w:szCs w:val="28"/>
        </w:rPr>
        <w:t>0.8</w:t>
      </w:r>
      <w:r>
        <w:rPr>
          <w:rFonts w:ascii="Arial" w:eastAsia="仿宋_GB2312;仿宋" w:hAnsi="Arial" w:cs="Arial"/>
          <w:bCs/>
          <w:color w:val="000000"/>
          <w:sz w:val="28"/>
          <w:szCs w:val="28"/>
        </w:rPr>
        <w:t>个百分点。分产业看，第一产业实现增加值</w:t>
      </w:r>
      <w:r>
        <w:rPr>
          <w:rFonts w:ascii="Arial" w:eastAsia="仿宋_GB2312;仿宋" w:hAnsi="Arial" w:cs="Arial"/>
          <w:bCs/>
          <w:color w:val="000000"/>
          <w:sz w:val="28"/>
          <w:szCs w:val="28"/>
        </w:rPr>
        <w:t>15.0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3.2%</w:t>
      </w:r>
      <w:r>
        <w:rPr>
          <w:rFonts w:ascii="Arial" w:eastAsia="仿宋_GB2312;仿宋" w:hAnsi="Arial" w:cs="Arial"/>
          <w:bCs/>
          <w:color w:val="000000"/>
          <w:sz w:val="28"/>
          <w:szCs w:val="28"/>
        </w:rPr>
        <w:t>；第二产业实现增加值</w:t>
      </w:r>
      <w:r>
        <w:rPr>
          <w:rFonts w:ascii="Arial" w:eastAsia="仿宋_GB2312;仿宋" w:hAnsi="Arial" w:cs="Arial"/>
          <w:bCs/>
          <w:color w:val="000000"/>
          <w:sz w:val="28"/>
          <w:szCs w:val="28"/>
        </w:rPr>
        <w:t>1310.4</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7.3%</w:t>
      </w:r>
      <w:r>
        <w:rPr>
          <w:rFonts w:ascii="Arial" w:eastAsia="仿宋_GB2312;仿宋" w:hAnsi="Arial" w:cs="Arial"/>
          <w:bCs/>
          <w:color w:val="000000"/>
          <w:sz w:val="28"/>
          <w:szCs w:val="28"/>
        </w:rPr>
        <w:t>；第三产业实现增加值</w:t>
      </w:r>
      <w:r>
        <w:rPr>
          <w:rFonts w:ascii="Arial" w:eastAsia="仿宋_GB2312;仿宋" w:hAnsi="Arial" w:cs="Arial"/>
          <w:bCs/>
          <w:color w:val="000000"/>
          <w:sz w:val="28"/>
          <w:szCs w:val="28"/>
        </w:rPr>
        <w:t>9256.0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w:t>
      </w:r>
    </w:p>
    <w:p w14:paraId="7D1D4640"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w:t>
      </w:r>
      <w:r>
        <w:rPr>
          <w:rFonts w:ascii="Arial" w:eastAsia="仿宋_GB2312;仿宋" w:hAnsi="Arial" w:cs="Arial"/>
          <w:color w:val="000000"/>
          <w:sz w:val="28"/>
          <w:szCs w:val="28"/>
        </w:rPr>
        <w:t>农业生产实现增长，乡村休闲旅游继续恢复</w:t>
      </w:r>
    </w:p>
    <w:p w14:paraId="671CF9FC"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一季度，北京市实现农林牧渔业总产值</w:t>
      </w:r>
      <w:r>
        <w:rPr>
          <w:rFonts w:ascii="Arial" w:eastAsia="仿宋_GB2312;仿宋" w:hAnsi="Arial" w:cs="Arial"/>
          <w:bCs/>
          <w:color w:val="000000"/>
          <w:sz w:val="28"/>
          <w:szCs w:val="28"/>
        </w:rPr>
        <w:t>38.5</w:t>
      </w:r>
      <w:r>
        <w:rPr>
          <w:rFonts w:ascii="Arial" w:eastAsia="仿宋_GB2312;仿宋" w:hAnsi="Arial" w:cs="Arial"/>
          <w:bCs/>
          <w:color w:val="000000"/>
          <w:sz w:val="28"/>
          <w:szCs w:val="28"/>
        </w:rPr>
        <w:t>亿元，按可比价格计算，同比增长</w:t>
      </w:r>
      <w:r>
        <w:rPr>
          <w:rFonts w:ascii="Arial" w:eastAsia="仿宋_GB2312;仿宋" w:hAnsi="Arial" w:cs="Arial"/>
          <w:bCs/>
          <w:color w:val="000000"/>
          <w:sz w:val="28"/>
          <w:szCs w:val="28"/>
        </w:rPr>
        <w:t>3.0%</w:t>
      </w:r>
      <w:r>
        <w:rPr>
          <w:rFonts w:ascii="Arial" w:eastAsia="仿宋_GB2312;仿宋" w:hAnsi="Arial" w:cs="Arial"/>
          <w:bCs/>
          <w:color w:val="000000"/>
          <w:sz w:val="28"/>
          <w:szCs w:val="28"/>
        </w:rPr>
        <w:t>。其中，实现农业（种植业）产值</w:t>
      </w:r>
      <w:r>
        <w:rPr>
          <w:rFonts w:ascii="Arial" w:eastAsia="仿宋_GB2312;仿宋" w:hAnsi="Arial" w:cs="Arial"/>
          <w:bCs/>
          <w:color w:val="000000"/>
          <w:sz w:val="28"/>
          <w:szCs w:val="28"/>
        </w:rPr>
        <w:t>15.2</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2.7%</w:t>
      </w:r>
      <w:r>
        <w:rPr>
          <w:rFonts w:ascii="Arial" w:eastAsia="仿宋_GB2312;仿宋" w:hAnsi="Arial" w:cs="Arial"/>
          <w:bCs/>
          <w:color w:val="000000"/>
          <w:sz w:val="28"/>
          <w:szCs w:val="28"/>
        </w:rPr>
        <w:t>，稳步推进春耕备耕，冬小麦苗情总体良好，主要粮食作物种植意向持续提升，瓜果类播种面积和产量分别增长</w:t>
      </w:r>
      <w:r>
        <w:rPr>
          <w:rFonts w:ascii="Arial" w:eastAsia="仿宋_GB2312;仿宋" w:hAnsi="Arial" w:cs="Arial"/>
          <w:bCs/>
          <w:color w:val="000000"/>
          <w:sz w:val="28"/>
          <w:szCs w:val="28"/>
        </w:rPr>
        <w:t>9.7%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13.7%</w:t>
      </w:r>
      <w:r>
        <w:rPr>
          <w:rFonts w:ascii="Arial" w:eastAsia="仿宋_GB2312;仿宋" w:hAnsi="Arial" w:cs="Arial"/>
          <w:bCs/>
          <w:color w:val="000000"/>
          <w:sz w:val="28"/>
          <w:szCs w:val="28"/>
        </w:rPr>
        <w:t>；受禽蛋生产带动，实现牧业产值</w:t>
      </w:r>
      <w:r>
        <w:rPr>
          <w:rFonts w:ascii="Arial" w:eastAsia="仿宋_GB2312;仿宋" w:hAnsi="Arial" w:cs="Arial"/>
          <w:bCs/>
          <w:color w:val="000000"/>
          <w:sz w:val="28"/>
          <w:szCs w:val="28"/>
        </w:rPr>
        <w:t>10.3</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10.7%</w:t>
      </w:r>
      <w:r>
        <w:rPr>
          <w:rFonts w:ascii="Arial" w:eastAsia="仿宋_GB2312;仿宋" w:hAnsi="Arial" w:cs="Arial"/>
          <w:bCs/>
          <w:color w:val="000000"/>
          <w:sz w:val="28"/>
          <w:szCs w:val="28"/>
        </w:rPr>
        <w:t>。乡村休闲旅游接待游客</w:t>
      </w:r>
      <w:r>
        <w:rPr>
          <w:rFonts w:ascii="Arial" w:eastAsia="仿宋_GB2312;仿宋" w:hAnsi="Arial" w:cs="Arial"/>
          <w:bCs/>
          <w:color w:val="000000"/>
          <w:sz w:val="28"/>
          <w:szCs w:val="28"/>
        </w:rPr>
        <w:t>381.1</w:t>
      </w:r>
      <w:r>
        <w:rPr>
          <w:rFonts w:ascii="Arial" w:eastAsia="仿宋_GB2312;仿宋" w:hAnsi="Arial" w:cs="Arial"/>
          <w:bCs/>
          <w:color w:val="000000"/>
          <w:sz w:val="28"/>
          <w:szCs w:val="28"/>
        </w:rPr>
        <w:t>万人次，实现收入</w:t>
      </w:r>
      <w:r>
        <w:rPr>
          <w:rFonts w:ascii="Arial" w:eastAsia="仿宋_GB2312;仿宋" w:hAnsi="Arial" w:cs="Arial"/>
          <w:bCs/>
          <w:color w:val="000000"/>
          <w:sz w:val="28"/>
          <w:szCs w:val="28"/>
        </w:rPr>
        <w:t>7.1</w:t>
      </w:r>
      <w:r>
        <w:rPr>
          <w:rFonts w:ascii="Arial" w:eastAsia="仿宋_GB2312;仿宋" w:hAnsi="Arial" w:cs="Arial"/>
          <w:bCs/>
          <w:color w:val="000000"/>
          <w:sz w:val="28"/>
          <w:szCs w:val="28"/>
        </w:rPr>
        <w:t>亿元，分别增长</w:t>
      </w:r>
      <w:r>
        <w:rPr>
          <w:rFonts w:ascii="Arial" w:eastAsia="仿宋_GB2312;仿宋" w:hAnsi="Arial" w:cs="Arial"/>
          <w:bCs/>
          <w:color w:val="000000"/>
          <w:sz w:val="28"/>
          <w:szCs w:val="28"/>
        </w:rPr>
        <w:t>13.6%</w:t>
      </w:r>
      <w:r>
        <w:rPr>
          <w:rFonts w:ascii="Arial" w:eastAsia="仿宋_GB2312;仿宋" w:hAnsi="Arial" w:cs="Arial"/>
          <w:bCs/>
          <w:color w:val="000000"/>
          <w:sz w:val="28"/>
          <w:szCs w:val="28"/>
        </w:rPr>
        <w:t>和</w:t>
      </w:r>
      <w:r>
        <w:rPr>
          <w:rFonts w:ascii="Arial" w:eastAsia="仿宋_GB2312;仿宋" w:hAnsi="Arial" w:cs="Arial"/>
          <w:bCs/>
          <w:color w:val="000000"/>
          <w:sz w:val="28"/>
          <w:szCs w:val="28"/>
        </w:rPr>
        <w:t>0.8%</w:t>
      </w:r>
      <w:r>
        <w:rPr>
          <w:rFonts w:ascii="Arial" w:eastAsia="仿宋_GB2312;仿宋" w:hAnsi="Arial" w:cs="Arial"/>
          <w:bCs/>
          <w:color w:val="000000"/>
          <w:sz w:val="28"/>
          <w:szCs w:val="28"/>
        </w:rPr>
        <w:t>。</w:t>
      </w:r>
    </w:p>
    <w:p w14:paraId="5DAF38BF"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w:t>
      </w:r>
      <w:r>
        <w:rPr>
          <w:rFonts w:ascii="Arial" w:eastAsia="仿宋_GB2312;仿宋" w:hAnsi="Arial" w:cs="Arial"/>
          <w:color w:val="000000"/>
          <w:sz w:val="28"/>
          <w:szCs w:val="28"/>
        </w:rPr>
        <w:t>工业生产加快，重点行业增</w:t>
      </w:r>
      <w:r>
        <w:rPr>
          <w:rFonts w:ascii="Arial" w:eastAsia="仿宋_GB2312;仿宋" w:hAnsi="Arial" w:cs="Arial"/>
          <w:bCs/>
          <w:color w:val="000000"/>
          <w:sz w:val="28"/>
          <w:szCs w:val="28"/>
        </w:rPr>
        <w:t>势较好</w:t>
      </w:r>
    </w:p>
    <w:p w14:paraId="2620EF6C"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规模以上工业增加值按可比价格计算，同比增长</w:t>
      </w:r>
      <w:r>
        <w:rPr>
          <w:rFonts w:ascii="Arial" w:eastAsia="仿宋_GB2312;仿宋" w:hAnsi="Arial" w:cs="Arial"/>
          <w:color w:val="000000"/>
          <w:sz w:val="28"/>
          <w:szCs w:val="28"/>
        </w:rPr>
        <w:t>7.5%</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1.1</w:t>
      </w:r>
      <w:r>
        <w:rPr>
          <w:rFonts w:ascii="Arial" w:eastAsia="仿宋_GB2312;仿宋" w:hAnsi="Arial" w:cs="Arial"/>
          <w:color w:val="000000"/>
          <w:sz w:val="28"/>
          <w:szCs w:val="28"/>
        </w:rPr>
        <w:t>个百分点。重点行业中，计算机、通信和其他电子设备制造业增长</w:t>
      </w:r>
      <w:r>
        <w:rPr>
          <w:rFonts w:ascii="Arial" w:eastAsia="仿宋_GB2312;仿宋" w:hAnsi="Arial" w:cs="Arial"/>
          <w:color w:val="000000"/>
          <w:sz w:val="28"/>
          <w:szCs w:val="28"/>
        </w:rPr>
        <w:t>19.0%</w:t>
      </w:r>
      <w:r>
        <w:rPr>
          <w:rFonts w:ascii="Arial" w:eastAsia="仿宋_GB2312;仿宋" w:hAnsi="Arial" w:cs="Arial"/>
          <w:color w:val="000000"/>
          <w:sz w:val="28"/>
          <w:szCs w:val="28"/>
        </w:rPr>
        <w:t>，汽车制造业增长</w:t>
      </w:r>
      <w:r>
        <w:rPr>
          <w:rFonts w:ascii="Arial" w:eastAsia="仿宋_GB2312;仿宋" w:hAnsi="Arial" w:cs="Arial"/>
          <w:color w:val="000000"/>
          <w:sz w:val="28"/>
          <w:szCs w:val="28"/>
        </w:rPr>
        <w:t>15.2%</w:t>
      </w:r>
      <w:r>
        <w:rPr>
          <w:rFonts w:ascii="Arial" w:eastAsia="仿宋_GB2312;仿宋" w:hAnsi="Arial" w:cs="Arial"/>
          <w:color w:val="000000"/>
          <w:sz w:val="28"/>
          <w:szCs w:val="28"/>
        </w:rPr>
        <w:t>，电力、热力生产和供应业增长</w:t>
      </w:r>
      <w:r>
        <w:rPr>
          <w:rFonts w:ascii="Arial" w:eastAsia="仿宋_GB2312;仿宋" w:hAnsi="Arial" w:cs="Arial"/>
          <w:color w:val="000000"/>
          <w:sz w:val="28"/>
          <w:szCs w:val="28"/>
        </w:rPr>
        <w:t>10.6%</w:t>
      </w:r>
      <w:r>
        <w:rPr>
          <w:rFonts w:ascii="Arial" w:eastAsia="仿宋_GB2312;仿宋" w:hAnsi="Arial" w:cs="Arial"/>
          <w:color w:val="000000"/>
          <w:sz w:val="28"/>
          <w:szCs w:val="28"/>
        </w:rPr>
        <w:t>，医药制造业扭转下降态势，同比持平。新兴领域表现活跃，规模以上工业战略性新兴产业增加值增长</w:t>
      </w:r>
      <w:r>
        <w:rPr>
          <w:rFonts w:ascii="Arial" w:eastAsia="仿宋_GB2312;仿宋" w:hAnsi="Arial" w:cs="Arial"/>
          <w:color w:val="000000"/>
          <w:sz w:val="28"/>
          <w:szCs w:val="28"/>
        </w:rPr>
        <w:t>12.0%</w:t>
      </w:r>
      <w:r>
        <w:rPr>
          <w:rFonts w:ascii="Arial" w:eastAsia="仿宋_GB2312;仿宋" w:hAnsi="Arial" w:cs="Arial"/>
          <w:color w:val="000000"/>
          <w:sz w:val="28"/>
          <w:szCs w:val="28"/>
        </w:rPr>
        <w:t>，新能源汽车、智能电视、工业机器人、集成电路产量分别增长</w:t>
      </w:r>
      <w:r>
        <w:rPr>
          <w:rFonts w:ascii="Arial" w:eastAsia="仿宋_GB2312;仿宋" w:hAnsi="Arial" w:cs="Arial"/>
          <w:color w:val="000000"/>
          <w:sz w:val="28"/>
          <w:szCs w:val="28"/>
        </w:rPr>
        <w:t>2.4</w:t>
      </w:r>
      <w:r>
        <w:rPr>
          <w:rFonts w:ascii="Arial" w:eastAsia="仿宋_GB2312;仿宋" w:hAnsi="Arial" w:cs="Arial"/>
          <w:color w:val="000000"/>
          <w:sz w:val="28"/>
          <w:szCs w:val="28"/>
        </w:rPr>
        <w:t>倍、</w:t>
      </w:r>
      <w:r>
        <w:rPr>
          <w:rFonts w:ascii="Arial" w:eastAsia="仿宋_GB2312;仿宋" w:hAnsi="Arial" w:cs="Arial"/>
          <w:color w:val="000000"/>
          <w:sz w:val="28"/>
          <w:szCs w:val="28"/>
        </w:rPr>
        <w:t>2</w:t>
      </w:r>
      <w:r>
        <w:rPr>
          <w:rFonts w:ascii="Arial" w:eastAsia="仿宋_GB2312;仿宋" w:hAnsi="Arial" w:cs="Arial"/>
          <w:color w:val="000000"/>
          <w:sz w:val="28"/>
          <w:szCs w:val="28"/>
        </w:rPr>
        <w:t>倍、</w:t>
      </w:r>
      <w:r>
        <w:rPr>
          <w:rFonts w:ascii="Arial" w:eastAsia="仿宋_GB2312;仿宋" w:hAnsi="Arial" w:cs="Arial"/>
          <w:color w:val="000000"/>
          <w:sz w:val="28"/>
          <w:szCs w:val="28"/>
        </w:rPr>
        <w:t>1.6</w:t>
      </w:r>
      <w:r>
        <w:rPr>
          <w:rFonts w:ascii="Arial" w:eastAsia="仿宋_GB2312;仿宋" w:hAnsi="Arial" w:cs="Arial"/>
          <w:color w:val="000000"/>
          <w:sz w:val="28"/>
          <w:szCs w:val="28"/>
        </w:rPr>
        <w:t>倍和</w:t>
      </w:r>
      <w:r>
        <w:rPr>
          <w:rFonts w:ascii="Arial" w:eastAsia="仿宋_GB2312;仿宋" w:hAnsi="Arial" w:cs="Arial"/>
          <w:color w:val="000000"/>
          <w:sz w:val="28"/>
          <w:szCs w:val="28"/>
        </w:rPr>
        <w:t>22.6%</w:t>
      </w:r>
      <w:r>
        <w:rPr>
          <w:rFonts w:ascii="Arial" w:eastAsia="仿宋_GB2312;仿宋" w:hAnsi="Arial" w:cs="Arial"/>
          <w:color w:val="000000"/>
          <w:sz w:val="28"/>
          <w:szCs w:val="28"/>
        </w:rPr>
        <w:t>。</w:t>
      </w:r>
    </w:p>
    <w:p w14:paraId="588DDB9F"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3</w:t>
      </w:r>
      <w:r>
        <w:rPr>
          <w:rFonts w:ascii="Arial" w:eastAsia="仿宋_GB2312;仿宋" w:hAnsi="Arial" w:cs="Arial"/>
          <w:color w:val="000000"/>
          <w:sz w:val="28"/>
          <w:szCs w:val="28"/>
        </w:rPr>
        <w:t>）服务业总体平稳，优势行业带动突出</w:t>
      </w:r>
    </w:p>
    <w:p w14:paraId="552F5759"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第三产业增加值按不变价格计算，同比增长</w:t>
      </w:r>
      <w:r>
        <w:rPr>
          <w:rFonts w:ascii="Arial" w:eastAsia="仿宋_GB2312;仿宋" w:hAnsi="Arial" w:cs="Arial"/>
          <w:color w:val="000000"/>
          <w:sz w:val="28"/>
          <w:szCs w:val="28"/>
        </w:rPr>
        <w:t>5.8%</w:t>
      </w:r>
      <w:r>
        <w:rPr>
          <w:rFonts w:ascii="Arial" w:eastAsia="仿宋_GB2312;仿宋" w:hAnsi="Arial" w:cs="Arial"/>
          <w:color w:val="000000"/>
          <w:sz w:val="28"/>
          <w:szCs w:val="28"/>
        </w:rPr>
        <w:t>。其中，信息传输、软件和信息技术服务业快速增长，实现增加值</w:t>
      </w:r>
      <w:r>
        <w:rPr>
          <w:rFonts w:ascii="Arial" w:eastAsia="仿宋_GB2312;仿宋" w:hAnsi="Arial" w:cs="Arial"/>
          <w:color w:val="000000"/>
          <w:sz w:val="28"/>
          <w:szCs w:val="28"/>
        </w:rPr>
        <w:t>2379.2</w:t>
      </w:r>
      <w:r>
        <w:rPr>
          <w:rFonts w:ascii="Arial" w:eastAsia="仿宋_GB2312;仿宋" w:hAnsi="Arial" w:cs="Arial"/>
          <w:color w:val="000000"/>
          <w:sz w:val="28"/>
          <w:szCs w:val="28"/>
        </w:rPr>
        <w:t>亿元，增长</w:t>
      </w:r>
      <w:r>
        <w:rPr>
          <w:rFonts w:ascii="Arial" w:eastAsia="仿宋_GB2312;仿宋" w:hAnsi="Arial" w:cs="Arial"/>
          <w:color w:val="000000"/>
          <w:sz w:val="28"/>
          <w:szCs w:val="28"/>
        </w:rPr>
        <w:t>13.7%</w:t>
      </w:r>
      <w:r>
        <w:rPr>
          <w:rFonts w:ascii="Arial" w:eastAsia="仿宋_GB2312;仿宋" w:hAnsi="Arial" w:cs="Arial"/>
          <w:color w:val="000000"/>
          <w:sz w:val="28"/>
          <w:szCs w:val="28"/>
        </w:rPr>
        <w:t>；金融业平稳支撑，实现增加值</w:t>
      </w:r>
      <w:r>
        <w:rPr>
          <w:rFonts w:ascii="Arial" w:eastAsia="仿宋_GB2312;仿宋" w:hAnsi="Arial" w:cs="Arial"/>
          <w:color w:val="000000"/>
          <w:sz w:val="28"/>
          <w:szCs w:val="28"/>
        </w:rPr>
        <w:t>2197.0</w:t>
      </w:r>
      <w:r>
        <w:rPr>
          <w:rFonts w:ascii="Arial" w:eastAsia="仿宋_GB2312;仿宋" w:hAnsi="Arial" w:cs="Arial"/>
          <w:color w:val="000000"/>
          <w:sz w:val="28"/>
          <w:szCs w:val="28"/>
        </w:rPr>
        <w:t>亿元，增长</w:t>
      </w:r>
      <w:r>
        <w:rPr>
          <w:rFonts w:ascii="Arial" w:eastAsia="仿宋_GB2312;仿宋" w:hAnsi="Arial" w:cs="Arial"/>
          <w:color w:val="000000"/>
          <w:sz w:val="28"/>
          <w:szCs w:val="28"/>
        </w:rPr>
        <w:t>4.7%</w:t>
      </w:r>
      <w:r>
        <w:rPr>
          <w:rFonts w:ascii="Arial" w:eastAsia="仿宋_GB2312;仿宋" w:hAnsi="Arial" w:cs="Arial"/>
          <w:color w:val="000000"/>
          <w:sz w:val="28"/>
          <w:szCs w:val="28"/>
        </w:rPr>
        <w:t>；接触性行业继续恢复，租赁和商务服务业实现增加值</w:t>
      </w:r>
      <w:r>
        <w:rPr>
          <w:rFonts w:ascii="Arial" w:eastAsia="仿宋_GB2312;仿宋" w:hAnsi="Arial" w:cs="Arial"/>
          <w:color w:val="000000"/>
          <w:sz w:val="28"/>
          <w:szCs w:val="28"/>
        </w:rPr>
        <w:t>582.2</w:t>
      </w:r>
      <w:r>
        <w:rPr>
          <w:rFonts w:ascii="Arial" w:eastAsia="仿宋_GB2312;仿宋" w:hAnsi="Arial" w:cs="Arial"/>
          <w:color w:val="000000"/>
          <w:sz w:val="28"/>
          <w:szCs w:val="28"/>
        </w:rPr>
        <w:t>亿元，增长</w:t>
      </w:r>
      <w:r>
        <w:rPr>
          <w:rFonts w:ascii="Arial" w:eastAsia="仿宋_GB2312;仿宋" w:hAnsi="Arial" w:cs="Arial"/>
          <w:color w:val="000000"/>
          <w:sz w:val="28"/>
          <w:szCs w:val="28"/>
        </w:rPr>
        <w:t>8.3%</w:t>
      </w:r>
      <w:r>
        <w:rPr>
          <w:rFonts w:ascii="Arial" w:eastAsia="仿宋_GB2312;仿宋" w:hAnsi="Arial" w:cs="Arial"/>
          <w:color w:val="000000"/>
          <w:sz w:val="28"/>
          <w:szCs w:val="28"/>
        </w:rPr>
        <w:t>；交通运输、仓储和邮政业实现增加值</w:t>
      </w:r>
      <w:r>
        <w:rPr>
          <w:rFonts w:ascii="Arial" w:eastAsia="仿宋_GB2312;仿宋" w:hAnsi="Arial" w:cs="Arial"/>
          <w:color w:val="000000"/>
          <w:sz w:val="28"/>
          <w:szCs w:val="28"/>
        </w:rPr>
        <w:t>243.8</w:t>
      </w:r>
      <w:r>
        <w:rPr>
          <w:rFonts w:ascii="Arial" w:eastAsia="仿宋_GB2312;仿宋" w:hAnsi="Arial" w:cs="Arial"/>
          <w:color w:val="000000"/>
          <w:sz w:val="28"/>
          <w:szCs w:val="28"/>
        </w:rPr>
        <w:t>亿元，增长</w:t>
      </w:r>
      <w:r>
        <w:rPr>
          <w:rFonts w:ascii="Arial" w:eastAsia="仿宋_GB2312;仿宋" w:hAnsi="Arial" w:cs="Arial"/>
          <w:color w:val="000000"/>
          <w:sz w:val="28"/>
          <w:szCs w:val="28"/>
        </w:rPr>
        <w:t>12.0%</w:t>
      </w:r>
      <w:r>
        <w:rPr>
          <w:rFonts w:ascii="Arial" w:eastAsia="仿宋_GB2312;仿宋" w:hAnsi="Arial" w:cs="Arial"/>
          <w:color w:val="000000"/>
          <w:sz w:val="28"/>
          <w:szCs w:val="28"/>
        </w:rPr>
        <w:t>。</w:t>
      </w:r>
    </w:p>
    <w:p w14:paraId="1436E373"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4</w:t>
      </w:r>
      <w:r>
        <w:rPr>
          <w:rFonts w:ascii="Arial" w:eastAsia="仿宋_GB2312;仿宋" w:hAnsi="Arial" w:cs="Arial"/>
          <w:color w:val="000000"/>
          <w:sz w:val="28"/>
          <w:szCs w:val="28"/>
        </w:rPr>
        <w:t>）</w:t>
      </w:r>
      <w:r>
        <w:rPr>
          <w:rFonts w:ascii="Arial" w:eastAsia="仿宋_GB2312;仿宋" w:hAnsi="Arial" w:cs="Arial"/>
          <w:bCs/>
          <w:color w:val="000000"/>
          <w:sz w:val="28"/>
          <w:szCs w:val="28"/>
        </w:rPr>
        <w:t>固定资产投资较快增长，高技术产业彰显活力</w:t>
      </w:r>
    </w:p>
    <w:p w14:paraId="18C07EC2"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固定资产投资（不含农户）同比增长</w:t>
      </w:r>
      <w:r>
        <w:rPr>
          <w:rFonts w:ascii="Arial" w:eastAsia="仿宋_GB2312;仿宋" w:hAnsi="Arial" w:cs="Arial"/>
          <w:color w:val="000000"/>
          <w:sz w:val="28"/>
          <w:szCs w:val="28"/>
        </w:rPr>
        <w:t>13.6%</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4.2</w:t>
      </w:r>
      <w:r>
        <w:rPr>
          <w:rFonts w:ascii="Arial" w:eastAsia="仿宋_GB2312;仿宋" w:hAnsi="Arial" w:cs="Arial"/>
          <w:color w:val="000000"/>
          <w:sz w:val="28"/>
          <w:szCs w:val="28"/>
        </w:rPr>
        <w:t>个百分点。其中，反映企业扩大生产能力的设备购置投资增长</w:t>
      </w:r>
      <w:r>
        <w:rPr>
          <w:rFonts w:ascii="Arial" w:eastAsia="仿宋_GB2312;仿宋" w:hAnsi="Arial" w:cs="Arial"/>
          <w:color w:val="000000"/>
          <w:sz w:val="28"/>
          <w:szCs w:val="28"/>
        </w:rPr>
        <w:t>53.5%</w:t>
      </w:r>
      <w:r>
        <w:rPr>
          <w:rFonts w:ascii="Arial" w:eastAsia="仿宋_GB2312;仿宋" w:hAnsi="Arial" w:cs="Arial"/>
          <w:color w:val="000000"/>
          <w:sz w:val="28"/>
          <w:szCs w:val="28"/>
        </w:rPr>
        <w:t>，反映实物工作量的建筑安装工程投资增长</w:t>
      </w:r>
      <w:r>
        <w:rPr>
          <w:rFonts w:ascii="Arial" w:eastAsia="仿宋_GB2312;仿宋" w:hAnsi="Arial" w:cs="Arial"/>
          <w:color w:val="000000"/>
          <w:sz w:val="28"/>
          <w:szCs w:val="28"/>
        </w:rPr>
        <w:t>16.9%</w:t>
      </w:r>
      <w:r>
        <w:rPr>
          <w:rFonts w:ascii="Arial" w:eastAsia="仿宋_GB2312;仿宋" w:hAnsi="Arial" w:cs="Arial"/>
          <w:color w:val="000000"/>
          <w:sz w:val="28"/>
          <w:szCs w:val="28"/>
        </w:rPr>
        <w:t>。分领域看，基础设施投资增长</w:t>
      </w:r>
      <w:r>
        <w:rPr>
          <w:rFonts w:ascii="Arial" w:eastAsia="仿宋_GB2312;仿宋" w:hAnsi="Arial" w:cs="Arial"/>
          <w:color w:val="000000"/>
          <w:sz w:val="28"/>
          <w:szCs w:val="28"/>
        </w:rPr>
        <w:t>25.2%</w:t>
      </w:r>
      <w:r>
        <w:rPr>
          <w:rFonts w:ascii="Arial" w:eastAsia="仿宋_GB2312;仿宋" w:hAnsi="Arial" w:cs="Arial"/>
          <w:color w:val="000000"/>
          <w:sz w:val="28"/>
          <w:szCs w:val="28"/>
        </w:rPr>
        <w:t>，制造业投资增长</w:t>
      </w:r>
      <w:r>
        <w:rPr>
          <w:rFonts w:ascii="Arial" w:eastAsia="仿宋_GB2312;仿宋" w:hAnsi="Arial" w:cs="Arial"/>
          <w:color w:val="000000"/>
          <w:sz w:val="28"/>
          <w:szCs w:val="28"/>
        </w:rPr>
        <w:t>15.0%</w:t>
      </w:r>
      <w:r>
        <w:rPr>
          <w:rFonts w:ascii="Arial" w:eastAsia="仿宋_GB2312;仿宋" w:hAnsi="Arial" w:cs="Arial"/>
          <w:color w:val="000000"/>
          <w:sz w:val="28"/>
          <w:szCs w:val="28"/>
        </w:rPr>
        <w:t>，房地产开发投资增长</w:t>
      </w:r>
      <w:r>
        <w:rPr>
          <w:rFonts w:ascii="Arial" w:eastAsia="仿宋_GB2312;仿宋" w:hAnsi="Arial" w:cs="Arial"/>
          <w:color w:val="000000"/>
          <w:sz w:val="28"/>
          <w:szCs w:val="28"/>
        </w:rPr>
        <w:t>2.0%</w:t>
      </w:r>
      <w:r>
        <w:rPr>
          <w:rFonts w:ascii="Arial" w:eastAsia="仿宋_GB2312;仿宋" w:hAnsi="Arial" w:cs="Arial"/>
          <w:color w:val="000000"/>
          <w:sz w:val="28"/>
          <w:szCs w:val="28"/>
        </w:rPr>
        <w:t>。分产业看，第一产业投资下降</w:t>
      </w:r>
      <w:r>
        <w:rPr>
          <w:rFonts w:ascii="Arial" w:eastAsia="仿宋_GB2312;仿宋" w:hAnsi="Arial" w:cs="Arial"/>
          <w:color w:val="000000"/>
          <w:sz w:val="28"/>
          <w:szCs w:val="28"/>
        </w:rPr>
        <w:t>54.3%</w:t>
      </w:r>
      <w:r>
        <w:rPr>
          <w:rFonts w:ascii="Arial" w:eastAsia="仿宋_GB2312;仿宋" w:hAnsi="Arial" w:cs="Arial"/>
          <w:color w:val="000000"/>
          <w:sz w:val="28"/>
          <w:szCs w:val="28"/>
        </w:rPr>
        <w:t>，第二产业投资增长</w:t>
      </w:r>
      <w:r>
        <w:rPr>
          <w:rFonts w:ascii="Arial" w:eastAsia="仿宋_GB2312;仿宋" w:hAnsi="Arial" w:cs="Arial"/>
          <w:color w:val="000000"/>
          <w:sz w:val="28"/>
          <w:szCs w:val="28"/>
        </w:rPr>
        <w:t>9.2%</w:t>
      </w:r>
      <w:r>
        <w:rPr>
          <w:rFonts w:ascii="Arial" w:eastAsia="仿宋_GB2312;仿宋" w:hAnsi="Arial" w:cs="Arial"/>
          <w:color w:val="000000"/>
          <w:sz w:val="28"/>
          <w:szCs w:val="28"/>
        </w:rPr>
        <w:t>，第三产业投资增长</w:t>
      </w:r>
      <w:r>
        <w:rPr>
          <w:rFonts w:ascii="Arial" w:eastAsia="仿宋_GB2312;仿宋" w:hAnsi="Arial" w:cs="Arial"/>
          <w:color w:val="000000"/>
          <w:sz w:val="28"/>
          <w:szCs w:val="28"/>
        </w:rPr>
        <w:t>14.5%</w:t>
      </w:r>
      <w:r>
        <w:rPr>
          <w:rFonts w:ascii="Arial" w:eastAsia="仿宋_GB2312;仿宋" w:hAnsi="Arial" w:cs="Arial"/>
          <w:color w:val="000000"/>
          <w:sz w:val="28"/>
          <w:szCs w:val="28"/>
        </w:rPr>
        <w:t>。高技术产业投资快速增长，高技术制造业投资增长</w:t>
      </w:r>
      <w:r>
        <w:rPr>
          <w:rFonts w:ascii="Arial" w:eastAsia="仿宋_GB2312;仿宋" w:hAnsi="Arial" w:cs="Arial"/>
          <w:color w:val="000000"/>
          <w:sz w:val="28"/>
          <w:szCs w:val="28"/>
        </w:rPr>
        <w:t>28.6%</w:t>
      </w:r>
      <w:r>
        <w:rPr>
          <w:rFonts w:ascii="Arial" w:eastAsia="仿宋_GB2312;仿宋" w:hAnsi="Arial" w:cs="Arial"/>
          <w:color w:val="000000"/>
          <w:sz w:val="28"/>
          <w:szCs w:val="28"/>
        </w:rPr>
        <w:t>，其中，计算机、通信和其他电子设备制造业，专用设备制造业分别增长</w:t>
      </w:r>
      <w:r>
        <w:rPr>
          <w:rFonts w:ascii="Arial" w:eastAsia="仿宋_GB2312;仿宋" w:hAnsi="Arial" w:cs="Arial"/>
          <w:color w:val="000000"/>
          <w:sz w:val="28"/>
          <w:szCs w:val="28"/>
        </w:rPr>
        <w:t>37.5%</w:t>
      </w:r>
      <w:r>
        <w:rPr>
          <w:rFonts w:ascii="Arial" w:eastAsia="仿宋_GB2312;仿宋" w:hAnsi="Arial" w:cs="Arial"/>
          <w:color w:val="000000"/>
          <w:sz w:val="28"/>
          <w:szCs w:val="28"/>
        </w:rPr>
        <w:t>和</w:t>
      </w:r>
      <w:r>
        <w:rPr>
          <w:rFonts w:ascii="Arial" w:eastAsia="仿宋_GB2312;仿宋" w:hAnsi="Arial" w:cs="Arial"/>
          <w:color w:val="000000"/>
          <w:sz w:val="28"/>
          <w:szCs w:val="28"/>
        </w:rPr>
        <w:t>9.5%</w:t>
      </w:r>
      <w:r>
        <w:rPr>
          <w:rFonts w:ascii="Arial" w:eastAsia="仿宋_GB2312;仿宋" w:hAnsi="Arial" w:cs="Arial"/>
          <w:color w:val="000000"/>
          <w:sz w:val="28"/>
          <w:szCs w:val="28"/>
        </w:rPr>
        <w:t>；高技术服务业投资增长</w:t>
      </w:r>
      <w:r>
        <w:rPr>
          <w:rFonts w:ascii="Arial" w:eastAsia="仿宋_GB2312;仿宋" w:hAnsi="Arial" w:cs="Arial"/>
          <w:color w:val="000000"/>
          <w:sz w:val="28"/>
          <w:szCs w:val="28"/>
        </w:rPr>
        <w:t>37.0%</w:t>
      </w:r>
      <w:r>
        <w:rPr>
          <w:rFonts w:ascii="Arial" w:eastAsia="仿宋_GB2312;仿宋" w:hAnsi="Arial" w:cs="Arial"/>
          <w:color w:val="000000"/>
          <w:sz w:val="28"/>
          <w:szCs w:val="28"/>
        </w:rPr>
        <w:t>，其中，研发与设计服务、信息服务投资分别增长</w:t>
      </w:r>
      <w:r>
        <w:rPr>
          <w:rFonts w:ascii="Arial" w:eastAsia="仿宋_GB2312;仿宋" w:hAnsi="Arial" w:cs="Arial"/>
          <w:color w:val="000000"/>
          <w:sz w:val="28"/>
          <w:szCs w:val="28"/>
        </w:rPr>
        <w:t>87.2%</w:t>
      </w:r>
      <w:r>
        <w:rPr>
          <w:rFonts w:ascii="Arial" w:eastAsia="仿宋_GB2312;仿宋" w:hAnsi="Arial" w:cs="Arial"/>
          <w:color w:val="000000"/>
          <w:sz w:val="28"/>
          <w:szCs w:val="28"/>
        </w:rPr>
        <w:t>和</w:t>
      </w:r>
      <w:r>
        <w:rPr>
          <w:rFonts w:ascii="Arial" w:eastAsia="仿宋_GB2312;仿宋" w:hAnsi="Arial" w:cs="Arial"/>
          <w:color w:val="000000"/>
          <w:sz w:val="28"/>
          <w:szCs w:val="28"/>
        </w:rPr>
        <w:t>55.0%</w:t>
      </w:r>
      <w:r>
        <w:rPr>
          <w:rFonts w:ascii="Arial" w:eastAsia="仿宋_GB2312;仿宋" w:hAnsi="Arial" w:cs="Arial"/>
          <w:color w:val="000000"/>
          <w:sz w:val="28"/>
          <w:szCs w:val="28"/>
        </w:rPr>
        <w:t>。</w:t>
      </w:r>
    </w:p>
    <w:p w14:paraId="2BCB92FF"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房屋施工面积</w:t>
      </w:r>
      <w:r>
        <w:rPr>
          <w:rFonts w:ascii="Arial" w:eastAsia="仿宋_GB2312;仿宋" w:hAnsi="Arial" w:cs="Arial"/>
          <w:color w:val="000000"/>
          <w:sz w:val="28"/>
          <w:szCs w:val="28"/>
        </w:rPr>
        <w:t>10323</w:t>
      </w:r>
      <w:r>
        <w:rPr>
          <w:rFonts w:ascii="Arial" w:eastAsia="仿宋_GB2312;仿宋" w:hAnsi="Arial" w:cs="Arial"/>
          <w:color w:val="000000"/>
          <w:sz w:val="28"/>
          <w:szCs w:val="28"/>
        </w:rPr>
        <w:t>万平方米，同比下降</w:t>
      </w:r>
      <w:r>
        <w:rPr>
          <w:rFonts w:ascii="Arial" w:eastAsia="仿宋_GB2312;仿宋" w:hAnsi="Arial" w:cs="Arial"/>
          <w:color w:val="000000"/>
          <w:sz w:val="28"/>
          <w:szCs w:val="28"/>
        </w:rPr>
        <w:t>11.3%</w:t>
      </w:r>
      <w:r>
        <w:rPr>
          <w:rFonts w:ascii="Arial" w:eastAsia="仿宋_GB2312;仿宋" w:hAnsi="Arial" w:cs="Arial"/>
          <w:color w:val="000000"/>
          <w:sz w:val="28"/>
          <w:szCs w:val="28"/>
        </w:rPr>
        <w:t>，其中住宅施工面积</w:t>
      </w:r>
      <w:r>
        <w:rPr>
          <w:rFonts w:ascii="Arial" w:eastAsia="仿宋_GB2312;仿宋" w:hAnsi="Arial" w:cs="Arial"/>
          <w:color w:val="000000"/>
          <w:sz w:val="28"/>
          <w:szCs w:val="28"/>
        </w:rPr>
        <w:t>5066.5</w:t>
      </w:r>
      <w:r>
        <w:rPr>
          <w:rFonts w:ascii="Arial" w:eastAsia="仿宋_GB2312;仿宋" w:hAnsi="Arial" w:cs="Arial"/>
          <w:color w:val="000000"/>
          <w:sz w:val="28"/>
          <w:szCs w:val="28"/>
        </w:rPr>
        <w:t>万平方米，下降</w:t>
      </w:r>
      <w:r>
        <w:rPr>
          <w:rFonts w:ascii="Arial" w:eastAsia="仿宋_GB2312;仿宋" w:hAnsi="Arial" w:cs="Arial"/>
          <w:color w:val="000000"/>
          <w:sz w:val="28"/>
          <w:szCs w:val="28"/>
        </w:rPr>
        <w:t>12.0%</w:t>
      </w:r>
      <w:r>
        <w:rPr>
          <w:rFonts w:ascii="Arial" w:eastAsia="仿宋_GB2312;仿宋" w:hAnsi="Arial" w:cs="Arial"/>
          <w:color w:val="000000"/>
          <w:sz w:val="28"/>
          <w:szCs w:val="28"/>
        </w:rPr>
        <w:t>。全市商品房销售面积</w:t>
      </w:r>
      <w:r>
        <w:rPr>
          <w:rFonts w:ascii="Arial" w:eastAsia="仿宋_GB2312;仿宋" w:hAnsi="Arial" w:cs="Arial"/>
          <w:color w:val="000000"/>
          <w:sz w:val="28"/>
          <w:szCs w:val="28"/>
        </w:rPr>
        <w:t>232.8</w:t>
      </w:r>
      <w:r>
        <w:rPr>
          <w:rFonts w:ascii="Arial" w:eastAsia="仿宋_GB2312;仿宋" w:hAnsi="Arial" w:cs="Arial"/>
          <w:color w:val="000000"/>
          <w:sz w:val="28"/>
          <w:szCs w:val="28"/>
        </w:rPr>
        <w:t>万平方米，在保障</w:t>
      </w:r>
      <w:proofErr w:type="gramStart"/>
      <w:r>
        <w:rPr>
          <w:rFonts w:ascii="Arial" w:eastAsia="仿宋_GB2312;仿宋" w:hAnsi="Arial" w:cs="Arial"/>
          <w:color w:val="000000"/>
          <w:sz w:val="28"/>
          <w:szCs w:val="28"/>
        </w:rPr>
        <w:t>房集中</w:t>
      </w:r>
      <w:proofErr w:type="gramEnd"/>
      <w:r>
        <w:rPr>
          <w:rFonts w:ascii="Arial" w:eastAsia="仿宋_GB2312;仿宋" w:hAnsi="Arial" w:cs="Arial"/>
          <w:color w:val="000000"/>
          <w:sz w:val="28"/>
          <w:szCs w:val="28"/>
        </w:rPr>
        <w:t>签约带动下，同比增长</w:t>
      </w:r>
      <w:r>
        <w:rPr>
          <w:rFonts w:ascii="Arial" w:eastAsia="仿宋_GB2312;仿宋" w:hAnsi="Arial" w:cs="Arial"/>
          <w:color w:val="000000"/>
          <w:sz w:val="28"/>
          <w:szCs w:val="28"/>
        </w:rPr>
        <w:t>6.5%</w:t>
      </w:r>
      <w:r>
        <w:rPr>
          <w:rFonts w:ascii="Arial" w:eastAsia="仿宋_GB2312;仿宋" w:hAnsi="Arial" w:cs="Arial"/>
          <w:color w:val="000000"/>
          <w:sz w:val="28"/>
          <w:szCs w:val="28"/>
        </w:rPr>
        <w:t>，其中住宅销售面积</w:t>
      </w:r>
      <w:r>
        <w:rPr>
          <w:rFonts w:ascii="Arial" w:eastAsia="仿宋_GB2312;仿宋" w:hAnsi="Arial" w:cs="Arial"/>
          <w:color w:val="000000"/>
          <w:sz w:val="28"/>
          <w:szCs w:val="28"/>
        </w:rPr>
        <w:t>160.3</w:t>
      </w:r>
      <w:r>
        <w:rPr>
          <w:rFonts w:ascii="Arial" w:eastAsia="仿宋_GB2312;仿宋" w:hAnsi="Arial" w:cs="Arial"/>
          <w:color w:val="000000"/>
          <w:sz w:val="28"/>
          <w:szCs w:val="28"/>
        </w:rPr>
        <w:t>万平方米，增长</w:t>
      </w:r>
      <w:r>
        <w:rPr>
          <w:rFonts w:ascii="Arial" w:eastAsia="仿宋_GB2312;仿宋" w:hAnsi="Arial" w:cs="Arial"/>
          <w:color w:val="000000"/>
          <w:sz w:val="28"/>
          <w:szCs w:val="28"/>
        </w:rPr>
        <w:t>8.8%</w:t>
      </w:r>
      <w:r>
        <w:rPr>
          <w:rFonts w:ascii="Arial" w:eastAsia="仿宋_GB2312;仿宋" w:hAnsi="Arial" w:cs="Arial"/>
          <w:color w:val="000000"/>
          <w:sz w:val="28"/>
          <w:szCs w:val="28"/>
        </w:rPr>
        <w:t>。</w:t>
      </w:r>
    </w:p>
    <w:p w14:paraId="3BD31528"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5</w:t>
      </w:r>
      <w:r>
        <w:rPr>
          <w:rFonts w:ascii="Arial" w:eastAsia="仿宋_GB2312;仿宋" w:hAnsi="Arial" w:cs="Arial"/>
          <w:bCs/>
          <w:color w:val="000000"/>
          <w:sz w:val="28"/>
          <w:szCs w:val="28"/>
        </w:rPr>
        <w:t>）市场消费继续恢复，服务消费增长较快</w:t>
      </w:r>
    </w:p>
    <w:p w14:paraId="2BDF752D"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一季度，北京市市场总消费额同比增长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。其中，服务性消费额增长</w:t>
      </w:r>
      <w:r>
        <w:rPr>
          <w:rFonts w:ascii="Arial" w:eastAsia="仿宋_GB2312;仿宋" w:hAnsi="Arial" w:cs="Arial"/>
          <w:bCs/>
          <w:color w:val="000000"/>
          <w:sz w:val="28"/>
          <w:szCs w:val="28"/>
        </w:rPr>
        <w:t>12.0%</w:t>
      </w:r>
      <w:r>
        <w:rPr>
          <w:rFonts w:ascii="Arial" w:eastAsia="仿宋_GB2312;仿宋" w:hAnsi="Arial" w:cs="Arial"/>
          <w:bCs/>
          <w:color w:val="000000"/>
          <w:sz w:val="28"/>
          <w:szCs w:val="28"/>
        </w:rPr>
        <w:t>，</w:t>
      </w:r>
      <w:proofErr w:type="gramStart"/>
      <w:r>
        <w:rPr>
          <w:rFonts w:ascii="Arial" w:eastAsia="仿宋_GB2312;仿宋" w:hAnsi="Arial" w:cs="Arial"/>
          <w:bCs/>
          <w:color w:val="000000"/>
          <w:sz w:val="28"/>
          <w:szCs w:val="28"/>
        </w:rPr>
        <w:t>文旅需求</w:t>
      </w:r>
      <w:proofErr w:type="gramEnd"/>
      <w:r>
        <w:rPr>
          <w:rFonts w:ascii="Arial" w:eastAsia="仿宋_GB2312;仿宋" w:hAnsi="Arial" w:cs="Arial"/>
          <w:bCs/>
          <w:color w:val="000000"/>
          <w:sz w:val="28"/>
          <w:szCs w:val="28"/>
        </w:rPr>
        <w:t>旺盛，交通、信息服务持续向好；实现社会消费品零售总额</w:t>
      </w:r>
      <w:r>
        <w:rPr>
          <w:rFonts w:ascii="Arial" w:eastAsia="仿宋_GB2312;仿宋" w:hAnsi="Arial" w:cs="Arial"/>
          <w:bCs/>
          <w:color w:val="000000"/>
          <w:sz w:val="28"/>
          <w:szCs w:val="28"/>
        </w:rPr>
        <w:t>3553.1</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。社会消费品零售总额中，按消费形态分，商品零售</w:t>
      </w:r>
      <w:r>
        <w:rPr>
          <w:rFonts w:ascii="Arial" w:eastAsia="仿宋_GB2312;仿宋" w:hAnsi="Arial" w:cs="Arial"/>
          <w:bCs/>
          <w:color w:val="000000"/>
          <w:sz w:val="28"/>
          <w:szCs w:val="28"/>
        </w:rPr>
        <w:t>3235.0</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，餐饮收入</w:t>
      </w:r>
      <w:r>
        <w:rPr>
          <w:rFonts w:ascii="Arial" w:eastAsia="仿宋_GB2312;仿宋" w:hAnsi="Arial" w:cs="Arial"/>
          <w:bCs/>
          <w:color w:val="000000"/>
          <w:sz w:val="28"/>
          <w:szCs w:val="28"/>
        </w:rPr>
        <w:t>318.0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0.1%</w:t>
      </w:r>
      <w:r>
        <w:rPr>
          <w:rFonts w:ascii="Arial" w:eastAsia="仿宋_GB2312;仿宋" w:hAnsi="Arial" w:cs="Arial"/>
          <w:bCs/>
          <w:color w:val="000000"/>
          <w:sz w:val="28"/>
          <w:szCs w:val="28"/>
        </w:rPr>
        <w:t>。按商品类别分，限额以上批发和零售业中，与升级类消费相关的金银珠宝类、体育娱乐用品类、通讯器材类商品零售额分别增长</w:t>
      </w:r>
      <w:r>
        <w:rPr>
          <w:rFonts w:ascii="Arial" w:eastAsia="仿宋_GB2312;仿宋" w:hAnsi="Arial" w:cs="Arial"/>
          <w:bCs/>
          <w:color w:val="000000"/>
          <w:sz w:val="28"/>
          <w:szCs w:val="28"/>
        </w:rPr>
        <w:t>24.7%</w:t>
      </w:r>
      <w:r>
        <w:rPr>
          <w:rFonts w:ascii="Arial" w:eastAsia="仿宋_GB2312;仿宋" w:hAnsi="Arial" w:cs="Arial"/>
          <w:bCs/>
          <w:color w:val="000000"/>
          <w:sz w:val="28"/>
          <w:szCs w:val="28"/>
        </w:rPr>
        <w:t>、</w:t>
      </w:r>
      <w:r>
        <w:rPr>
          <w:rFonts w:ascii="Arial" w:eastAsia="仿宋_GB2312;仿宋" w:hAnsi="Arial" w:cs="Arial"/>
          <w:bCs/>
          <w:color w:val="000000"/>
          <w:sz w:val="28"/>
          <w:szCs w:val="28"/>
        </w:rPr>
        <w:t>12.7%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7.6%</w:t>
      </w:r>
      <w:r>
        <w:rPr>
          <w:rFonts w:ascii="Arial" w:eastAsia="仿宋_GB2312;仿宋" w:hAnsi="Arial" w:cs="Arial"/>
          <w:bCs/>
          <w:color w:val="000000"/>
          <w:sz w:val="28"/>
          <w:szCs w:val="28"/>
        </w:rPr>
        <w:t>，汽车类商品零售额增长</w:t>
      </w:r>
      <w:r>
        <w:rPr>
          <w:rFonts w:ascii="Arial" w:eastAsia="仿宋_GB2312;仿宋" w:hAnsi="Arial" w:cs="Arial"/>
          <w:bCs/>
          <w:color w:val="000000"/>
          <w:sz w:val="28"/>
          <w:szCs w:val="28"/>
        </w:rPr>
        <w:t>2.3%</w:t>
      </w:r>
      <w:r>
        <w:rPr>
          <w:rFonts w:ascii="Arial" w:eastAsia="仿宋_GB2312;仿宋" w:hAnsi="Arial" w:cs="Arial"/>
          <w:bCs/>
          <w:color w:val="000000"/>
          <w:sz w:val="28"/>
          <w:szCs w:val="28"/>
        </w:rPr>
        <w:t>，其中新能源汽车增长</w:t>
      </w:r>
      <w:r>
        <w:rPr>
          <w:rFonts w:ascii="Arial" w:eastAsia="仿宋_GB2312;仿宋" w:hAnsi="Arial" w:cs="Arial"/>
          <w:bCs/>
          <w:color w:val="000000"/>
          <w:sz w:val="28"/>
          <w:szCs w:val="28"/>
        </w:rPr>
        <w:t>18.9%</w:t>
      </w:r>
      <w:r>
        <w:rPr>
          <w:rFonts w:ascii="Arial" w:eastAsia="仿宋_GB2312;仿宋" w:hAnsi="Arial" w:cs="Arial"/>
          <w:bCs/>
          <w:color w:val="000000"/>
          <w:sz w:val="28"/>
          <w:szCs w:val="28"/>
        </w:rPr>
        <w:t>。</w:t>
      </w:r>
    </w:p>
    <w:p w14:paraId="369F0A6D"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6</w:t>
      </w:r>
      <w:r>
        <w:rPr>
          <w:rFonts w:ascii="Arial" w:eastAsia="仿宋_GB2312;仿宋" w:hAnsi="Arial" w:cs="Arial"/>
          <w:bCs/>
          <w:color w:val="000000"/>
          <w:sz w:val="28"/>
          <w:szCs w:val="28"/>
        </w:rPr>
        <w:t>）</w:t>
      </w:r>
      <w:r>
        <w:rPr>
          <w:rFonts w:ascii="Arial" w:eastAsia="仿宋_GB2312;仿宋" w:hAnsi="Arial" w:cs="Arial"/>
          <w:color w:val="000000"/>
          <w:sz w:val="28"/>
          <w:szCs w:val="28"/>
        </w:rPr>
        <w:t>居民消费价格温和上涨，工业生产者出厂价格同比下降</w:t>
      </w:r>
    </w:p>
    <w:p w14:paraId="0E5FD197"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一季度，北京市居民消费价格同比上涨</w:t>
      </w:r>
      <w:r>
        <w:rPr>
          <w:rFonts w:ascii="Arial" w:eastAsia="仿宋_GB2312;仿宋" w:hAnsi="Arial" w:cs="Arial"/>
          <w:bCs/>
          <w:color w:val="000000"/>
          <w:sz w:val="28"/>
          <w:szCs w:val="28"/>
        </w:rPr>
        <w:t>0.2%</w:t>
      </w:r>
      <w:r>
        <w:rPr>
          <w:rFonts w:ascii="Arial" w:eastAsia="仿宋_GB2312;仿宋" w:hAnsi="Arial" w:cs="Arial"/>
          <w:bCs/>
          <w:color w:val="000000"/>
          <w:sz w:val="28"/>
          <w:szCs w:val="28"/>
        </w:rPr>
        <w:t>。其中，消费品价格下降</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，服务价格上涨</w:t>
      </w:r>
      <w:r>
        <w:rPr>
          <w:rFonts w:ascii="Arial" w:eastAsia="仿宋_GB2312;仿宋" w:hAnsi="Arial" w:cs="Arial"/>
          <w:bCs/>
          <w:color w:val="000000"/>
          <w:sz w:val="28"/>
          <w:szCs w:val="28"/>
        </w:rPr>
        <w:t>1.7%</w:t>
      </w:r>
      <w:r>
        <w:rPr>
          <w:rFonts w:ascii="Arial" w:eastAsia="仿宋_GB2312;仿宋" w:hAnsi="Arial" w:cs="Arial"/>
          <w:bCs/>
          <w:color w:val="000000"/>
          <w:sz w:val="28"/>
          <w:szCs w:val="28"/>
        </w:rPr>
        <w:t>。八大类商品和服务项目中，教育文化娱乐类价格上涨</w:t>
      </w:r>
      <w:r>
        <w:rPr>
          <w:rFonts w:ascii="Arial" w:eastAsia="仿宋_GB2312;仿宋" w:hAnsi="Arial" w:cs="Arial"/>
          <w:bCs/>
          <w:color w:val="000000"/>
          <w:sz w:val="28"/>
          <w:szCs w:val="28"/>
        </w:rPr>
        <w:t>6.2%</w:t>
      </w:r>
      <w:r>
        <w:rPr>
          <w:rFonts w:ascii="Arial" w:eastAsia="仿宋_GB2312;仿宋" w:hAnsi="Arial" w:cs="Arial"/>
          <w:bCs/>
          <w:color w:val="000000"/>
          <w:sz w:val="28"/>
          <w:szCs w:val="28"/>
        </w:rPr>
        <w:t>，其他用品及服务类价格上涨</w:t>
      </w:r>
      <w:r>
        <w:rPr>
          <w:rFonts w:ascii="Arial" w:eastAsia="仿宋_GB2312;仿宋" w:hAnsi="Arial" w:cs="Arial"/>
          <w:bCs/>
          <w:color w:val="000000"/>
          <w:sz w:val="28"/>
          <w:szCs w:val="28"/>
        </w:rPr>
        <w:t>3.5%</w:t>
      </w:r>
      <w:r>
        <w:rPr>
          <w:rFonts w:ascii="Arial" w:eastAsia="仿宋_GB2312;仿宋" w:hAnsi="Arial" w:cs="Arial"/>
          <w:bCs/>
          <w:color w:val="000000"/>
          <w:sz w:val="28"/>
          <w:szCs w:val="28"/>
        </w:rPr>
        <w:t>，衣着类价格上涨</w:t>
      </w:r>
      <w:r>
        <w:rPr>
          <w:rFonts w:ascii="Arial" w:eastAsia="仿宋_GB2312;仿宋" w:hAnsi="Arial" w:cs="Arial"/>
          <w:bCs/>
          <w:color w:val="000000"/>
          <w:sz w:val="28"/>
          <w:szCs w:val="28"/>
        </w:rPr>
        <w:t>0.4%</w:t>
      </w:r>
      <w:r>
        <w:rPr>
          <w:rFonts w:ascii="Arial" w:eastAsia="仿宋_GB2312;仿宋" w:hAnsi="Arial" w:cs="Arial"/>
          <w:bCs/>
          <w:color w:val="000000"/>
          <w:sz w:val="28"/>
          <w:szCs w:val="28"/>
        </w:rPr>
        <w:t>，生活用品及服务类价格上涨</w:t>
      </w:r>
      <w:r>
        <w:rPr>
          <w:rFonts w:ascii="Arial" w:eastAsia="仿宋_GB2312;仿宋" w:hAnsi="Arial" w:cs="Arial"/>
          <w:bCs/>
          <w:color w:val="000000"/>
          <w:sz w:val="28"/>
          <w:szCs w:val="28"/>
        </w:rPr>
        <w:t>0.3%</w:t>
      </w:r>
      <w:r>
        <w:rPr>
          <w:rFonts w:ascii="Arial" w:eastAsia="仿宋_GB2312;仿宋" w:hAnsi="Arial" w:cs="Arial"/>
          <w:bCs/>
          <w:color w:val="000000"/>
          <w:sz w:val="28"/>
          <w:szCs w:val="28"/>
        </w:rPr>
        <w:t>，医疗保健类价格上涨</w:t>
      </w:r>
      <w:r>
        <w:rPr>
          <w:rFonts w:ascii="Arial" w:eastAsia="仿宋_GB2312;仿宋" w:hAnsi="Arial" w:cs="Arial"/>
          <w:bCs/>
          <w:color w:val="000000"/>
          <w:sz w:val="28"/>
          <w:szCs w:val="28"/>
        </w:rPr>
        <w:t>0.1%</w:t>
      </w:r>
      <w:r>
        <w:rPr>
          <w:rFonts w:ascii="Arial" w:eastAsia="仿宋_GB2312;仿宋" w:hAnsi="Arial" w:cs="Arial"/>
          <w:bCs/>
          <w:color w:val="000000"/>
          <w:sz w:val="28"/>
          <w:szCs w:val="28"/>
        </w:rPr>
        <w:t>，居住类价格同比持平，食品烟酒类价格下降</w:t>
      </w:r>
      <w:r>
        <w:rPr>
          <w:rFonts w:ascii="Arial" w:eastAsia="仿宋_GB2312;仿宋" w:hAnsi="Arial" w:cs="Arial"/>
          <w:bCs/>
          <w:color w:val="000000"/>
          <w:sz w:val="28"/>
          <w:szCs w:val="28"/>
        </w:rPr>
        <w:t>2.7%</w:t>
      </w:r>
      <w:r>
        <w:rPr>
          <w:rFonts w:ascii="Arial" w:eastAsia="仿宋_GB2312;仿宋" w:hAnsi="Arial" w:cs="Arial"/>
          <w:bCs/>
          <w:color w:val="000000"/>
          <w:sz w:val="28"/>
          <w:szCs w:val="28"/>
        </w:rPr>
        <w:t>，交通通信类价格下降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月份，居民消费价格同比持平，环比下降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w:t>
      </w:r>
    </w:p>
    <w:p w14:paraId="0CF8471B"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一季度，北京市工业生产者出厂价格同比下降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月份，工业生产者出厂价格同比下降</w:t>
      </w:r>
      <w:r>
        <w:rPr>
          <w:rFonts w:ascii="Arial" w:eastAsia="仿宋_GB2312;仿宋" w:hAnsi="Arial" w:cs="Arial"/>
          <w:bCs/>
          <w:color w:val="000000"/>
          <w:sz w:val="28"/>
          <w:szCs w:val="28"/>
        </w:rPr>
        <w:t>1.5%</w:t>
      </w:r>
      <w:r>
        <w:rPr>
          <w:rFonts w:ascii="Arial" w:eastAsia="仿宋_GB2312;仿宋" w:hAnsi="Arial" w:cs="Arial"/>
          <w:bCs/>
          <w:color w:val="000000"/>
          <w:sz w:val="28"/>
          <w:szCs w:val="28"/>
        </w:rPr>
        <w:t>，环比下降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，环比持平。</w:t>
      </w:r>
    </w:p>
    <w:p w14:paraId="2BCC8198"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7</w:t>
      </w:r>
      <w:r>
        <w:rPr>
          <w:rFonts w:ascii="Arial" w:eastAsia="仿宋_GB2312;仿宋" w:hAnsi="Arial" w:cs="Arial"/>
          <w:bCs/>
          <w:color w:val="000000"/>
          <w:sz w:val="28"/>
          <w:szCs w:val="28"/>
        </w:rPr>
        <w:t>）</w:t>
      </w:r>
      <w:r>
        <w:rPr>
          <w:rFonts w:ascii="Arial" w:eastAsia="仿宋_GB2312;仿宋" w:hAnsi="Arial" w:cs="Arial"/>
          <w:color w:val="000000"/>
          <w:sz w:val="28"/>
          <w:szCs w:val="28"/>
        </w:rPr>
        <w:t>就业形势总体稳定，居民收入稳步增加</w:t>
      </w:r>
    </w:p>
    <w:p w14:paraId="5F947331"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一季度，北京市城镇调查失业率均值为</w:t>
      </w:r>
      <w:r>
        <w:rPr>
          <w:rFonts w:ascii="Arial" w:eastAsia="仿宋_GB2312;仿宋" w:hAnsi="Arial" w:cs="Arial"/>
          <w:bCs/>
          <w:color w:val="000000"/>
          <w:sz w:val="28"/>
          <w:szCs w:val="28"/>
        </w:rPr>
        <w:t>4.2%</w:t>
      </w:r>
      <w:r>
        <w:rPr>
          <w:rFonts w:ascii="Arial" w:eastAsia="仿宋_GB2312;仿宋" w:hAnsi="Arial" w:cs="Arial"/>
          <w:bCs/>
          <w:color w:val="000000"/>
          <w:sz w:val="28"/>
          <w:szCs w:val="28"/>
        </w:rPr>
        <w:t>，低于上年同期</w:t>
      </w:r>
      <w:r>
        <w:rPr>
          <w:rFonts w:ascii="Arial" w:eastAsia="仿宋_GB2312;仿宋" w:hAnsi="Arial" w:cs="Arial"/>
          <w:bCs/>
          <w:color w:val="000000"/>
          <w:sz w:val="28"/>
          <w:szCs w:val="28"/>
        </w:rPr>
        <w:t>0.4</w:t>
      </w:r>
      <w:r>
        <w:rPr>
          <w:rFonts w:ascii="Arial" w:eastAsia="仿宋_GB2312;仿宋" w:hAnsi="Arial" w:cs="Arial"/>
          <w:bCs/>
          <w:color w:val="000000"/>
          <w:sz w:val="28"/>
          <w:szCs w:val="28"/>
        </w:rPr>
        <w:t>个百分点；</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月份，城镇调查失业率为</w:t>
      </w:r>
      <w:r>
        <w:rPr>
          <w:rFonts w:ascii="Arial" w:eastAsia="仿宋_GB2312;仿宋" w:hAnsi="Arial" w:cs="Arial"/>
          <w:bCs/>
          <w:color w:val="000000"/>
          <w:sz w:val="28"/>
          <w:szCs w:val="28"/>
        </w:rPr>
        <w:t>4.3%</w:t>
      </w:r>
      <w:r>
        <w:rPr>
          <w:rFonts w:ascii="Arial" w:eastAsia="仿宋_GB2312;仿宋" w:hAnsi="Arial" w:cs="Arial"/>
          <w:bCs/>
          <w:color w:val="000000"/>
          <w:sz w:val="28"/>
          <w:szCs w:val="28"/>
        </w:rPr>
        <w:t>，环比持平。</w:t>
      </w:r>
    </w:p>
    <w:p w14:paraId="5D1409DF"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一季度，北京市居民人均可支配收入</w:t>
      </w:r>
      <w:r>
        <w:rPr>
          <w:rFonts w:ascii="Arial" w:eastAsia="仿宋_GB2312;仿宋" w:hAnsi="Arial" w:cs="Arial"/>
          <w:bCs/>
          <w:color w:val="000000"/>
          <w:sz w:val="28"/>
          <w:szCs w:val="28"/>
        </w:rPr>
        <w:t>22481</w:t>
      </w:r>
      <w:r>
        <w:rPr>
          <w:rFonts w:ascii="Arial" w:eastAsia="仿宋_GB2312;仿宋" w:hAnsi="Arial" w:cs="Arial"/>
          <w:bCs/>
          <w:color w:val="000000"/>
          <w:sz w:val="28"/>
          <w:szCs w:val="28"/>
        </w:rPr>
        <w:t>元，同比名义增长</w:t>
      </w:r>
      <w:r>
        <w:rPr>
          <w:rFonts w:ascii="Arial" w:eastAsia="仿宋_GB2312;仿宋" w:hAnsi="Arial" w:cs="Arial"/>
          <w:bCs/>
          <w:color w:val="000000"/>
          <w:sz w:val="28"/>
          <w:szCs w:val="28"/>
        </w:rPr>
        <w:t>5.2%</w:t>
      </w:r>
      <w:r>
        <w:rPr>
          <w:rFonts w:ascii="Arial" w:eastAsia="仿宋_GB2312;仿宋" w:hAnsi="Arial" w:cs="Arial"/>
          <w:bCs/>
          <w:color w:val="000000"/>
          <w:sz w:val="28"/>
          <w:szCs w:val="28"/>
        </w:rPr>
        <w:t>，扣除价格因素实际增长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。其中，工资性收入增长</w:t>
      </w:r>
      <w:r>
        <w:rPr>
          <w:rFonts w:ascii="Arial" w:eastAsia="仿宋_GB2312;仿宋" w:hAnsi="Arial" w:cs="Arial"/>
          <w:bCs/>
          <w:color w:val="000000"/>
          <w:sz w:val="28"/>
          <w:szCs w:val="28"/>
        </w:rPr>
        <w:t>6.5%</w:t>
      </w:r>
      <w:r>
        <w:rPr>
          <w:rFonts w:ascii="Arial" w:eastAsia="仿宋_GB2312;仿宋" w:hAnsi="Arial" w:cs="Arial"/>
          <w:bCs/>
          <w:color w:val="000000"/>
          <w:sz w:val="28"/>
          <w:szCs w:val="28"/>
        </w:rPr>
        <w:t>，经营净收入增长</w:t>
      </w:r>
      <w:r>
        <w:rPr>
          <w:rFonts w:ascii="Arial" w:eastAsia="仿宋_GB2312;仿宋" w:hAnsi="Arial" w:cs="Arial"/>
          <w:bCs/>
          <w:color w:val="000000"/>
          <w:sz w:val="28"/>
          <w:szCs w:val="28"/>
        </w:rPr>
        <w:t>0.4%</w:t>
      </w:r>
      <w:r>
        <w:rPr>
          <w:rFonts w:ascii="Arial" w:eastAsia="仿宋_GB2312;仿宋" w:hAnsi="Arial" w:cs="Arial"/>
          <w:bCs/>
          <w:color w:val="000000"/>
          <w:sz w:val="28"/>
          <w:szCs w:val="28"/>
        </w:rPr>
        <w:t>，财产净收入增长</w:t>
      </w:r>
      <w:r>
        <w:rPr>
          <w:rFonts w:ascii="Arial" w:eastAsia="仿宋_GB2312;仿宋" w:hAnsi="Arial" w:cs="Arial"/>
          <w:bCs/>
          <w:color w:val="000000"/>
          <w:sz w:val="28"/>
          <w:szCs w:val="28"/>
        </w:rPr>
        <w:t>2.5%</w:t>
      </w:r>
      <w:r>
        <w:rPr>
          <w:rFonts w:ascii="Arial" w:eastAsia="仿宋_GB2312;仿宋" w:hAnsi="Arial" w:cs="Arial"/>
          <w:bCs/>
          <w:color w:val="000000"/>
          <w:sz w:val="28"/>
          <w:szCs w:val="28"/>
        </w:rPr>
        <w:t>，转移净收入增长</w:t>
      </w:r>
      <w:r>
        <w:rPr>
          <w:rFonts w:ascii="Arial" w:eastAsia="仿宋_GB2312;仿宋" w:hAnsi="Arial" w:cs="Arial"/>
          <w:bCs/>
          <w:color w:val="000000"/>
          <w:sz w:val="28"/>
          <w:szCs w:val="28"/>
        </w:rPr>
        <w:t>3.3%</w:t>
      </w:r>
      <w:r>
        <w:rPr>
          <w:rFonts w:ascii="Arial" w:eastAsia="仿宋_GB2312;仿宋" w:hAnsi="Arial" w:cs="Arial"/>
          <w:bCs/>
          <w:color w:val="000000"/>
          <w:sz w:val="28"/>
          <w:szCs w:val="28"/>
        </w:rPr>
        <w:t>。城镇居民人均可支配收入</w:t>
      </w:r>
      <w:r>
        <w:rPr>
          <w:rFonts w:ascii="Arial" w:eastAsia="仿宋_GB2312;仿宋" w:hAnsi="Arial" w:cs="Arial"/>
          <w:bCs/>
          <w:color w:val="000000"/>
          <w:sz w:val="28"/>
          <w:szCs w:val="28"/>
        </w:rPr>
        <w:t>24210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，农村居民人均可支配收入</w:t>
      </w:r>
      <w:r>
        <w:rPr>
          <w:rFonts w:ascii="Arial" w:eastAsia="仿宋_GB2312;仿宋" w:hAnsi="Arial" w:cs="Arial"/>
          <w:bCs/>
          <w:color w:val="000000"/>
          <w:sz w:val="28"/>
          <w:szCs w:val="28"/>
        </w:rPr>
        <w:t>11305</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7.1%</w:t>
      </w:r>
      <w:r>
        <w:rPr>
          <w:rFonts w:ascii="Arial" w:eastAsia="仿宋_GB2312;仿宋" w:hAnsi="Arial" w:cs="Arial"/>
          <w:bCs/>
          <w:color w:val="000000"/>
          <w:sz w:val="28"/>
          <w:szCs w:val="28"/>
        </w:rPr>
        <w:t>。</w:t>
      </w:r>
    </w:p>
    <w:p w14:paraId="64CB9F81"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一季度，北京市居民人均消费支出</w:t>
      </w:r>
      <w:r>
        <w:rPr>
          <w:rFonts w:ascii="Arial" w:eastAsia="仿宋_GB2312;仿宋" w:hAnsi="Arial" w:cs="Arial"/>
          <w:bCs/>
          <w:color w:val="000000"/>
          <w:sz w:val="28"/>
          <w:szCs w:val="28"/>
        </w:rPr>
        <w:t>13034</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8.2%,</w:t>
      </w:r>
      <w:r>
        <w:rPr>
          <w:rFonts w:ascii="Arial" w:eastAsia="仿宋_GB2312;仿宋" w:hAnsi="Arial" w:cs="Arial"/>
          <w:bCs/>
          <w:color w:val="000000"/>
          <w:sz w:val="28"/>
          <w:szCs w:val="28"/>
        </w:rPr>
        <w:t>其中，城镇居民人均消费支出</w:t>
      </w:r>
      <w:r>
        <w:rPr>
          <w:rFonts w:ascii="Arial" w:eastAsia="仿宋_GB2312;仿宋" w:hAnsi="Arial" w:cs="Arial"/>
          <w:bCs/>
          <w:color w:val="000000"/>
          <w:sz w:val="28"/>
          <w:szCs w:val="28"/>
        </w:rPr>
        <w:t>13938</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8.3%</w:t>
      </w:r>
      <w:r>
        <w:rPr>
          <w:rFonts w:ascii="Arial" w:eastAsia="仿宋_GB2312;仿宋" w:hAnsi="Arial" w:cs="Arial"/>
          <w:bCs/>
          <w:color w:val="000000"/>
          <w:sz w:val="28"/>
          <w:szCs w:val="28"/>
        </w:rPr>
        <w:t>，农村居民人均消费支出</w:t>
      </w:r>
      <w:r>
        <w:rPr>
          <w:rFonts w:ascii="Arial" w:eastAsia="仿宋_GB2312;仿宋" w:hAnsi="Arial" w:cs="Arial"/>
          <w:bCs/>
          <w:color w:val="000000"/>
          <w:sz w:val="28"/>
          <w:szCs w:val="28"/>
        </w:rPr>
        <w:t>7190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7.2%</w:t>
      </w:r>
      <w:r>
        <w:rPr>
          <w:rFonts w:ascii="Arial" w:eastAsia="仿宋_GB2312;仿宋" w:hAnsi="Arial" w:cs="Arial"/>
          <w:bCs/>
          <w:color w:val="000000"/>
          <w:sz w:val="28"/>
          <w:szCs w:val="28"/>
        </w:rPr>
        <w:t>。</w:t>
      </w:r>
    </w:p>
    <w:p w14:paraId="72B2FC7D"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总的来看，一季度北京市经济呈现回升向好态势，在市委、市政府坚强领导下，全市上下坚决贯彻落实党中央、国务院决策部署，坚持稳中求进、以</w:t>
      </w:r>
      <w:proofErr w:type="gramStart"/>
      <w:r>
        <w:rPr>
          <w:rFonts w:ascii="Arial" w:eastAsia="仿宋_GB2312;仿宋" w:hAnsi="Arial" w:cs="Arial"/>
          <w:bCs/>
          <w:color w:val="000000"/>
          <w:sz w:val="28"/>
          <w:szCs w:val="28"/>
        </w:rPr>
        <w:t>进促稳</w:t>
      </w:r>
      <w:proofErr w:type="gramEnd"/>
      <w:r>
        <w:rPr>
          <w:rFonts w:ascii="Arial" w:eastAsia="仿宋_GB2312;仿宋" w:hAnsi="Arial" w:cs="Arial"/>
          <w:bCs/>
          <w:color w:val="000000"/>
          <w:sz w:val="28"/>
          <w:szCs w:val="28"/>
        </w:rPr>
        <w:t>、先立后破，统筹协调各项政策措施，着力扩内需、优结构、提信心、防风险，扎实推动高质量发展，生产需求继续好转，就业物价保持稳定，市场预期不断改善，总体经济回升向好，实现良好开局。</w:t>
      </w:r>
    </w:p>
    <w:p w14:paraId="578D457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（二）区域因素</w:t>
      </w:r>
    </w:p>
    <w:p w14:paraId="61ADC79B"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 xml:space="preserve">1. </w:t>
      </w:r>
      <w:r>
        <w:rPr>
          <w:rFonts w:ascii="Arial" w:eastAsia="仿宋_GB2312;仿宋" w:hAnsi="Arial" w:cs="Arial"/>
          <w:sz w:val="28"/>
        </w:rPr>
        <w:t>位置状况</w:t>
      </w:r>
    </w:p>
    <w:p w14:paraId="62CF710E" w14:textId="77777777" w:rsidR="00E70101" w:rsidRDefault="0060680B">
      <w:pPr>
        <w:spacing w:line="360" w:lineRule="auto"/>
        <w:ind w:firstLine="560"/>
        <w:jc w:val="both"/>
        <w:rPr>
          <w:rFonts w:eastAsia="仿宋_GB2312;仿宋"/>
        </w:rPr>
      </w:pPr>
      <w:r>
        <w:rPr>
          <w:rFonts w:ascii="Arial" w:eastAsia="仿宋_GB2312;仿宋" w:hAnsi="Arial" w:cs="Arial"/>
          <w:sz w:val="28"/>
        </w:rPr>
        <w:t>咨询对象位于北京市昌平区北七家镇八仙庄村。北七家镇，北京市</w:t>
      </w:r>
      <w:proofErr w:type="gramStart"/>
      <w:r>
        <w:rPr>
          <w:rFonts w:ascii="Arial" w:eastAsia="仿宋_GB2312;仿宋" w:hAnsi="Arial" w:cs="Arial"/>
          <w:sz w:val="28"/>
        </w:rPr>
        <w:t>昌平区</w:t>
      </w:r>
      <w:proofErr w:type="gramEnd"/>
      <w:r>
        <w:rPr>
          <w:rFonts w:ascii="Arial" w:eastAsia="仿宋_GB2312;仿宋" w:hAnsi="Arial" w:cs="Arial"/>
          <w:sz w:val="28"/>
        </w:rPr>
        <w:t>下辖镇，地处</w:t>
      </w:r>
      <w:proofErr w:type="gramStart"/>
      <w:r>
        <w:rPr>
          <w:rFonts w:ascii="Arial" w:eastAsia="仿宋_GB2312;仿宋" w:hAnsi="Arial" w:cs="Arial"/>
          <w:sz w:val="28"/>
        </w:rPr>
        <w:t>昌平区</w:t>
      </w:r>
      <w:proofErr w:type="gramEnd"/>
      <w:r>
        <w:rPr>
          <w:rFonts w:ascii="Arial" w:eastAsia="仿宋_GB2312;仿宋" w:hAnsi="Arial" w:cs="Arial"/>
          <w:sz w:val="28"/>
        </w:rPr>
        <w:t>东南部，位于东经</w:t>
      </w:r>
      <w:r>
        <w:rPr>
          <w:rFonts w:ascii="Arial" w:eastAsia="仿宋_GB2312;仿宋" w:hAnsi="Arial" w:cs="Arial"/>
          <w:sz w:val="28"/>
        </w:rPr>
        <w:t>116°20</w:t>
      </w:r>
      <w:r>
        <w:rPr>
          <w:rFonts w:ascii="仿宋_GB2312;仿宋" w:eastAsia="仿宋_GB2312;仿宋" w:hAnsi="仿宋_GB2312;仿宋" w:cs="仿宋_GB2312;仿宋"/>
          <w:sz w:val="28"/>
        </w:rPr>
        <w:t>′</w:t>
      </w:r>
      <w:r>
        <w:rPr>
          <w:rFonts w:ascii="Arial" w:eastAsia="仿宋_GB2312;仿宋" w:hAnsi="Arial" w:cs="Arial"/>
          <w:sz w:val="28"/>
        </w:rPr>
        <w:t>45</w:t>
      </w:r>
      <w:r>
        <w:rPr>
          <w:rFonts w:ascii="仿宋_GB2312;仿宋" w:eastAsia="仿宋_GB2312;仿宋" w:hAnsi="仿宋_GB2312;仿宋" w:cs="仿宋_GB2312;仿宋"/>
          <w:sz w:val="28"/>
        </w:rPr>
        <w:t>″</w:t>
      </w:r>
      <w:r>
        <w:rPr>
          <w:rFonts w:ascii="Arial" w:eastAsia="仿宋_GB2312;仿宋" w:hAnsi="Arial" w:cs="Arial"/>
          <w:sz w:val="28"/>
        </w:rPr>
        <w:t>~116°29</w:t>
      </w:r>
      <w:r>
        <w:rPr>
          <w:rFonts w:ascii="仿宋_GB2312;仿宋" w:eastAsia="仿宋_GB2312;仿宋" w:hAnsi="仿宋_GB2312;仿宋" w:cs="仿宋_GB2312;仿宋"/>
          <w:sz w:val="28"/>
        </w:rPr>
        <w:t>′</w:t>
      </w:r>
      <w:r>
        <w:rPr>
          <w:rFonts w:ascii="Arial" w:eastAsia="仿宋_GB2312;仿宋" w:hAnsi="Arial" w:cs="Arial"/>
          <w:sz w:val="28"/>
        </w:rPr>
        <w:t>11</w:t>
      </w:r>
      <w:r>
        <w:rPr>
          <w:rFonts w:ascii="仿宋_GB2312;仿宋" w:eastAsia="仿宋_GB2312;仿宋" w:hAnsi="仿宋_GB2312;仿宋" w:cs="仿宋_GB2312;仿宋"/>
          <w:sz w:val="28"/>
        </w:rPr>
        <w:t>″</w:t>
      </w:r>
      <w:r>
        <w:rPr>
          <w:rFonts w:ascii="Arial" w:eastAsia="仿宋_GB2312;仿宋" w:hAnsi="Arial" w:cs="Arial"/>
          <w:sz w:val="28"/>
        </w:rPr>
        <w:t>，北纬</w:t>
      </w:r>
      <w:r>
        <w:rPr>
          <w:rFonts w:ascii="Arial" w:eastAsia="仿宋_GB2312;仿宋" w:hAnsi="Arial" w:cs="Arial"/>
          <w:sz w:val="28"/>
        </w:rPr>
        <w:t>40°03</w:t>
      </w:r>
      <w:r>
        <w:rPr>
          <w:rFonts w:ascii="仿宋_GB2312;仿宋" w:eastAsia="仿宋_GB2312;仿宋" w:hAnsi="仿宋_GB2312;仿宋" w:cs="仿宋_GB2312;仿宋"/>
          <w:sz w:val="28"/>
        </w:rPr>
        <w:t>′</w:t>
      </w:r>
      <w:r>
        <w:rPr>
          <w:rFonts w:ascii="Arial" w:eastAsia="仿宋_GB2312;仿宋" w:hAnsi="Arial" w:cs="Arial"/>
          <w:sz w:val="28"/>
        </w:rPr>
        <w:t>27</w:t>
      </w:r>
      <w:r>
        <w:rPr>
          <w:rFonts w:ascii="仿宋_GB2312;仿宋" w:eastAsia="仿宋_GB2312;仿宋" w:hAnsi="仿宋_GB2312;仿宋" w:cs="仿宋_GB2312;仿宋"/>
          <w:sz w:val="28"/>
        </w:rPr>
        <w:t>″</w:t>
      </w:r>
      <w:r>
        <w:rPr>
          <w:rFonts w:ascii="Arial" w:eastAsia="仿宋_GB2312;仿宋" w:hAnsi="Arial" w:cs="Arial"/>
          <w:sz w:val="28"/>
        </w:rPr>
        <w:t>~40°09</w:t>
      </w:r>
      <w:r>
        <w:rPr>
          <w:rFonts w:ascii="仿宋_GB2312;仿宋" w:eastAsia="仿宋_GB2312;仿宋" w:hAnsi="仿宋_GB2312;仿宋" w:cs="仿宋_GB2312;仿宋"/>
          <w:sz w:val="28"/>
        </w:rPr>
        <w:t>′</w:t>
      </w:r>
      <w:r>
        <w:rPr>
          <w:rFonts w:ascii="Arial" w:eastAsia="仿宋_GB2312;仿宋" w:hAnsi="Arial" w:cs="Arial"/>
          <w:sz w:val="28"/>
        </w:rPr>
        <w:t>10</w:t>
      </w:r>
      <w:r>
        <w:rPr>
          <w:rFonts w:ascii="仿宋_GB2312;仿宋" w:eastAsia="仿宋_GB2312;仿宋" w:hAnsi="仿宋_GB2312;仿宋" w:cs="仿宋_GB2312;仿宋"/>
          <w:sz w:val="28"/>
        </w:rPr>
        <w:t>″</w:t>
      </w:r>
      <w:r>
        <w:rPr>
          <w:rFonts w:ascii="Arial" w:eastAsia="仿宋_GB2312;仿宋" w:hAnsi="Arial" w:cs="Arial"/>
          <w:sz w:val="28"/>
        </w:rPr>
        <w:t>之间，东与顺义区后沙峪镇交界，南与朝阳区来广营乡、</w:t>
      </w:r>
      <w:proofErr w:type="gramStart"/>
      <w:r>
        <w:rPr>
          <w:rFonts w:ascii="Arial" w:eastAsia="仿宋_GB2312;仿宋" w:hAnsi="Arial" w:cs="Arial"/>
          <w:sz w:val="28"/>
        </w:rPr>
        <w:t>昌平区</w:t>
      </w:r>
      <w:proofErr w:type="gramEnd"/>
      <w:r>
        <w:rPr>
          <w:rFonts w:ascii="Arial" w:eastAsia="仿宋_GB2312;仿宋" w:hAnsi="Arial" w:cs="Arial"/>
          <w:sz w:val="28"/>
        </w:rPr>
        <w:t>东小口镇接壤，西与沙河镇相邻，北与小汤山</w:t>
      </w:r>
      <w:proofErr w:type="gramStart"/>
      <w:r>
        <w:rPr>
          <w:rFonts w:ascii="Arial" w:eastAsia="仿宋_GB2312;仿宋" w:hAnsi="Arial" w:cs="Arial"/>
          <w:sz w:val="28"/>
        </w:rPr>
        <w:t>镇隔温</w:t>
      </w:r>
      <w:proofErr w:type="gramEnd"/>
      <w:r>
        <w:rPr>
          <w:rFonts w:ascii="Arial" w:eastAsia="仿宋_GB2312;仿宋" w:hAnsi="Arial" w:cs="Arial"/>
          <w:sz w:val="28"/>
        </w:rPr>
        <w:t>榆河相望。镇域面积</w:t>
      </w:r>
      <w:r>
        <w:rPr>
          <w:rFonts w:ascii="Arial" w:eastAsia="仿宋_GB2312;仿宋" w:hAnsi="Arial" w:cs="Arial"/>
          <w:sz w:val="28"/>
        </w:rPr>
        <w:t>56.65</w:t>
      </w:r>
      <w:r>
        <w:rPr>
          <w:rFonts w:ascii="Arial" w:eastAsia="仿宋_GB2312;仿宋" w:hAnsi="Arial" w:cs="Arial"/>
          <w:sz w:val="28"/>
        </w:rPr>
        <w:t>平方千米。北七家镇地处温榆河冲积平原，地势西北高、东南低。最高点位于西北部八仙庄村西南，海拔</w:t>
      </w:r>
      <w:r>
        <w:rPr>
          <w:rFonts w:ascii="Arial" w:eastAsia="仿宋_GB2312;仿宋" w:hAnsi="Arial" w:cs="Arial"/>
          <w:sz w:val="28"/>
        </w:rPr>
        <w:t>40.8</w:t>
      </w:r>
      <w:r>
        <w:rPr>
          <w:rFonts w:ascii="Arial" w:eastAsia="仿宋_GB2312;仿宋" w:hAnsi="Arial" w:cs="Arial"/>
          <w:sz w:val="28"/>
        </w:rPr>
        <w:t>米，最低点位于东南部鲁瞳村南，海拔</w:t>
      </w:r>
      <w:r>
        <w:rPr>
          <w:rFonts w:ascii="Arial" w:eastAsia="仿宋_GB2312;仿宋" w:hAnsi="Arial" w:cs="Arial"/>
          <w:sz w:val="28"/>
        </w:rPr>
        <w:t>26</w:t>
      </w:r>
      <w:r>
        <w:rPr>
          <w:rFonts w:ascii="Arial" w:eastAsia="仿宋_GB2312;仿宋" w:hAnsi="Arial" w:cs="Arial"/>
          <w:sz w:val="28"/>
        </w:rPr>
        <w:t>米。北</w:t>
      </w:r>
      <w:proofErr w:type="gramStart"/>
      <w:r>
        <w:rPr>
          <w:rFonts w:ascii="Arial" w:eastAsia="仿宋_GB2312;仿宋" w:hAnsi="Arial" w:cs="Arial"/>
          <w:sz w:val="28"/>
        </w:rPr>
        <w:t>七家镇温榆河属北运河</w:t>
      </w:r>
      <w:proofErr w:type="gramEnd"/>
      <w:r>
        <w:rPr>
          <w:rFonts w:ascii="Arial" w:eastAsia="仿宋_GB2312;仿宋" w:hAnsi="Arial" w:cs="Arial"/>
          <w:sz w:val="28"/>
        </w:rPr>
        <w:t>水系，从境内北部边缘流过。南部属清河水系，温榆河从西北至东南横贯镇域东南部。</w:t>
      </w:r>
      <w:r>
        <w:rPr>
          <w:rFonts w:ascii="Arial" w:eastAsia="Arial" w:hAnsi="Arial" w:cs="Arial"/>
          <w:sz w:val="28"/>
        </w:rPr>
        <w:t xml:space="preserve"> </w:t>
      </w:r>
    </w:p>
    <w:p w14:paraId="4B310791" w14:textId="77777777" w:rsidR="00E70101" w:rsidRDefault="0060680B">
      <w:pPr>
        <w:spacing w:line="360" w:lineRule="auto"/>
        <w:ind w:firstLine="560"/>
      </w:pPr>
      <w:r>
        <w:rPr>
          <w:rFonts w:ascii="Arial" w:eastAsia="仿宋_GB2312;仿宋" w:hAnsi="Arial" w:cs="Arial"/>
          <w:sz w:val="28"/>
        </w:rPr>
        <w:t>咨询对象临近八仙庄北大街，距北六环直线距离约</w:t>
      </w:r>
      <w:r>
        <w:rPr>
          <w:rFonts w:ascii="Arial" w:eastAsia="仿宋_GB2312;仿宋" w:hAnsi="Arial" w:cs="Arial"/>
          <w:sz w:val="28"/>
        </w:rPr>
        <w:t>3</w:t>
      </w:r>
      <w:r>
        <w:rPr>
          <w:rFonts w:ascii="Arial" w:eastAsia="仿宋_GB2312;仿宋" w:hAnsi="Arial" w:cs="Arial"/>
          <w:sz w:val="28"/>
        </w:rPr>
        <w:t>公里，至京承高速入口车程约</w:t>
      </w:r>
      <w:r>
        <w:rPr>
          <w:rFonts w:ascii="Arial" w:eastAsia="仿宋_GB2312;仿宋" w:hAnsi="Arial" w:cs="Arial"/>
          <w:sz w:val="28"/>
        </w:rPr>
        <w:t>20</w:t>
      </w:r>
      <w:r>
        <w:rPr>
          <w:rFonts w:ascii="Arial" w:eastAsia="仿宋_GB2312;仿宋" w:hAnsi="Arial" w:cs="Arial"/>
          <w:sz w:val="28"/>
        </w:rPr>
        <w:t>分钟，土地级别属于北京市基准地价工业类七级，地理位置较好。</w:t>
      </w:r>
    </w:p>
    <w:p w14:paraId="32FC2B9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F20A7CF"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咨询对象现状周边以产业用地为主，邻近周边有华润医药商业物流配送中心、北京同仁堂制药厂（北分厂）、国家能源集团新能源技术研究院、</w:t>
      </w:r>
      <w:proofErr w:type="gramStart"/>
      <w:r>
        <w:rPr>
          <w:rFonts w:ascii="Arial" w:eastAsia="仿宋_GB2312;仿宋" w:hAnsi="Arial" w:cs="Arial"/>
          <w:sz w:val="28"/>
        </w:rPr>
        <w:t>国网只能</w:t>
      </w:r>
      <w:proofErr w:type="gramEnd"/>
      <w:r>
        <w:rPr>
          <w:rFonts w:ascii="Arial" w:eastAsia="仿宋_GB2312;仿宋" w:hAnsi="Arial" w:cs="Arial"/>
          <w:sz w:val="28"/>
        </w:rPr>
        <w:t>电网研究院有限公司等，物流企业较多，产业集聚程度较好。</w:t>
      </w:r>
    </w:p>
    <w:p w14:paraId="72D257E9"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A8369D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咨询对象距北六环直线距离约</w:t>
      </w:r>
      <w:r>
        <w:rPr>
          <w:rFonts w:ascii="Arial" w:eastAsia="仿宋_GB2312;仿宋" w:hAnsi="Arial" w:cs="Arial"/>
          <w:sz w:val="28"/>
        </w:rPr>
        <w:t>3</w:t>
      </w:r>
      <w:r>
        <w:rPr>
          <w:rFonts w:ascii="Arial" w:eastAsia="仿宋_GB2312;仿宋" w:hAnsi="Arial" w:cs="Arial"/>
          <w:sz w:val="28"/>
        </w:rPr>
        <w:t>公里，临近城市次干道</w:t>
      </w:r>
      <w:r>
        <w:rPr>
          <w:rFonts w:ascii="Arial" w:eastAsia="仿宋_GB2312;仿宋" w:hAnsi="Arial" w:cs="Arial"/>
          <w:sz w:val="28"/>
        </w:rPr>
        <w:t>——</w:t>
      </w:r>
      <w:r>
        <w:rPr>
          <w:rFonts w:ascii="Arial" w:eastAsia="仿宋_GB2312;仿宋" w:hAnsi="Arial" w:cs="Arial"/>
          <w:sz w:val="28"/>
        </w:rPr>
        <w:t>八仙庄北大街、周边有</w:t>
      </w:r>
      <w:r>
        <w:rPr>
          <w:rFonts w:ascii="Arial" w:eastAsia="仿宋_GB2312;仿宋" w:hAnsi="Arial" w:cs="Arial"/>
          <w:sz w:val="28"/>
        </w:rPr>
        <w:t>628</w:t>
      </w:r>
      <w:r>
        <w:rPr>
          <w:rFonts w:ascii="Arial" w:eastAsia="仿宋_GB2312;仿宋" w:hAnsi="Arial" w:cs="Arial"/>
          <w:sz w:val="28"/>
        </w:rPr>
        <w:t>路、</w:t>
      </w:r>
      <w:r>
        <w:rPr>
          <w:rFonts w:ascii="Arial" w:eastAsia="仿宋_GB2312;仿宋" w:hAnsi="Arial" w:cs="Arial"/>
          <w:sz w:val="28"/>
        </w:rPr>
        <w:t>860</w:t>
      </w:r>
      <w:r>
        <w:rPr>
          <w:rFonts w:ascii="Arial" w:eastAsia="仿宋_GB2312;仿宋" w:hAnsi="Arial" w:cs="Arial"/>
          <w:sz w:val="28"/>
        </w:rPr>
        <w:t>路、</w:t>
      </w:r>
      <w:r>
        <w:rPr>
          <w:rFonts w:ascii="Arial" w:eastAsia="仿宋_GB2312;仿宋" w:hAnsi="Arial" w:cs="Arial"/>
          <w:sz w:val="28"/>
        </w:rPr>
        <w:t>871</w:t>
      </w:r>
      <w:r>
        <w:rPr>
          <w:rFonts w:ascii="Arial" w:eastAsia="仿宋_GB2312;仿宋" w:hAnsi="Arial" w:cs="Arial"/>
          <w:sz w:val="28"/>
        </w:rPr>
        <w:t>路、</w:t>
      </w:r>
      <w:r>
        <w:rPr>
          <w:rFonts w:ascii="Arial" w:eastAsia="仿宋_GB2312;仿宋" w:hAnsi="Arial" w:cs="Arial"/>
          <w:sz w:val="28"/>
        </w:rPr>
        <w:t>C120</w:t>
      </w:r>
      <w:r>
        <w:rPr>
          <w:rFonts w:ascii="Arial" w:eastAsia="仿宋_GB2312;仿宋" w:hAnsi="Arial" w:cs="Arial"/>
          <w:sz w:val="28"/>
        </w:rPr>
        <w:t>路等多条公交线路，综合评价交通便捷度较好。</w:t>
      </w:r>
    </w:p>
    <w:p w14:paraId="6E7F97F2"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FF5060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咨询对象周边有温榆河、葫芦河、未来科学城滨水公园等自然景观，有北京祥龙大学、北京市商业学校等人文设施，综合评价环境状况较好。</w:t>
      </w:r>
    </w:p>
    <w:p w14:paraId="65F49EE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480900E" w14:textId="77777777" w:rsidR="00E70101" w:rsidRDefault="0060680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（通路、通电、通上水、通下水、通讯、通燃气、通热）条件，保证程度一般。</w:t>
      </w:r>
    </w:p>
    <w:p w14:paraId="03235343" w14:textId="2D120871" w:rsidR="00E70101" w:rsidRDefault="0060680B">
      <w:pPr>
        <w:spacing w:line="360" w:lineRule="auto"/>
        <w:ind w:firstLine="560"/>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公里范围内有华联超市、北京天骄实验学校、</w:t>
      </w:r>
      <w:r w:rsidR="00693E9D">
        <w:rPr>
          <w:rFonts w:ascii="Arial" w:eastAsia="仿宋_GB2312;仿宋" w:hAnsi="Arial" w:cs="Arial"/>
          <w:sz w:val="28"/>
        </w:rPr>
        <w:t>北京市</w:t>
      </w:r>
      <w:commentRangeStart w:id="50"/>
      <w:r>
        <w:rPr>
          <w:rFonts w:ascii="Arial" w:eastAsia="仿宋_GB2312;仿宋" w:hAnsi="Arial" w:cs="Arial"/>
          <w:sz w:val="28"/>
        </w:rPr>
        <w:t>昌</w:t>
      </w:r>
      <w:commentRangeEnd w:id="50"/>
      <w:r>
        <w:commentReference w:id="50"/>
      </w:r>
      <w:r>
        <w:rPr>
          <w:rFonts w:ascii="Arial" w:eastAsia="仿宋_GB2312;仿宋" w:hAnsi="Arial" w:cs="Arial"/>
          <w:sz w:val="28"/>
        </w:rPr>
        <w:t>平区北七</w:t>
      </w:r>
      <w:r w:rsidR="004E1915">
        <w:rPr>
          <w:rFonts w:ascii="Arial" w:eastAsia="仿宋_GB2312;仿宋" w:hAnsi="Arial" w:cs="Arial"/>
          <w:sz w:val="28"/>
        </w:rPr>
        <w:t>家镇</w:t>
      </w:r>
      <w:r>
        <w:rPr>
          <w:rFonts w:ascii="Arial" w:eastAsia="仿宋_GB2312;仿宋" w:hAnsi="Arial" w:cs="Arial"/>
          <w:sz w:val="28"/>
        </w:rPr>
        <w:t>中心小学、八仙庄村幼儿园、八仙庄社区卫生服务站、</w:t>
      </w:r>
      <w:commentRangeStart w:id="51"/>
      <w:r>
        <w:rPr>
          <w:rFonts w:ascii="Arial" w:eastAsia="仿宋_GB2312;仿宋" w:hAnsi="Arial" w:cs="Arial"/>
          <w:sz w:val="28"/>
        </w:rPr>
        <w:t>中国</w:t>
      </w:r>
      <w:commentRangeEnd w:id="51"/>
      <w:r>
        <w:commentReference w:id="51"/>
      </w:r>
      <w:r>
        <w:rPr>
          <w:rFonts w:ascii="Arial" w:eastAsia="仿宋_GB2312;仿宋" w:hAnsi="Arial" w:cs="Arial"/>
          <w:sz w:val="28"/>
        </w:rPr>
        <w:t>农业银行（北京北七家支行）、中国邮政储蓄银行（北京昌平区北七家支行）等，各类配套设施齐备程度一般，故公共配套设施状况一般。</w:t>
      </w:r>
    </w:p>
    <w:p w14:paraId="7D3DF3A6" w14:textId="77777777" w:rsidR="00E70101" w:rsidRDefault="0060680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，公共配套设施状况一般。总体评价影响咨询对象的区位条件较好。</w:t>
      </w:r>
    </w:p>
    <w:p w14:paraId="4CB91DFE"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（三）个别因素</w:t>
      </w:r>
    </w:p>
    <w:p w14:paraId="74C07F66"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咨询对象位置：咨询对象位于北京市昌平区北七家镇八仙庄村仓储用地。根据《北京市人民政府关于更新出让国有建设用地使用权基准地价的通知》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17E45C0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2EAA2DDD" w14:textId="77777777" w:rsidR="00E70101" w:rsidRDefault="0060680B">
      <w:pPr>
        <w:spacing w:line="360" w:lineRule="auto"/>
        <w:ind w:firstLine="560"/>
        <w:jc w:val="both"/>
      </w:pPr>
      <w:r>
        <w:rPr>
          <w:rFonts w:ascii="Arial" w:eastAsia="仿宋_GB2312;仿宋" w:hAnsi="Arial" w:cs="Arial"/>
          <w:sz w:val="28"/>
        </w:rPr>
        <w:t>咨询对象登记土地用途为仓储，为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51AE442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p>
    <w:p w14:paraId="2579C0A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4AE14FEA" w14:textId="7CC87AD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commentRangeStart w:id="52"/>
      <w:r>
        <w:rPr>
          <w:rFonts w:ascii="Arial" w:eastAsia="仿宋_GB2312;仿宋" w:hAnsi="Arial" w:cs="Arial"/>
          <w:sz w:val="28"/>
        </w:rPr>
        <w:t>容积</w:t>
      </w:r>
      <w:commentRangeEnd w:id="52"/>
      <w:r>
        <w:commentReference w:id="52"/>
      </w:r>
      <w:r>
        <w:rPr>
          <w:rFonts w:ascii="Arial" w:eastAsia="仿宋_GB2312;仿宋" w:hAnsi="Arial" w:cs="Arial"/>
          <w:sz w:val="28"/>
        </w:rPr>
        <w:t>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40C39E26" w14:textId="77777777" w:rsidR="00E70101" w:rsidRDefault="0060680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2B96DEFD"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55F558D0"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通路：顺于路，为城市次干道；</w:t>
      </w:r>
      <w:r>
        <w:rPr>
          <w:rFonts w:ascii="Arial" w:eastAsia="Arial" w:hAnsi="Arial" w:cs="Arial"/>
          <w:spacing w:val="-12"/>
          <w:sz w:val="28"/>
        </w:rPr>
        <w:t xml:space="preserve"> </w:t>
      </w:r>
    </w:p>
    <w:p w14:paraId="405D19A6"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4EADD955"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E777E85"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93DC30E"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170CAF9"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通热：市政供暖；</w:t>
      </w:r>
    </w:p>
    <w:p w14:paraId="3F2798F6" w14:textId="77777777" w:rsidR="00E70101" w:rsidRDefault="0060680B">
      <w:pPr>
        <w:spacing w:line="360" w:lineRule="auto"/>
        <w:ind w:firstLine="512"/>
        <w:rPr>
          <w:rFonts w:ascii="Arial" w:eastAsia="仿宋_GB2312;仿宋" w:hAnsi="Arial" w:cs="Arial"/>
          <w:sz w:val="28"/>
        </w:rPr>
      </w:pPr>
      <w:r>
        <w:rPr>
          <w:rFonts w:ascii="Arial" w:eastAsia="仿宋_GB2312;仿宋" w:hAnsi="Arial" w:cs="Arial"/>
          <w:spacing w:val="-12"/>
          <w:sz w:val="28"/>
        </w:rPr>
        <w:t>通燃气：管道天然气。</w:t>
      </w: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62"/>
          <w:footerReference w:type="default" r:id="rId63"/>
          <w:pgSz w:w="11906" w:h="16838"/>
          <w:pgMar w:top="1843" w:right="1134" w:bottom="1134" w:left="1474" w:header="1134" w:footer="907" w:gutter="0"/>
          <w:cols w:space="720"/>
          <w:formProt w:val="0"/>
          <w:docGrid w:linePitch="326"/>
        </w:sectPr>
      </w:pPr>
    </w:p>
    <w:p w14:paraId="13A5B812" w14:textId="77777777" w:rsidR="00E70101" w:rsidRDefault="0060680B">
      <w:pPr>
        <w:spacing w:line="360" w:lineRule="auto"/>
        <w:jc w:val="center"/>
        <w:outlineLvl w:val="0"/>
        <w:rPr>
          <w:rFonts w:ascii="Arial" w:hAnsi="Arial" w:cs="Arial"/>
          <w:sz w:val="32"/>
        </w:rPr>
      </w:pPr>
      <w:bookmarkStart w:id="53" w:name="__RefHeading___Toc530042256"/>
      <w:r>
        <w:rPr>
          <w:rFonts w:ascii="Arial" w:hAnsi="Arial" w:cs="Arial"/>
          <w:b/>
          <w:sz w:val="32"/>
        </w:rPr>
        <w:t>第三部分</w:t>
      </w:r>
      <w:r>
        <w:rPr>
          <w:rFonts w:ascii="Arial" w:eastAsia="Arial" w:hAnsi="Arial" w:cs="Arial"/>
          <w:b/>
          <w:sz w:val="32"/>
        </w:rPr>
        <w:t xml:space="preserve">  </w:t>
      </w:r>
      <w:bookmarkEnd w:id="53"/>
      <w:r>
        <w:rPr>
          <w:rFonts w:ascii="Arial" w:hAnsi="Arial" w:cs="Arial"/>
          <w:b/>
          <w:sz w:val="32"/>
        </w:rPr>
        <w:t>土地咨询</w:t>
      </w:r>
    </w:p>
    <w:p w14:paraId="57934B80" w14:textId="77777777" w:rsidR="00E70101" w:rsidRDefault="00E70101">
      <w:pPr>
        <w:spacing w:line="360" w:lineRule="auto"/>
        <w:rPr>
          <w:rFonts w:ascii="Arial" w:eastAsia="仿宋_GB2312;仿宋" w:hAnsi="Arial" w:cs="Arial"/>
          <w:b/>
          <w:sz w:val="28"/>
        </w:rPr>
      </w:pPr>
    </w:p>
    <w:p w14:paraId="48C459D9" w14:textId="77777777" w:rsidR="00E70101" w:rsidRDefault="0060680B">
      <w:pPr>
        <w:spacing w:line="360" w:lineRule="auto"/>
        <w:outlineLvl w:val="1"/>
        <w:rPr>
          <w:rFonts w:ascii="Arial" w:eastAsia="仿宋_GB2312;仿宋" w:hAnsi="Arial" w:cs="Arial"/>
          <w:sz w:val="28"/>
        </w:rPr>
      </w:pPr>
      <w:bookmarkStart w:id="54" w:name="__RefHeading___Toc530042257"/>
      <w:bookmarkEnd w:id="54"/>
      <w:r>
        <w:rPr>
          <w:rFonts w:ascii="Arial" w:eastAsia="仿宋_GB2312;仿宋" w:hAnsi="Arial" w:cs="Arial"/>
          <w:b/>
          <w:sz w:val="28"/>
        </w:rPr>
        <w:t>一、咨询原则</w:t>
      </w:r>
    </w:p>
    <w:p w14:paraId="2FB7A656" w14:textId="7777777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咨询必须要对此进行细致分析并正确判断其变动趋向，了解土地价格组成的各项因素及各因素之间的相互作用，才能做出正确咨询。在土地咨询的实践和理论的探索中，在对土地价格形成和变化的规律认识的基础上，总结出一些在咨询活动中应当遵循的法则或标准，而在咨询作业时，这些原则又指导人们的咨询实践。所以在探讨土地咨询方法之前，首先要掌握土地咨询的基本原则，以此为指南，认真分析影响土地价格的因素，灵活使用各种土地咨询方法，才能对土地价格做出最准确的判断。土地咨询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3374F62D" w14:textId="77777777" w:rsidR="00E70101" w:rsidRDefault="0060680B">
      <w:pPr>
        <w:spacing w:line="360" w:lineRule="auto"/>
        <w:ind w:firstLine="630"/>
        <w:jc w:val="both"/>
        <w:rPr>
          <w:rFonts w:eastAsia="仿宋_GB2312;仿宋"/>
        </w:rPr>
      </w:pPr>
      <w:r>
        <w:rPr>
          <w:rFonts w:ascii="Arial" w:eastAsia="仿宋_GB2312;仿宋" w:hAnsi="Arial" w:cs="Arial"/>
          <w:sz w:val="28"/>
        </w:rPr>
        <w:t xml:space="preserve">1. </w:t>
      </w:r>
      <w:r>
        <w:rPr>
          <w:rFonts w:ascii="Arial" w:eastAsia="仿宋_GB2312;仿宋" w:hAnsi="Arial" w:cs="Arial"/>
          <w:sz w:val="28"/>
        </w:rPr>
        <w:t>合法原则</w:t>
      </w:r>
      <w:r>
        <w:rPr>
          <w:rFonts w:ascii="Arial" w:eastAsia="Arial" w:hAnsi="Arial" w:cs="Arial"/>
          <w:sz w:val="28"/>
        </w:rPr>
        <w:t xml:space="preserve"> </w:t>
      </w:r>
    </w:p>
    <w:p w14:paraId="2914FA62" w14:textId="77777777"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Pr>
          <w:rFonts w:ascii="Arial" w:eastAsia="Arial" w:hAnsi="Arial" w:cs="Arial"/>
          <w:sz w:val="28"/>
        </w:rPr>
        <w:t xml:space="preserve"> </w:t>
      </w:r>
    </w:p>
    <w:p w14:paraId="24D659DE"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4E427270" w14:textId="77777777" w:rsidR="00E70101" w:rsidRDefault="0060680B">
      <w:pPr>
        <w:spacing w:line="360" w:lineRule="auto"/>
        <w:ind w:firstLine="630"/>
        <w:jc w:val="both"/>
        <w:rPr>
          <w:rFonts w:eastAsia="仿宋_GB2312;仿宋"/>
        </w:rPr>
      </w:pPr>
      <w:r>
        <w:rPr>
          <w:rFonts w:ascii="Arial" w:eastAsia="仿宋_GB2312;仿宋" w:hAnsi="Arial" w:cs="Arial"/>
          <w:sz w:val="28"/>
        </w:rPr>
        <w:t>2</w:t>
      </w:r>
      <w:r>
        <w:rPr>
          <w:rFonts w:ascii="Arial" w:eastAsia="仿宋_GB2312;仿宋" w:hAnsi="Arial" w:cs="Arial"/>
          <w:sz w:val="28"/>
        </w:rPr>
        <w:t>、替代原则</w:t>
      </w:r>
      <w:r>
        <w:rPr>
          <w:rFonts w:ascii="Arial" w:eastAsia="Arial" w:hAnsi="Arial" w:cs="Arial"/>
          <w:sz w:val="28"/>
        </w:rPr>
        <w:t xml:space="preserve"> </w:t>
      </w:r>
    </w:p>
    <w:p w14:paraId="662D15E4"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6AADB88C" w14:textId="77777777" w:rsidR="00E70101" w:rsidRDefault="0060680B">
      <w:pPr>
        <w:spacing w:line="360" w:lineRule="auto"/>
        <w:ind w:firstLine="630"/>
        <w:jc w:val="both"/>
        <w:rPr>
          <w:rFonts w:eastAsia="仿宋_GB2312;仿宋"/>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Pr>
          <w:rFonts w:ascii="Arial" w:eastAsia="Arial" w:hAnsi="Arial" w:cs="Arial"/>
          <w:sz w:val="28"/>
        </w:rPr>
        <w:t xml:space="preserve">     </w:t>
      </w:r>
    </w:p>
    <w:p w14:paraId="258DC234"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A601B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替代原则的适用范围广，是本次咨询成本逼近法中土地取得费的理论基础。</w:t>
      </w:r>
    </w:p>
    <w:p w14:paraId="640F0309" w14:textId="77777777" w:rsidR="00E70101" w:rsidRDefault="0060680B">
      <w:pPr>
        <w:spacing w:line="360" w:lineRule="auto"/>
        <w:ind w:firstLine="630"/>
        <w:jc w:val="both"/>
        <w:rPr>
          <w:rFonts w:eastAsia="仿宋_GB2312;仿宋"/>
        </w:rPr>
      </w:pPr>
      <w:r>
        <w:rPr>
          <w:rFonts w:ascii="Arial" w:eastAsia="仿宋_GB2312;仿宋" w:hAnsi="Arial" w:cs="Arial"/>
          <w:sz w:val="28"/>
        </w:rPr>
        <w:t xml:space="preserve">3. </w:t>
      </w:r>
      <w:r>
        <w:rPr>
          <w:rFonts w:ascii="Arial" w:eastAsia="仿宋_GB2312;仿宋" w:hAnsi="Arial" w:cs="Arial"/>
          <w:sz w:val="28"/>
        </w:rPr>
        <w:t>最有效利用原则</w:t>
      </w:r>
      <w:r>
        <w:rPr>
          <w:rFonts w:ascii="Arial" w:eastAsia="Arial" w:hAnsi="Arial" w:cs="Arial"/>
          <w:sz w:val="28"/>
        </w:rPr>
        <w:t xml:space="preserve"> </w:t>
      </w:r>
    </w:p>
    <w:p w14:paraId="2EF45D4B" w14:textId="77777777"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6FABC4BC" w14:textId="77777777" w:rsidR="00E70101" w:rsidRDefault="0060680B">
      <w:pPr>
        <w:spacing w:line="360" w:lineRule="auto"/>
        <w:ind w:firstLine="630"/>
        <w:jc w:val="both"/>
        <w:rPr>
          <w:rFonts w:eastAsia="仿宋_GB2312;仿宋"/>
        </w:rPr>
      </w:pPr>
      <w:r>
        <w:rPr>
          <w:rFonts w:ascii="Arial" w:eastAsia="仿宋_GB2312;仿宋" w:hAnsi="Arial" w:cs="Arial"/>
          <w:sz w:val="28"/>
        </w:rPr>
        <w:t>最有效利用原则是经济学中效用最大化原理在土地估算中的具体运用。土地具有用途的多样性，土地不同的利用方式会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r>
        <w:rPr>
          <w:rFonts w:ascii="Arial" w:eastAsia="Arial" w:hAnsi="Arial" w:cs="Arial"/>
          <w:sz w:val="28"/>
        </w:rPr>
        <w:t xml:space="preserve"> </w:t>
      </w:r>
    </w:p>
    <w:p w14:paraId="2BA74CDF" w14:textId="77777777"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根据最有效利用原则，土地估算不应受土地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4C3CC221" w14:textId="77777777" w:rsidR="00E70101" w:rsidRDefault="0060680B">
      <w:pPr>
        <w:spacing w:line="360" w:lineRule="auto"/>
        <w:ind w:firstLine="630"/>
        <w:jc w:val="both"/>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51F051E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0B8272DF" w14:textId="77777777" w:rsidR="00E70101" w:rsidRDefault="0060680B">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267D7CBA"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3726A96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613D0F2F"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7E7C5E34"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436F2D2" w14:textId="77777777" w:rsidR="00E70101" w:rsidRDefault="0060680B">
      <w:pPr>
        <w:spacing w:line="360" w:lineRule="auto"/>
        <w:ind w:firstLine="630"/>
        <w:jc w:val="both"/>
        <w:rPr>
          <w:rFonts w:eastAsia="仿宋_GB2312;仿宋"/>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4B0E1491"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 xml:space="preserve">6. </w:t>
      </w:r>
      <w:r>
        <w:rPr>
          <w:rFonts w:ascii="Arial" w:eastAsia="仿宋_GB2312;仿宋" w:hAnsi="Arial" w:cs="Arial"/>
          <w:sz w:val="28"/>
        </w:rPr>
        <w:t>谨慎性原则</w:t>
      </w:r>
    </w:p>
    <w:p w14:paraId="7637D3F1"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56CAB983" w14:textId="77777777" w:rsidR="00E70101" w:rsidRDefault="0060680B">
      <w:pPr>
        <w:spacing w:line="360" w:lineRule="auto"/>
        <w:ind w:firstLine="560"/>
        <w:jc w:val="both"/>
        <w:rPr>
          <w:rFonts w:ascii="Arial" w:eastAsia="仿宋_GB2312;仿宋" w:hAnsi="Arial" w:cs="Arial"/>
          <w:b/>
          <w:sz w:val="28"/>
        </w:rPr>
      </w:pPr>
      <w:r>
        <w:rPr>
          <w:rFonts w:ascii="Arial" w:eastAsia="仿宋_GB2312;仿宋" w:hAnsi="Arial" w:cs="Arial"/>
          <w:sz w:val="28"/>
        </w:rPr>
        <w:t>本次咨询考虑咨询对象的具体情况，结合咨询目的，在咨询过程中确定相关参数和结果时，仔细分析并充分考虑土地市场运行状况、有关行业发展状况、存在的风险，严格遵循着谨慎性原则。行细致分析，预测</w:t>
      </w:r>
      <w:proofErr w:type="gramStart"/>
      <w:r>
        <w:rPr>
          <w:rFonts w:ascii="Arial" w:eastAsia="仿宋_GB2312;仿宋" w:hAnsi="Arial" w:cs="Arial"/>
          <w:sz w:val="28"/>
        </w:rPr>
        <w:t>以待估宗地</w:t>
      </w:r>
      <w:proofErr w:type="gramEnd"/>
      <w:r>
        <w:rPr>
          <w:rFonts w:ascii="Arial" w:eastAsia="仿宋_GB2312;仿宋" w:hAnsi="Arial" w:cs="Arial"/>
          <w:sz w:val="28"/>
        </w:rPr>
        <w:t>在正常利用条件下的未来客观有效的预期收益。</w:t>
      </w:r>
    </w:p>
    <w:p w14:paraId="3A3BC542" w14:textId="77777777" w:rsidR="00E70101" w:rsidRDefault="0060680B">
      <w:pPr>
        <w:spacing w:line="360" w:lineRule="auto"/>
        <w:jc w:val="both"/>
        <w:outlineLvl w:val="1"/>
        <w:rPr>
          <w:rFonts w:ascii="Arial" w:eastAsia="仿宋_GB2312;仿宋" w:hAnsi="Arial" w:cs="Arial"/>
          <w:b/>
          <w:sz w:val="28"/>
        </w:rPr>
      </w:pPr>
      <w:bookmarkStart w:id="55" w:name="__RefHeading___Toc530042258"/>
      <w:bookmarkEnd w:id="55"/>
      <w:r>
        <w:rPr>
          <w:rFonts w:ascii="Arial" w:eastAsia="仿宋_GB2312;仿宋" w:hAnsi="Arial" w:cs="Arial"/>
          <w:b/>
          <w:sz w:val="28"/>
        </w:rPr>
        <w:t>二、咨询方法与咨询过程</w:t>
      </w:r>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42B6B61E" w14:textId="77777777"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77777777" w:rsidR="00E70101" w:rsidRDefault="0060680B">
      <w:pPr>
        <w:autoSpaceDE w:val="0"/>
        <w:spacing w:line="360" w:lineRule="auto"/>
        <w:ind w:firstLine="560"/>
        <w:jc w:val="both"/>
        <w:textAlignment w:val="bottom"/>
      </w:pPr>
      <w:r>
        <w:rPr>
          <w:rFonts w:ascii="Arial" w:eastAsia="仿宋_GB2312;仿宋" w:hAnsi="Arial" w:cs="Arial"/>
          <w:sz w:val="28"/>
        </w:rPr>
        <w:t>根据《城镇土地咨询规程》</w:t>
      </w:r>
      <w:r>
        <w:rPr>
          <w:rFonts w:ascii="Arial" w:eastAsia="仿宋_GB2312;仿宋" w:hAnsi="Arial" w:cs="Arial"/>
          <w:sz w:val="28"/>
        </w:rPr>
        <w:t>[GB/T 18508-2014]</w:t>
      </w:r>
      <w:r>
        <w:rPr>
          <w:rFonts w:ascii="Arial" w:eastAsia="仿宋_GB2312;仿宋" w:hAnsi="Arial" w:cs="Arial"/>
          <w:sz w:val="28"/>
        </w:rPr>
        <w:t>以及咨询对象的具体条件、用地性质及咨询目的，结合评估专业人员收集的有关资料，考虑到当地地产市场发育程度，选择评估方法。</w:t>
      </w:r>
    </w:p>
    <w:p w14:paraId="54AF4DE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77777777" w:rsidR="00E70101" w:rsidRDefault="0060680B">
      <w:pPr>
        <w:spacing w:line="360" w:lineRule="auto"/>
        <w:ind w:left="-2" w:firstLine="560"/>
        <w:jc w:val="both"/>
      </w:pPr>
      <w:r>
        <w:rPr>
          <w:rFonts w:ascii="Arial" w:eastAsia="仿宋_GB2312;仿宋" w:hAnsi="Arial" w:cs="Arial"/>
          <w:sz w:val="28"/>
        </w:rPr>
        <w:t>成本逼近法：成本逼近法是以取得和开发土地所耗费的各项费用之和为主要依据，再加上一定的利润、利息、应缴纳的税金和</w:t>
      </w:r>
      <w:hyperlink r:id="rId64" w:tgtFrame="_blank">
        <w:r>
          <w:rPr>
            <w:rStyle w:val="Internet"/>
            <w:rFonts w:ascii="Arial" w:eastAsia="仿宋_GB2312;仿宋" w:hAnsi="Arial" w:cs="Arial"/>
            <w:sz w:val="28"/>
          </w:rPr>
          <w:t>土地所有权</w:t>
        </w:r>
      </w:hyperlink>
      <w:r>
        <w:rPr>
          <w:rFonts w:ascii="Arial" w:eastAsia="仿宋_GB2312;仿宋" w:hAnsi="Arial" w:cs="Arial"/>
          <w:sz w:val="28"/>
        </w:rPr>
        <w:t>收益来确定</w:t>
      </w:r>
      <w:hyperlink r:id="rId65" w:tgtFrame="_blank">
        <w:r>
          <w:rPr>
            <w:rStyle w:val="Internet"/>
            <w:rFonts w:ascii="Arial" w:eastAsia="仿宋_GB2312;仿宋" w:hAnsi="Arial" w:cs="Arial"/>
            <w:sz w:val="28"/>
          </w:rPr>
          <w:t>土地价格</w:t>
        </w:r>
      </w:hyperlink>
      <w:r>
        <w:rPr>
          <w:rFonts w:ascii="Arial" w:eastAsia="仿宋_GB2312;仿宋" w:hAnsi="Arial" w:cs="Arial"/>
          <w:sz w:val="28"/>
        </w:rPr>
        <w:t>的估算方法。成本逼近法一般是用于新开发土地，或土地市场欠发育、交易实例少的地区的土地价格评估。</w:t>
      </w:r>
    </w:p>
    <w:p w14:paraId="76446B7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剩余法：是在估算开发完成后不动产正常交易价格的基础上，扣除建筑物建造费用和与建筑物建造、买卖有关费用后，以价格余额来确定咨询对象土地价格的一种方法。剩余法适用于具有开发投资价值或再开发潜力的房地产。</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Pr>
          <w:rFonts w:ascii="Arial" w:eastAsia="仿宋_GB2312;仿宋" w:hAnsi="Arial" w:cs="Arial"/>
          <w:kern w:val="2"/>
        </w:rPr>
        <w:t>北估秘</w:t>
      </w:r>
      <w:proofErr w:type="gramEnd"/>
      <w:r>
        <w:rPr>
          <w:rFonts w:ascii="Arial" w:eastAsia="仿宋_GB2312;仿宋" w:hAnsi="Arial" w:cs="Arial"/>
          <w:kern w:val="2"/>
        </w:rPr>
        <w:t>（</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77777777"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评估专业人员在认真分析所掌握的资料并进行了实地勘查之后，根据咨询对象土地的特点及开发项目本身的实际状况，选取市场比较法和成本逼近法作为本次评估的基本方法。分析如下：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4BC89F5" w14:textId="77777777" w:rsidR="00E70101" w:rsidRDefault="0060680B">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shd w:val="clear" w:color="auto" w:fill="auto"/>
            <w:vAlign w:val="center"/>
          </w:tcPr>
          <w:p w14:paraId="60056C52"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96A58"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shd w:val="clear" w:color="auto" w:fill="auto"/>
            <w:vAlign w:val="center"/>
          </w:tcPr>
          <w:p w14:paraId="1FCEA5A7"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lang w:val="zh-CN"/>
              </w:rPr>
            </w:pPr>
            <w:r>
              <w:rPr>
                <w:rFonts w:ascii="Arial" w:eastAsia="仿宋_GB2312;仿宋" w:hAnsi="Arial" w:cs="Arial"/>
                <w:kern w:val="2"/>
                <w:sz w:val="24"/>
                <w:szCs w:val="24"/>
                <w:lang w:val="zh-CN"/>
              </w:rPr>
              <w:t>市场比较法</w:t>
            </w:r>
          </w:p>
        </w:tc>
        <w:tc>
          <w:tcPr>
            <w:tcW w:w="5174" w:type="dxa"/>
            <w:tcBorders>
              <w:top w:val="single" w:sz="4" w:space="0" w:color="000000"/>
              <w:left w:val="single" w:sz="4" w:space="0" w:color="000000"/>
              <w:bottom w:val="single" w:sz="4" w:space="0" w:color="000000"/>
            </w:tcBorders>
            <w:shd w:val="clear" w:color="auto" w:fill="auto"/>
            <w:vAlign w:val="center"/>
          </w:tcPr>
          <w:p w14:paraId="55B5AEBD" w14:textId="77777777" w:rsidR="00E70101" w:rsidRDefault="0060680B">
            <w:pPr>
              <w:pStyle w:val="23"/>
              <w:spacing w:line="240" w:lineRule="auto"/>
              <w:ind w:firstLine="0"/>
              <w:jc w:val="center"/>
              <w:rPr>
                <w:rFonts w:ascii="Arial" w:hAnsi="Arial" w:cs="Arial"/>
                <w:kern w:val="2"/>
                <w:sz w:val="24"/>
                <w:szCs w:val="24"/>
              </w:rPr>
            </w:pPr>
            <w:r>
              <w:rPr>
                <w:rFonts w:ascii="Arial" w:hAnsi="Arial" w:cs="Arial"/>
                <w:kern w:val="2"/>
                <w:sz w:val="24"/>
                <w:szCs w:val="24"/>
              </w:rPr>
              <w:t>咨询对象位于昌平区，为划拨用地。咨询师调查到同一圈层相邻地区划拨用地的交易实例，具有一定的可比性，符合市场比较法的要求。故选取市场比较法进行评估。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75E8"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是</w:t>
            </w:r>
          </w:p>
        </w:tc>
      </w:tr>
      <w:tr w:rsidR="00E70101" w14:paraId="1FBBD646"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A3C850E"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lang w:val="zh-CN"/>
              </w:rPr>
            </w:pPr>
            <w:r>
              <w:rPr>
                <w:rFonts w:ascii="Arial" w:eastAsia="仿宋_GB2312;仿宋" w:hAnsi="Arial" w:cs="Arial"/>
                <w:kern w:val="2"/>
                <w:sz w:val="24"/>
                <w:szCs w:val="24"/>
                <w:lang w:val="zh-CN"/>
              </w:rPr>
              <w:t>收益还原法</w:t>
            </w:r>
          </w:p>
        </w:tc>
        <w:tc>
          <w:tcPr>
            <w:tcW w:w="5174" w:type="dxa"/>
            <w:tcBorders>
              <w:top w:val="single" w:sz="4" w:space="0" w:color="000000"/>
              <w:left w:val="single" w:sz="4" w:space="0" w:color="000000"/>
              <w:bottom w:val="single" w:sz="4" w:space="0" w:color="000000"/>
            </w:tcBorders>
            <w:shd w:val="clear" w:color="auto" w:fill="auto"/>
            <w:vAlign w:val="center"/>
          </w:tcPr>
          <w:p w14:paraId="5EC94C9D" w14:textId="77777777" w:rsidR="00E70101" w:rsidRDefault="0060680B">
            <w:pPr>
              <w:pStyle w:val="12"/>
              <w:autoSpaceDE w:val="0"/>
              <w:spacing w:before="163" w:after="163" w:line="240" w:lineRule="auto"/>
              <w:ind w:right="6"/>
              <w:jc w:val="center"/>
              <w:textAlignment w:val="bottom"/>
            </w:pPr>
            <w:r>
              <w:rPr>
                <w:rFonts w:ascii="Arial" w:eastAsia="仿宋_GB2312;仿宋" w:hAnsi="Arial" w:cs="Arial"/>
                <w:kern w:val="2"/>
                <w:sz w:val="24"/>
                <w:szCs w:val="24"/>
              </w:rPr>
              <w:t>咨询对象所在区域缺乏工业用途的土地出租实例，难以采用收益还原法反映咨询对象在咨询期日的收购补偿价格。故未采用。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D1DC4"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r w:rsidR="00E70101" w14:paraId="637F9C82"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04180ED4"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rPr>
            </w:pPr>
            <w:r>
              <w:rPr>
                <w:rFonts w:ascii="Arial" w:eastAsia="仿宋_GB2312;仿宋" w:hAnsi="Arial" w:cs="Arial"/>
                <w:kern w:val="2"/>
                <w:sz w:val="24"/>
                <w:szCs w:val="24"/>
              </w:rPr>
              <w:t>剩余（增值收益扣减）法</w:t>
            </w:r>
          </w:p>
        </w:tc>
        <w:tc>
          <w:tcPr>
            <w:tcW w:w="5174" w:type="dxa"/>
            <w:tcBorders>
              <w:top w:val="single" w:sz="4" w:space="0" w:color="000000"/>
              <w:left w:val="single" w:sz="4" w:space="0" w:color="000000"/>
              <w:bottom w:val="single" w:sz="4" w:space="0" w:color="000000"/>
            </w:tcBorders>
            <w:shd w:val="clear" w:color="auto" w:fill="auto"/>
            <w:vAlign w:val="center"/>
          </w:tcPr>
          <w:p w14:paraId="29FD94DD" w14:textId="77777777" w:rsidR="00E70101" w:rsidRDefault="0060680B">
            <w:pPr>
              <w:spacing w:line="240" w:lineRule="auto"/>
              <w:jc w:val="center"/>
              <w:rPr>
                <w:rFonts w:ascii="Arial" w:eastAsia="仿宋_GB2312;仿宋" w:hAnsi="Arial" w:cs="Arial"/>
                <w:kern w:val="2"/>
                <w:szCs w:val="24"/>
              </w:rPr>
            </w:pPr>
            <w:r>
              <w:rPr>
                <w:rFonts w:ascii="Arial" w:eastAsia="仿宋_GB2312;仿宋" w:hAnsi="Arial" w:cs="Arial"/>
                <w:kern w:val="2"/>
                <w:szCs w:val="24"/>
              </w:rPr>
              <w:t>是在《城镇土地咨询规程》剩余法思路上衍生技术路线，通过出让土地使用权价格扣减土地增值收益的方法评估划拨地价。北京市暂未公布土地增值收益，</w:t>
            </w:r>
            <w:proofErr w:type="gramStart"/>
            <w:r>
              <w:rPr>
                <w:rFonts w:ascii="Arial" w:eastAsia="仿宋_GB2312;仿宋" w:hAnsi="Arial" w:cs="Arial"/>
                <w:kern w:val="2"/>
                <w:szCs w:val="24"/>
              </w:rPr>
              <w:t>且区域</w:t>
            </w:r>
            <w:proofErr w:type="gramEnd"/>
            <w:r>
              <w:rPr>
                <w:rFonts w:ascii="Arial" w:eastAsia="仿宋_GB2312;仿宋" w:hAnsi="Arial" w:cs="Arial"/>
                <w:kern w:val="2"/>
                <w:szCs w:val="24"/>
              </w:rPr>
              <w:t>均值差异较大（顺义区</w:t>
            </w:r>
            <w:r>
              <w:rPr>
                <w:rFonts w:ascii="Arial" w:eastAsia="仿宋_GB2312;仿宋" w:hAnsi="Arial" w:cs="Arial"/>
                <w:kern w:val="2"/>
                <w:szCs w:val="24"/>
              </w:rPr>
              <w:t>13.0%</w:t>
            </w:r>
            <w:r>
              <w:rPr>
                <w:rFonts w:ascii="Arial" w:eastAsia="仿宋_GB2312;仿宋" w:hAnsi="Arial" w:cs="Arial"/>
                <w:kern w:val="2"/>
                <w:szCs w:val="24"/>
              </w:rPr>
              <w:t>，北京经济技术开发区</w:t>
            </w:r>
            <w:r>
              <w:rPr>
                <w:rFonts w:ascii="Arial" w:eastAsia="仿宋_GB2312;仿宋" w:hAnsi="Arial" w:cs="Arial"/>
                <w:kern w:val="2"/>
                <w:szCs w:val="24"/>
              </w:rPr>
              <w:t>15.0%</w:t>
            </w:r>
            <w:r>
              <w:rPr>
                <w:rFonts w:ascii="Arial" w:eastAsia="仿宋_GB2312;仿宋" w:hAnsi="Arial" w:cs="Arial"/>
                <w:kern w:val="2"/>
                <w:szCs w:val="24"/>
              </w:rPr>
              <w:t>，</w:t>
            </w:r>
            <w:proofErr w:type="gramStart"/>
            <w:r>
              <w:rPr>
                <w:rFonts w:ascii="Arial" w:eastAsia="仿宋_GB2312;仿宋" w:hAnsi="Arial" w:cs="Arial"/>
                <w:kern w:val="2"/>
                <w:szCs w:val="24"/>
              </w:rPr>
              <w:t>大兴区</w:t>
            </w:r>
            <w:proofErr w:type="gramEnd"/>
            <w:r>
              <w:rPr>
                <w:rFonts w:ascii="Arial" w:eastAsia="仿宋_GB2312;仿宋" w:hAnsi="Arial" w:cs="Arial"/>
                <w:kern w:val="2"/>
                <w:szCs w:val="24"/>
              </w:rPr>
              <w:t>11.8%</w:t>
            </w:r>
            <w:r>
              <w:rPr>
                <w:rFonts w:ascii="Arial" w:eastAsia="仿宋_GB2312;仿宋" w:hAnsi="Arial" w:cs="Arial"/>
                <w:kern w:val="2"/>
                <w:szCs w:val="24"/>
              </w:rPr>
              <w:t>，房山区</w:t>
            </w:r>
            <w:r>
              <w:rPr>
                <w:rFonts w:ascii="Arial" w:eastAsia="仿宋_GB2312;仿宋" w:hAnsi="Arial" w:cs="Arial"/>
                <w:kern w:val="2"/>
                <w:szCs w:val="24"/>
              </w:rPr>
              <w:t>7.6%</w:t>
            </w:r>
            <w:r>
              <w:rPr>
                <w:rFonts w:ascii="Arial" w:eastAsia="仿宋_GB2312;仿宋" w:hAnsi="Arial" w:cs="Arial"/>
                <w:kern w:val="2"/>
                <w:szCs w:val="24"/>
              </w:rPr>
              <w:t>），难以客观量化。故未采用。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49E75"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shd w:val="clear" w:color="auto" w:fill="auto"/>
            <w:vAlign w:val="center"/>
          </w:tcPr>
          <w:p w14:paraId="31A4154D"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rPr>
            </w:pPr>
            <w:r>
              <w:rPr>
                <w:rFonts w:ascii="Arial" w:eastAsia="仿宋_GB2312;仿宋" w:hAnsi="Arial" w:cs="Arial"/>
                <w:kern w:val="2"/>
                <w:sz w:val="24"/>
                <w:szCs w:val="24"/>
              </w:rPr>
              <w:t>成本逼近法</w:t>
            </w:r>
          </w:p>
        </w:tc>
        <w:tc>
          <w:tcPr>
            <w:tcW w:w="5174" w:type="dxa"/>
            <w:tcBorders>
              <w:top w:val="single" w:sz="4" w:space="0" w:color="000000"/>
              <w:left w:val="single" w:sz="4" w:space="0" w:color="000000"/>
              <w:bottom w:val="single" w:sz="4" w:space="0" w:color="000000"/>
            </w:tcBorders>
            <w:shd w:val="clear" w:color="auto" w:fill="auto"/>
            <w:vAlign w:val="center"/>
          </w:tcPr>
          <w:p w14:paraId="7ED1E650" w14:textId="77777777" w:rsidR="00E70101" w:rsidRDefault="0060680B">
            <w:pPr>
              <w:spacing w:line="240" w:lineRule="auto"/>
              <w:jc w:val="center"/>
            </w:pPr>
            <w:r>
              <w:rPr>
                <w:rFonts w:ascii="Arial" w:eastAsia="仿宋_GB2312;仿宋" w:hAnsi="Arial" w:cs="Arial"/>
                <w:szCs w:val="24"/>
              </w:rPr>
              <w:t>咨询对象周边区域近几年来有类似土地一级开发项目的成本数据，且为划拨用地，可通过直接或间接的方式求取土地取得费、土地开发费、税费、利息、利润等相关成本费用且</w:t>
            </w:r>
            <w:proofErr w:type="gramStart"/>
            <w:r>
              <w:rPr>
                <w:rFonts w:ascii="Arial" w:eastAsia="仿宋_GB2312;仿宋" w:hAnsi="Arial" w:cs="Arial"/>
                <w:szCs w:val="24"/>
              </w:rPr>
              <w:t>不</w:t>
            </w:r>
            <w:proofErr w:type="gramEnd"/>
            <w:r>
              <w:rPr>
                <w:rFonts w:ascii="Arial" w:eastAsia="仿宋_GB2312;仿宋" w:hAnsi="Arial" w:cs="Arial"/>
                <w:szCs w:val="24"/>
              </w:rPr>
              <w:t>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D85DE"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是</w:t>
            </w:r>
          </w:p>
        </w:tc>
      </w:tr>
      <w:tr w:rsidR="00E70101" w14:paraId="4AF1D910"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D293102" w14:textId="77777777" w:rsidR="00E70101" w:rsidRDefault="0060680B">
            <w:pPr>
              <w:spacing w:line="240" w:lineRule="auto"/>
              <w:jc w:val="center"/>
              <w:rPr>
                <w:rFonts w:ascii="Arial" w:eastAsia="仿宋_GB2312;仿宋" w:hAnsi="Arial" w:cs="Arial"/>
                <w:szCs w:val="24"/>
              </w:rPr>
            </w:pPr>
            <w:r>
              <w:rPr>
                <w:rFonts w:ascii="Arial" w:eastAsia="仿宋_GB2312;仿宋" w:hAnsi="Arial" w:cs="Arial"/>
                <w:szCs w:val="24"/>
              </w:rPr>
              <w:t>基准地价系数修正法</w:t>
            </w:r>
          </w:p>
        </w:tc>
        <w:tc>
          <w:tcPr>
            <w:tcW w:w="5174" w:type="dxa"/>
            <w:tcBorders>
              <w:top w:val="single" w:sz="4" w:space="0" w:color="000000"/>
              <w:left w:val="single" w:sz="4" w:space="0" w:color="000000"/>
              <w:bottom w:val="single" w:sz="4" w:space="0" w:color="000000"/>
            </w:tcBorders>
            <w:shd w:val="clear" w:color="auto" w:fill="auto"/>
            <w:vAlign w:val="center"/>
          </w:tcPr>
          <w:p w14:paraId="1049EF39"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4"/>
                <w:szCs w:val="24"/>
              </w:rPr>
            </w:pPr>
            <w:proofErr w:type="gramStart"/>
            <w:r>
              <w:rPr>
                <w:rFonts w:ascii="Arial" w:eastAsia="仿宋_GB2312;仿宋" w:hAnsi="Arial" w:cs="Arial"/>
                <w:sz w:val="24"/>
                <w:szCs w:val="24"/>
              </w:rPr>
              <w:t>待估宗地</w:t>
            </w:r>
            <w:proofErr w:type="gramEnd"/>
            <w:r>
              <w:rPr>
                <w:rFonts w:ascii="Arial" w:eastAsia="仿宋_GB2312;仿宋" w:hAnsi="Arial" w:cs="Arial"/>
                <w:sz w:val="24"/>
                <w:szCs w:val="24"/>
              </w:rPr>
              <w:t>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B1AD8"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bl>
    <w:p w14:paraId="3B2119BF" w14:textId="77777777"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根据咨询对象实际状况和周边土地市场情况并结合谨慎性原则，本次咨询方法选用采用市场比较法和成本逼近法进行测算，评估划拨国有建设用地使用权收购补偿价格。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77777777"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77777777"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477CB5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7777777" w:rsidR="00E70101" w:rsidRDefault="0060680B">
      <w:pPr>
        <w:spacing w:line="360" w:lineRule="auto"/>
        <w:ind w:left="-2" w:firstLine="560"/>
        <w:jc w:val="both"/>
      </w:pPr>
      <w:r>
        <w:rPr>
          <w:rFonts w:ascii="Arial" w:eastAsia="仿宋_GB2312;仿宋" w:hAnsi="Arial" w:cs="Arial"/>
          <w:sz w:val="28"/>
          <w:szCs w:val="28"/>
        </w:rPr>
        <w:t xml:space="preserve">2. </w:t>
      </w:r>
      <w:r>
        <w:rPr>
          <w:rFonts w:ascii="Arial" w:eastAsia="仿宋_GB2312;仿宋" w:hAnsi="Arial" w:cs="Arial"/>
          <w:sz w:val="28"/>
          <w:szCs w:val="28"/>
        </w:rPr>
        <w:t>本次评估所采用的咨询方法简述如下：</w:t>
      </w:r>
    </w:p>
    <w:p w14:paraId="31A1308B" w14:textId="77777777" w:rsidR="00E70101" w:rsidRDefault="0060680B">
      <w:pPr>
        <w:pStyle w:val="23"/>
        <w:widowControl/>
        <w:tabs>
          <w:tab w:val="right" w:pos="8840"/>
        </w:tabs>
        <w:spacing w:line="360" w:lineRule="auto"/>
        <w:ind w:firstLine="560"/>
        <w:textAlignment w:val="bottom"/>
        <w:rPr>
          <w:rFonts w:ascii="Arial" w:eastAsia="仿宋_GB2312;仿宋" w:hAnsi="Arial" w:cs="Arial"/>
          <w:szCs w:val="28"/>
        </w:rPr>
      </w:pPr>
      <w:r>
        <w:rPr>
          <w:rFonts w:ascii="Arial" w:eastAsia="仿宋_GB2312;仿宋" w:hAnsi="Arial" w:cs="Arial"/>
        </w:rPr>
        <w:t>（</w:t>
      </w:r>
      <w:r>
        <w:rPr>
          <w:rFonts w:ascii="Arial" w:eastAsia="仿宋_GB2312;仿宋" w:hAnsi="Arial" w:cs="Arial"/>
        </w:rPr>
        <w:t>1</w:t>
      </w:r>
      <w:r>
        <w:rPr>
          <w:rFonts w:ascii="Arial" w:eastAsia="仿宋_GB2312;仿宋" w:hAnsi="Arial" w:cs="Arial"/>
        </w:rPr>
        <w:t>）</w:t>
      </w:r>
      <w:r>
        <w:rPr>
          <w:rFonts w:ascii="Arial" w:eastAsia="仿宋_GB2312;仿宋" w:hAnsi="Arial" w:cs="Arial"/>
          <w:szCs w:val="28"/>
        </w:rPr>
        <w:t>市场比较法</w:t>
      </w:r>
    </w:p>
    <w:p w14:paraId="0FD0077C"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cs="Arial"/>
          <w:sz w:val="28"/>
        </w:rPr>
        <w:t>根据替代原理，</w:t>
      </w:r>
      <w:proofErr w:type="gramStart"/>
      <w:r>
        <w:rPr>
          <w:rFonts w:ascii="仿宋_GB2312;仿宋" w:eastAsia="仿宋_GB2312;仿宋" w:hAnsi="仿宋_GB2312;仿宋" w:cs="Arial"/>
          <w:sz w:val="28"/>
        </w:rPr>
        <w:t>将待估宗地</w:t>
      </w:r>
      <w:proofErr w:type="gramEnd"/>
      <w:r>
        <w:rPr>
          <w:rFonts w:ascii="仿宋_GB2312;仿宋" w:eastAsia="仿宋_GB2312;仿宋" w:hAnsi="仿宋_GB2312;仿宋" w:cs="Arial"/>
          <w:sz w:val="28"/>
        </w:rPr>
        <w:t>与具有替代性的，且在咨询期</w:t>
      </w:r>
      <w:proofErr w:type="gramStart"/>
      <w:r>
        <w:rPr>
          <w:rFonts w:ascii="仿宋_GB2312;仿宋" w:eastAsia="仿宋_GB2312;仿宋" w:hAnsi="仿宋_GB2312;仿宋" w:cs="Arial"/>
          <w:sz w:val="28"/>
        </w:rPr>
        <w:t>日近期</w:t>
      </w:r>
      <w:proofErr w:type="gramEnd"/>
      <w:r>
        <w:rPr>
          <w:rFonts w:ascii="仿宋_GB2312;仿宋" w:eastAsia="仿宋_GB2312;仿宋" w:hAnsi="仿宋_GB2312;仿宋" w:cs="Arial"/>
          <w:sz w:val="28"/>
        </w:rPr>
        <w:t>市场上交易的类似宗地进行比较，并对类似宗地的成交价格进行差异修正，以此</w:t>
      </w:r>
      <w:proofErr w:type="gramStart"/>
      <w:r>
        <w:rPr>
          <w:rFonts w:ascii="仿宋_GB2312;仿宋" w:eastAsia="仿宋_GB2312;仿宋" w:hAnsi="仿宋_GB2312;仿宋" w:cs="Arial"/>
          <w:sz w:val="28"/>
        </w:rPr>
        <w:t>估算待估宗地</w:t>
      </w:r>
      <w:proofErr w:type="gramEnd"/>
      <w:r>
        <w:rPr>
          <w:rFonts w:ascii="仿宋_GB2312;仿宋" w:eastAsia="仿宋_GB2312;仿宋" w:hAnsi="仿宋_GB2312;仿宋" w:cs="Arial"/>
          <w:sz w:val="28"/>
        </w:rPr>
        <w:t>价格的方法。</w:t>
      </w:r>
    </w:p>
    <w:p w14:paraId="3ABBE25C"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sz w:val="28"/>
        </w:rPr>
        <w:t>其计算公式为：</w:t>
      </w:r>
    </w:p>
    <w:p w14:paraId="54E7B3BE"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仿宋_GB2312;仿宋" w:eastAsia="仿宋_GB2312;仿宋" w:hAnsi="仿宋_GB2312;仿宋"/>
          <w:color w:val="000000"/>
          <w:sz w:val="28"/>
        </w:rPr>
        <w:t>=</w:t>
      </w: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cs="宋体;SimSun"/>
          <w:color w:val="000000"/>
          <w:sz w:val="28"/>
        </w:rPr>
        <w:t>×</w:t>
      </w:r>
      <w:r>
        <w:rPr>
          <w:rFonts w:ascii="Arial" w:eastAsia="仿宋_GB2312;仿宋" w:hAnsi="Arial" w:cs="Arial"/>
          <w:color w:val="000000"/>
          <w:sz w:val="28"/>
        </w:rPr>
        <w:t>A</w:t>
      </w:r>
      <w:r>
        <w:rPr>
          <w:rFonts w:cs="宋体;SimSun"/>
          <w:color w:val="000000"/>
          <w:sz w:val="28"/>
        </w:rPr>
        <w:t>×</w:t>
      </w:r>
      <w:r>
        <w:rPr>
          <w:rFonts w:ascii="Arial" w:eastAsia="仿宋_GB2312;仿宋" w:hAnsi="Arial" w:cs="Arial"/>
          <w:color w:val="000000"/>
          <w:sz w:val="28"/>
        </w:rPr>
        <w:t>B</w:t>
      </w:r>
      <w:r>
        <w:rPr>
          <w:rFonts w:cs="宋体;SimSun"/>
          <w:color w:val="000000"/>
          <w:sz w:val="28"/>
        </w:rPr>
        <w:t>×</w:t>
      </w:r>
      <w:r>
        <w:rPr>
          <w:rFonts w:ascii="Arial" w:eastAsia="仿宋_GB2312;仿宋" w:hAnsi="Arial" w:cs="Arial"/>
          <w:color w:val="000000"/>
          <w:sz w:val="28"/>
        </w:rPr>
        <w:t>C</w:t>
      </w:r>
      <w:r>
        <w:rPr>
          <w:rFonts w:cs="宋体;SimSun"/>
          <w:color w:val="000000"/>
          <w:sz w:val="28"/>
        </w:rPr>
        <w:t>×</w:t>
      </w:r>
      <w:r>
        <w:rPr>
          <w:rFonts w:ascii="Arial" w:eastAsia="仿宋_GB2312;仿宋" w:hAnsi="Arial" w:cs="Arial"/>
          <w:color w:val="000000"/>
          <w:sz w:val="28"/>
        </w:rPr>
        <w:t>D</w:t>
      </w:r>
      <w:r>
        <w:rPr>
          <w:rFonts w:cs="宋体;SimSun"/>
          <w:color w:val="000000"/>
          <w:sz w:val="28"/>
        </w:rPr>
        <w:t>×</w:t>
      </w:r>
      <w:r>
        <w:rPr>
          <w:rFonts w:ascii="Arial" w:eastAsia="仿宋_GB2312;仿宋" w:hAnsi="Arial" w:cs="Arial"/>
          <w:color w:val="000000"/>
          <w:sz w:val="28"/>
        </w:rPr>
        <w:t>E</w:t>
      </w:r>
    </w:p>
    <w:p w14:paraId="57E7756F"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6591155D"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价格；</w:t>
      </w:r>
    </w:p>
    <w:p w14:paraId="09ED7C2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ascii="仿宋_GB2312;仿宋" w:eastAsia="仿宋_GB2312;仿宋" w:hAnsi="仿宋_GB2312;仿宋"/>
          <w:color w:val="000000"/>
          <w:sz w:val="28"/>
        </w:rPr>
        <w:t>——比较实例价格；</w:t>
      </w:r>
    </w:p>
    <w:p w14:paraId="76C0EF88"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A</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交易情况指数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比较实例宗地交易情况指数</w:t>
      </w:r>
    </w:p>
    <w:p w14:paraId="62B22EE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B</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s="Arial"/>
          <w:color w:val="000000"/>
          <w:sz w:val="28"/>
        </w:rPr>
        <w:t>咨询期日</w:t>
      </w:r>
      <w:r>
        <w:rPr>
          <w:rFonts w:ascii="仿宋_GB2312;仿宋" w:eastAsia="仿宋_GB2312;仿宋" w:hAnsi="仿宋_GB2312;仿宋"/>
          <w:color w:val="000000"/>
          <w:sz w:val="28"/>
        </w:rPr>
        <w:t>地价指数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w:t>
      </w:r>
      <w:r>
        <w:rPr>
          <w:rFonts w:ascii="仿宋_GB2312;仿宋" w:eastAsia="仿宋_GB2312;仿宋" w:hAnsi="仿宋_GB2312;仿宋" w:cs="Arial"/>
          <w:color w:val="000000"/>
          <w:sz w:val="28"/>
        </w:rPr>
        <w:t>交易日期地价</w:t>
      </w:r>
      <w:r>
        <w:rPr>
          <w:rFonts w:ascii="仿宋_GB2312;仿宋" w:eastAsia="仿宋_GB2312;仿宋" w:hAnsi="仿宋_GB2312;仿宋"/>
          <w:color w:val="000000"/>
          <w:sz w:val="28"/>
        </w:rPr>
        <w:t>指数</w:t>
      </w:r>
    </w:p>
    <w:p w14:paraId="68BEA03F"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C</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区域因素条件指数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比较实例宗地区域因素条件指数</w:t>
      </w:r>
    </w:p>
    <w:p w14:paraId="74167789"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D</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个别因素条件指数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比较实例宗地个别因素条件指数</w:t>
      </w:r>
    </w:p>
    <w:p w14:paraId="1CF4BD2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E</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使用年期修正指数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比较实例宗地使用年期修正指数</w:t>
      </w:r>
    </w:p>
    <w:p w14:paraId="7408664A" w14:textId="77777777" w:rsidR="00E70101" w:rsidRDefault="0060680B">
      <w:pPr>
        <w:pStyle w:val="34"/>
        <w:spacing w:line="360" w:lineRule="auto"/>
        <w:ind w:firstLine="560"/>
      </w:pPr>
      <w:r>
        <w:rPr>
          <w:rFonts w:eastAsia="仿宋_GB2312;仿宋"/>
        </w:rPr>
        <w:t>（</w:t>
      </w:r>
      <w:r>
        <w:rPr>
          <w:rFonts w:eastAsia="仿宋_GB2312;仿宋"/>
        </w:rPr>
        <w:t>2</w:t>
      </w:r>
      <w:r>
        <w:rPr>
          <w:rFonts w:eastAsia="仿宋_GB2312;仿宋"/>
        </w:rPr>
        <w:t>）</w:t>
      </w:r>
      <w:r>
        <w:rPr>
          <w:rFonts w:eastAsia="仿宋_GB2312;仿宋"/>
          <w:szCs w:val="28"/>
        </w:rPr>
        <w:t>成本逼近法</w:t>
      </w:r>
    </w:p>
    <w:p w14:paraId="014913C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B888C8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70845C67"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20D9D1BB"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5F4FC594"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125BA605"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价格</w:t>
      </w:r>
    </w:p>
    <w:p w14:paraId="60FCCCD4"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ascii="仿宋_GB2312;仿宋" w:eastAsia="仿宋_GB2312;仿宋" w:hAnsi="仿宋_GB2312;仿宋"/>
          <w:color w:val="000000"/>
          <w:sz w:val="28"/>
        </w:rPr>
        <w:t>——土地取得费</w:t>
      </w:r>
    </w:p>
    <w:p w14:paraId="5D4AD800"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4D62ED"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02D8D94C"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5414D8C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3ECC3B08"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3C01875C"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7777777"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一、运用市场比较法求取土地使用权价格</w:t>
      </w:r>
    </w:p>
    <w:p w14:paraId="72584B53" w14:textId="77777777" w:rsidR="00E70101" w:rsidRDefault="0060680B">
      <w:pPr>
        <w:pStyle w:val="af3"/>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Pr>
          <w:rFonts w:ascii="Arial" w:eastAsia="仿宋_GB2312;仿宋" w:hAnsi="Arial" w:cs="Arial"/>
          <w:sz w:val="28"/>
        </w:rPr>
        <w:t>根据替代原则</w:t>
      </w:r>
      <w:r>
        <w:rPr>
          <w:rFonts w:ascii="仿宋_GB2312;仿宋" w:eastAsia="仿宋_GB2312;仿宋" w:hAnsi="仿宋_GB2312;仿宋" w:cs="Arial"/>
          <w:sz w:val="28"/>
          <w:szCs w:val="28"/>
        </w:rPr>
        <w:t>选取可比实例</w:t>
      </w:r>
    </w:p>
    <w:p w14:paraId="404EA5EA" w14:textId="77777777" w:rsidR="00E70101" w:rsidRDefault="0060680B">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sz w:val="28"/>
          <w:szCs w:val="28"/>
          <w:lang w:val="zh-CN"/>
        </w:rPr>
        <w:t>通过对北京市类似用途划拨用地市场的调查，每个区域类似交易不均衡。</w:t>
      </w:r>
      <w:r>
        <w:rPr>
          <w:rFonts w:ascii="Arial" w:eastAsia="仿宋_GB2312;仿宋" w:hAnsi="Arial" w:cs="Arial"/>
          <w:sz w:val="28"/>
          <w:szCs w:val="28"/>
          <w:lang w:val="zh-CN"/>
        </w:rPr>
        <w:t>2020</w:t>
      </w:r>
      <w:r>
        <w:rPr>
          <w:rFonts w:ascii="Arial" w:eastAsia="仿宋_GB2312;仿宋" w:hAnsi="Arial" w:cs="Arial"/>
          <w:sz w:val="28"/>
          <w:szCs w:val="28"/>
          <w:lang w:val="zh-CN"/>
        </w:rPr>
        <w:t>年</w:t>
      </w:r>
      <w:r>
        <w:rPr>
          <w:rFonts w:ascii="Arial" w:eastAsia="仿宋_GB2312;仿宋" w:hAnsi="Arial" w:cs="Arial"/>
          <w:sz w:val="28"/>
          <w:szCs w:val="28"/>
          <w:lang w:val="zh-CN"/>
        </w:rPr>
        <w:t>-2024</w:t>
      </w:r>
      <w:r>
        <w:rPr>
          <w:rFonts w:ascii="Arial" w:eastAsia="仿宋_GB2312;仿宋" w:hAnsi="Arial" w:cs="Arial"/>
          <w:sz w:val="28"/>
          <w:szCs w:val="28"/>
          <w:lang w:val="zh-CN"/>
        </w:rPr>
        <w:t>年，全市类似交易较少。</w:t>
      </w:r>
      <w:proofErr w:type="gramStart"/>
      <w:r>
        <w:rPr>
          <w:rFonts w:ascii="Arial" w:eastAsia="仿宋_GB2312;仿宋" w:hAnsi="Arial" w:cs="Arial"/>
          <w:sz w:val="28"/>
          <w:szCs w:val="28"/>
          <w:lang w:val="zh-CN"/>
        </w:rPr>
        <w:t>昌平区</w:t>
      </w:r>
      <w:proofErr w:type="gramEnd"/>
      <w:r>
        <w:rPr>
          <w:rFonts w:ascii="Arial" w:eastAsia="仿宋_GB2312;仿宋" w:hAnsi="Arial" w:cs="Arial"/>
          <w:sz w:val="28"/>
          <w:szCs w:val="28"/>
          <w:lang w:val="zh-CN"/>
        </w:rPr>
        <w:t>近三年鲜有成交，有的项目是复合型，集体土地和国有土地混合，住宅和非住宅混合，很难分解到具体细项。考虑产业集聚度、基础设施配套、区域土地利用方向、交通便捷程度及宗地自身情况等因素，选取位置相似、交易时间较接近、土地用途相同的三宗交易实例。具体情况如下：</w:t>
      </w:r>
    </w:p>
    <w:p w14:paraId="243FD81A" w14:textId="77777777" w:rsidR="00E70101" w:rsidRDefault="0060680B">
      <w:pPr>
        <w:spacing w:line="360" w:lineRule="auto"/>
        <w:ind w:firstLine="562"/>
        <w:jc w:val="both"/>
        <w:textAlignment w:val="bottom"/>
        <w:rPr>
          <w:rFonts w:ascii="仿宋_GB2312;仿宋" w:eastAsia="仿宋_GB2312;仿宋" w:hAnsi="仿宋_GB2312;仿宋"/>
          <w:color w:val="000000"/>
          <w:sz w:val="28"/>
        </w:rPr>
      </w:pPr>
      <w:r>
        <w:rPr>
          <w:rFonts w:ascii="仿宋_GB2312;仿宋" w:eastAsia="仿宋_GB2312;仿宋" w:hAnsi="仿宋_GB2312;仿宋"/>
          <w:b/>
          <w:color w:val="000000"/>
          <w:sz w:val="28"/>
        </w:rPr>
        <w:t>实例</w:t>
      </w:r>
      <w:r>
        <w:rPr>
          <w:rFonts w:ascii="Arial" w:eastAsia="仿宋_GB2312;仿宋" w:hAnsi="Arial" w:cs="Arial"/>
          <w:b/>
          <w:color w:val="000000"/>
          <w:sz w:val="28"/>
        </w:rPr>
        <w:t>A</w:t>
      </w:r>
      <w:r>
        <w:rPr>
          <w:rFonts w:ascii="仿宋_GB2312;仿宋" w:eastAsia="仿宋_GB2312;仿宋" w:hAnsi="仿宋_GB2312;仿宋"/>
          <w:b/>
          <w:color w:val="000000"/>
          <w:sz w:val="28"/>
        </w:rPr>
        <w:t>：</w:t>
      </w:r>
      <w:r>
        <w:rPr>
          <w:rFonts w:ascii="仿宋_GB2312;仿宋" w:eastAsia="仿宋_GB2312;仿宋" w:hAnsi="仿宋_GB2312;仿宋"/>
          <w:sz w:val="28"/>
        </w:rPr>
        <w:t>通州区张家湾镇张辛庄村</w:t>
      </w:r>
    </w:p>
    <w:p w14:paraId="40522BF8" w14:textId="77777777" w:rsidR="00E70101" w:rsidRDefault="0060680B">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实例</w:t>
      </w:r>
      <w:r>
        <w:rPr>
          <w:rFonts w:ascii="Arial" w:eastAsia="仿宋_GB2312;仿宋" w:hAnsi="Arial" w:cs="Arial"/>
          <w:sz w:val="28"/>
        </w:rPr>
        <w:t>A</w:t>
      </w:r>
      <w:r>
        <w:rPr>
          <w:rFonts w:ascii="Arial" w:eastAsia="仿宋_GB2312;仿宋" w:hAnsi="Arial" w:cs="Arial"/>
          <w:sz w:val="28"/>
        </w:rPr>
        <w:t>位于通州区张家湾镇，周边以产业用地为主，邻近广聚设计园、北京东方金炬科技产业园、北京市</w:t>
      </w:r>
      <w:proofErr w:type="gramStart"/>
      <w:r>
        <w:rPr>
          <w:rFonts w:ascii="Arial" w:eastAsia="仿宋_GB2312;仿宋" w:hAnsi="Arial" w:cs="Arial"/>
          <w:sz w:val="28"/>
        </w:rPr>
        <w:t>北泡轻</w:t>
      </w:r>
      <w:proofErr w:type="gramEnd"/>
      <w:r>
        <w:rPr>
          <w:rFonts w:ascii="Arial" w:eastAsia="仿宋_GB2312;仿宋" w:hAnsi="Arial" w:cs="Arial"/>
          <w:sz w:val="28"/>
        </w:rPr>
        <w:t>钢建材有限公司等多个产业园区，产业集聚程度较好；临近城市主干道</w:t>
      </w:r>
      <w:r>
        <w:rPr>
          <w:rFonts w:ascii="Arial" w:eastAsia="仿宋_GB2312;仿宋" w:hAnsi="Arial" w:cs="Arial"/>
          <w:sz w:val="28"/>
        </w:rPr>
        <w:t>——</w:t>
      </w:r>
      <w:proofErr w:type="gramStart"/>
      <w:r>
        <w:rPr>
          <w:rFonts w:ascii="Arial" w:eastAsia="仿宋_GB2312;仿宋" w:hAnsi="Arial" w:cs="Arial"/>
          <w:sz w:val="28"/>
        </w:rPr>
        <w:t>京塘路</w:t>
      </w:r>
      <w:proofErr w:type="gramEnd"/>
      <w:r>
        <w:rPr>
          <w:rFonts w:ascii="Arial" w:eastAsia="仿宋_GB2312;仿宋" w:hAnsi="Arial" w:cs="Arial"/>
          <w:sz w:val="28"/>
        </w:rPr>
        <w:t>、张梁路，周边有多条公交线路经停，区域道路较密集，交通便捷度较好；周边以产业用地为主，</w:t>
      </w:r>
      <w:proofErr w:type="gramStart"/>
      <w:r>
        <w:rPr>
          <w:rFonts w:ascii="Arial" w:eastAsia="仿宋_GB2312;仿宋" w:hAnsi="Arial" w:cs="Arial"/>
          <w:sz w:val="28"/>
        </w:rPr>
        <w:t>零星有</w:t>
      </w:r>
      <w:proofErr w:type="gramEnd"/>
      <w:r>
        <w:rPr>
          <w:rFonts w:ascii="Arial" w:eastAsia="仿宋_GB2312;仿宋" w:hAnsi="Arial" w:cs="Arial"/>
          <w:sz w:val="28"/>
        </w:rPr>
        <w:t>其他用地，基本不影响本宗地；所处区域目前已拥有较完善的基础设施配套保障，区域内大部分基础设施配套目前可达到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条件，公共服务设施配套完善，能够保证工作、生产需要，基础设施配套完善度好；周边有北运河、城市绿心森林公园等自然景观；人文设施较少，综合评价环境状况一般。土地用途为工业，土地使用权类型为划拨，无年期限制，宗地形状较规则。土地面积</w:t>
      </w:r>
      <w:r>
        <w:rPr>
          <w:rFonts w:ascii="Arial" w:eastAsia="仿宋_GB2312;仿宋" w:hAnsi="Arial" w:cs="Arial"/>
          <w:sz w:val="28"/>
        </w:rPr>
        <w:t>57037.94</w:t>
      </w:r>
      <w:r>
        <w:rPr>
          <w:rFonts w:ascii="Arial" w:eastAsia="仿宋_GB2312;仿宋" w:hAnsi="Arial" w:cs="Arial"/>
          <w:sz w:val="28"/>
        </w:rPr>
        <w:t>平方米，容积率小于</w:t>
      </w:r>
      <w:r>
        <w:rPr>
          <w:rFonts w:ascii="Arial" w:eastAsia="仿宋_GB2312;仿宋" w:hAnsi="Arial" w:cs="Arial"/>
          <w:sz w:val="28"/>
        </w:rPr>
        <w:t>1.0</w:t>
      </w:r>
      <w:r>
        <w:rPr>
          <w:rFonts w:ascii="Arial" w:eastAsia="仿宋_GB2312;仿宋" w:hAnsi="Arial" w:cs="Arial"/>
          <w:sz w:val="28"/>
        </w:rPr>
        <w:t>。交易日期为</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日，交易情况为征收，单位面积土地交易价格为</w:t>
      </w:r>
      <w:r>
        <w:rPr>
          <w:rFonts w:ascii="Arial" w:eastAsia="仿宋_GB2312;仿宋" w:hAnsi="Arial" w:cs="Arial"/>
          <w:sz w:val="28"/>
        </w:rPr>
        <w:t>4319</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2B6DB0B9" w14:textId="77777777" w:rsidR="00E70101" w:rsidRDefault="0060680B">
      <w:pPr>
        <w:spacing w:line="360" w:lineRule="auto"/>
        <w:ind w:firstLine="562"/>
        <w:jc w:val="both"/>
        <w:textAlignment w:val="bottom"/>
        <w:rPr>
          <w:rFonts w:ascii="仿宋_GB2312;仿宋" w:eastAsia="仿宋_GB2312;仿宋" w:hAnsi="仿宋_GB2312;仿宋"/>
          <w:color w:val="000000"/>
          <w:sz w:val="28"/>
        </w:rPr>
      </w:pPr>
      <w:r>
        <w:rPr>
          <w:rFonts w:ascii="仿宋_GB2312;仿宋" w:eastAsia="仿宋_GB2312;仿宋" w:hAnsi="仿宋_GB2312;仿宋"/>
          <w:b/>
          <w:color w:val="000000"/>
          <w:sz w:val="28"/>
        </w:rPr>
        <w:t>实例</w:t>
      </w:r>
      <w:r>
        <w:rPr>
          <w:rFonts w:ascii="Arial" w:eastAsia="仿宋_GB2312;仿宋" w:hAnsi="Arial" w:cs="Arial"/>
          <w:b/>
          <w:color w:val="000000"/>
          <w:sz w:val="28"/>
        </w:rPr>
        <w:t>B</w:t>
      </w:r>
      <w:r>
        <w:rPr>
          <w:rFonts w:ascii="仿宋_GB2312;仿宋" w:eastAsia="仿宋_GB2312;仿宋" w:hAnsi="仿宋_GB2312;仿宋"/>
          <w:b/>
          <w:color w:val="000000"/>
          <w:sz w:val="28"/>
        </w:rPr>
        <w:t>：</w:t>
      </w:r>
      <w:r>
        <w:rPr>
          <w:rFonts w:ascii="仿宋_GB2312;仿宋" w:eastAsia="仿宋_GB2312;仿宋" w:hAnsi="仿宋_GB2312;仿宋"/>
          <w:sz w:val="28"/>
        </w:rPr>
        <w:t>通州区张家湾镇张辛庄村</w:t>
      </w:r>
    </w:p>
    <w:p w14:paraId="2A2164B4" w14:textId="77777777" w:rsidR="00E70101" w:rsidRDefault="0060680B">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实例</w:t>
      </w:r>
      <w:r>
        <w:rPr>
          <w:rFonts w:ascii="Arial" w:eastAsia="仿宋_GB2312;仿宋" w:hAnsi="Arial" w:cs="Arial"/>
          <w:sz w:val="28"/>
        </w:rPr>
        <w:t>B</w:t>
      </w:r>
      <w:r>
        <w:rPr>
          <w:rFonts w:ascii="Arial" w:eastAsia="仿宋_GB2312;仿宋" w:hAnsi="Arial" w:cs="Arial"/>
          <w:sz w:val="28"/>
        </w:rPr>
        <w:t>位于通州区张家湾镇，周边以产业用地为主，邻近广聚设计园、北京东方金炬科技产业园、北京市</w:t>
      </w:r>
      <w:proofErr w:type="gramStart"/>
      <w:r>
        <w:rPr>
          <w:rFonts w:ascii="Arial" w:eastAsia="仿宋_GB2312;仿宋" w:hAnsi="Arial" w:cs="Arial"/>
          <w:sz w:val="28"/>
        </w:rPr>
        <w:t>北泡轻</w:t>
      </w:r>
      <w:proofErr w:type="gramEnd"/>
      <w:r>
        <w:rPr>
          <w:rFonts w:ascii="Arial" w:eastAsia="仿宋_GB2312;仿宋" w:hAnsi="Arial" w:cs="Arial"/>
          <w:sz w:val="28"/>
        </w:rPr>
        <w:t>钢建材有限公司等多个产业园区，产业集聚程度较好；临近城市主干道</w:t>
      </w:r>
      <w:r>
        <w:rPr>
          <w:rFonts w:ascii="Arial" w:eastAsia="仿宋_GB2312;仿宋" w:hAnsi="Arial" w:cs="Arial"/>
          <w:sz w:val="28"/>
        </w:rPr>
        <w:t>——</w:t>
      </w:r>
      <w:proofErr w:type="gramStart"/>
      <w:r>
        <w:rPr>
          <w:rFonts w:ascii="Arial" w:eastAsia="仿宋_GB2312;仿宋" w:hAnsi="Arial" w:cs="Arial"/>
          <w:sz w:val="28"/>
        </w:rPr>
        <w:t>京塘路</w:t>
      </w:r>
      <w:proofErr w:type="gramEnd"/>
      <w:r>
        <w:rPr>
          <w:rFonts w:ascii="Arial" w:eastAsia="仿宋_GB2312;仿宋" w:hAnsi="Arial" w:cs="Arial"/>
          <w:sz w:val="28"/>
        </w:rPr>
        <w:t>、张梁路，周边有多条公交线路经停，区域道路较密集，交通便捷度较好；周边以产业用地为主，</w:t>
      </w:r>
      <w:proofErr w:type="gramStart"/>
      <w:r>
        <w:rPr>
          <w:rFonts w:ascii="Arial" w:eastAsia="仿宋_GB2312;仿宋" w:hAnsi="Arial" w:cs="Arial"/>
          <w:sz w:val="28"/>
        </w:rPr>
        <w:t>零星有</w:t>
      </w:r>
      <w:proofErr w:type="gramEnd"/>
      <w:r>
        <w:rPr>
          <w:rFonts w:ascii="Arial" w:eastAsia="仿宋_GB2312;仿宋" w:hAnsi="Arial" w:cs="Arial"/>
          <w:sz w:val="28"/>
        </w:rPr>
        <w:t>其他用地，基本不影响本宗地；所处区域目前已拥有较完善的基础设施配套保障，区内大部分区域基础设施配套目前可达到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条件，公共服务设施配套完善，能够保证工作、生产需要，基础设施配套完善度好；周边有北运河、城市绿心森林公园等自然景观；人文设施较少，综合评价环境状况一般。土地用途为工业，土地使用权类型为划拨，无年期限制，宗地形状较规则。土地面积</w:t>
      </w:r>
      <w:r>
        <w:rPr>
          <w:rFonts w:ascii="Arial" w:eastAsia="仿宋_GB2312;仿宋" w:hAnsi="Arial" w:cs="Arial"/>
          <w:sz w:val="28"/>
        </w:rPr>
        <w:t>63417.17</w:t>
      </w:r>
      <w:r>
        <w:rPr>
          <w:rFonts w:ascii="Arial" w:eastAsia="仿宋_GB2312;仿宋" w:hAnsi="Arial" w:cs="Arial"/>
          <w:sz w:val="28"/>
        </w:rPr>
        <w:t>平方米，容积率小于</w:t>
      </w:r>
      <w:r>
        <w:rPr>
          <w:rFonts w:ascii="Arial" w:eastAsia="仿宋_GB2312;仿宋" w:hAnsi="Arial" w:cs="Arial"/>
          <w:sz w:val="28"/>
        </w:rPr>
        <w:t>1.0</w:t>
      </w:r>
      <w:r>
        <w:rPr>
          <w:rFonts w:ascii="Arial" w:eastAsia="仿宋_GB2312;仿宋" w:hAnsi="Arial" w:cs="Arial"/>
          <w:sz w:val="28"/>
        </w:rPr>
        <w:t>。交易日期为</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日，交易情况为征收，单位面积土地交易价格为</w:t>
      </w:r>
      <w:r>
        <w:rPr>
          <w:rFonts w:ascii="Arial" w:eastAsia="仿宋_GB2312;仿宋" w:hAnsi="Arial" w:cs="Arial"/>
          <w:sz w:val="28"/>
        </w:rPr>
        <w:t>4319</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5E210968" w14:textId="77777777" w:rsidR="00E70101" w:rsidRDefault="0060680B">
      <w:pPr>
        <w:pStyle w:val="af3"/>
        <w:tabs>
          <w:tab w:val="left" w:pos="3360"/>
        </w:tabs>
        <w:spacing w:line="360" w:lineRule="auto"/>
        <w:ind w:firstLine="562"/>
        <w:rPr>
          <w:rFonts w:ascii="仿宋_GB2312;仿宋" w:eastAsia="仿宋_GB2312;仿宋" w:hAnsi="仿宋_GB2312;仿宋"/>
          <w:b/>
          <w:color w:val="000000"/>
          <w:sz w:val="28"/>
          <w:lang w:val="en-US"/>
        </w:rPr>
      </w:pPr>
      <w:r>
        <w:rPr>
          <w:rFonts w:ascii="仿宋_GB2312;仿宋" w:eastAsia="仿宋_GB2312;仿宋" w:hAnsi="仿宋_GB2312;仿宋"/>
          <w:b/>
          <w:color w:val="000000"/>
          <w:sz w:val="28"/>
          <w:lang w:val="en-US"/>
        </w:rPr>
        <w:t>实例C：通州区永顺镇小圣庙村北</w:t>
      </w:r>
    </w:p>
    <w:p w14:paraId="3472C794" w14:textId="77777777" w:rsidR="00E70101" w:rsidRDefault="0060680B">
      <w:pPr>
        <w:pStyle w:val="af3"/>
        <w:tabs>
          <w:tab w:val="left" w:pos="3360"/>
        </w:tabs>
        <w:spacing w:line="360" w:lineRule="auto"/>
        <w:ind w:firstLine="560"/>
        <w:rPr>
          <w:rFonts w:ascii="仿宋_GB2312;仿宋" w:eastAsia="仿宋_GB2312;仿宋" w:hAnsi="仿宋_GB2312;仿宋"/>
          <w:color w:val="000000"/>
          <w:sz w:val="28"/>
          <w:lang w:val="en-US"/>
        </w:rPr>
      </w:pPr>
      <w:r>
        <w:rPr>
          <w:rFonts w:ascii="仿宋_GB2312;仿宋" w:eastAsia="仿宋_GB2312;仿宋" w:hAnsi="仿宋_GB2312;仿宋"/>
          <w:color w:val="000000"/>
          <w:sz w:val="28"/>
          <w:lang w:val="en-US"/>
        </w:rPr>
        <w:t>实例C位于通州区永顺镇，周边以产业用地为主，邻近广聚设计园、北京东方金炬科技产业园、北京市</w:t>
      </w:r>
      <w:proofErr w:type="gramStart"/>
      <w:r>
        <w:rPr>
          <w:rFonts w:ascii="仿宋_GB2312;仿宋" w:eastAsia="仿宋_GB2312;仿宋" w:hAnsi="仿宋_GB2312;仿宋"/>
          <w:color w:val="000000"/>
          <w:sz w:val="28"/>
          <w:lang w:val="en-US"/>
        </w:rPr>
        <w:t>北泡轻</w:t>
      </w:r>
      <w:proofErr w:type="gramEnd"/>
      <w:r>
        <w:rPr>
          <w:rFonts w:ascii="仿宋_GB2312;仿宋" w:eastAsia="仿宋_GB2312;仿宋" w:hAnsi="仿宋_GB2312;仿宋"/>
          <w:color w:val="000000"/>
          <w:sz w:val="28"/>
          <w:lang w:val="en-US"/>
        </w:rPr>
        <w:t>钢建材有限公司等多个产业园区，产业集聚程度较好；临近城市高速路——南六环路，周边有多条公交线路经停，区域道路较密集，交通便捷度较好；周边以产业用地为主，</w:t>
      </w:r>
      <w:proofErr w:type="gramStart"/>
      <w:r>
        <w:rPr>
          <w:rFonts w:ascii="仿宋_GB2312;仿宋" w:eastAsia="仿宋_GB2312;仿宋" w:hAnsi="仿宋_GB2312;仿宋"/>
          <w:color w:val="000000"/>
          <w:sz w:val="28"/>
          <w:lang w:val="en-US"/>
        </w:rPr>
        <w:t>零星有</w:t>
      </w:r>
      <w:proofErr w:type="gramEnd"/>
      <w:r>
        <w:rPr>
          <w:rFonts w:ascii="仿宋_GB2312;仿宋" w:eastAsia="仿宋_GB2312;仿宋" w:hAnsi="仿宋_GB2312;仿宋"/>
          <w:color w:val="000000"/>
          <w:sz w:val="28"/>
          <w:lang w:val="en-US"/>
        </w:rPr>
        <w:t>其他用地，基本不影响本宗地；所处区域目前已拥有较完善的基础设施配套保障，区内大部分区域基础设施配套目前可达到“七通”条件，公共服务设施配套完善，能够保证工作、生产需要，基础设施配套完善度好；周边有北运河、城市绿心森林公园等自然景观；人文设施较少，综合评价环境状况一般。土地用途为工业，土地使用权类型为划拨，无年期限制，宗地形状较规则。土地面积3586.3平方米，容积率小于1.0。交易日期为2020年6月1日，交易情况为征收，单位面积土地交易价格为4577元/平方米。</w:t>
      </w:r>
    </w:p>
    <w:p w14:paraId="325F48B7" w14:textId="77777777" w:rsidR="00E70101" w:rsidRDefault="0060680B">
      <w:pPr>
        <w:spacing w:line="360" w:lineRule="auto"/>
        <w:ind w:firstLine="560"/>
        <w:jc w:val="both"/>
        <w:rPr>
          <w:rFonts w:ascii="仿宋_GB2312;仿宋" w:eastAsia="仿宋_GB2312;仿宋" w:hAnsi="仿宋_GB2312;仿宋"/>
          <w:sz w:val="28"/>
          <w:szCs w:val="28"/>
        </w:rPr>
      </w:pPr>
      <w:r>
        <w:rPr>
          <w:rFonts w:ascii="仿宋_GB2312;仿宋" w:eastAsia="仿宋_GB2312;仿宋" w:hAnsi="仿宋_GB2312;仿宋"/>
          <w:sz w:val="28"/>
          <w:szCs w:val="28"/>
        </w:rPr>
        <w:t>咨询对象及实例位置示意图：</w:t>
      </w:r>
    </w:p>
    <w:p w14:paraId="0C75670E" w14:textId="77777777" w:rsidR="00E70101" w:rsidRDefault="0060680B">
      <w:pPr>
        <w:spacing w:line="360" w:lineRule="auto"/>
        <w:jc w:val="center"/>
        <w:rPr>
          <w:rFonts w:ascii="仿宋_GB2312;仿宋" w:eastAsia="仿宋_GB2312;仿宋" w:hAnsi="仿宋_GB2312;仿宋" w:cs="Arial"/>
          <w:bCs/>
          <w:sz w:val="28"/>
        </w:rPr>
      </w:pPr>
      <w:r>
        <w:rPr>
          <w:noProof/>
        </w:rPr>
        <w:drawing>
          <wp:inline distT="0" distB="0" distL="0" distR="0" wp14:anchorId="2F02EC5C" wp14:editId="1E323F6B">
            <wp:extent cx="4413250" cy="2466340"/>
            <wp:effectExtent l="0" t="0" r="0" b="0"/>
            <wp:docPr id="35" name="图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像9"/>
                    <pic:cNvPicPr>
                      <a:picLocks noChangeAspect="1" noChangeArrowheads="1"/>
                    </pic:cNvPicPr>
                  </pic:nvPicPr>
                  <pic:blipFill>
                    <a:blip r:embed="rId66"/>
                    <a:srcRect l="-5" t="-9" r="-5" b="-9"/>
                    <a:stretch>
                      <a:fillRect/>
                    </a:stretch>
                  </pic:blipFill>
                  <pic:spPr bwMode="auto">
                    <a:xfrm>
                      <a:off x="0" y="0"/>
                      <a:ext cx="4413250" cy="2466340"/>
                    </a:xfrm>
                    <a:prstGeom prst="rect">
                      <a:avLst/>
                    </a:prstGeom>
                  </pic:spPr>
                </pic:pic>
              </a:graphicData>
            </a:graphic>
          </wp:inline>
        </w:drawing>
      </w:r>
    </w:p>
    <w:p w14:paraId="0EFF3E02" w14:textId="77777777" w:rsidR="00E70101" w:rsidRDefault="00E70101">
      <w:pPr>
        <w:spacing w:line="360" w:lineRule="auto"/>
        <w:ind w:firstLine="560"/>
        <w:outlineLvl w:val="0"/>
        <w:rPr>
          <w:rFonts w:ascii="Arial" w:eastAsia="仿宋_GB2312;仿宋" w:hAnsi="Arial" w:cs="Arial"/>
          <w:bCs/>
          <w:sz w:val="28"/>
          <w:szCs w:val="28"/>
        </w:rPr>
        <w:sectPr w:rsidR="00E70101">
          <w:headerReference w:type="default" r:id="rId67"/>
          <w:footerReference w:type="default" r:id="rId68"/>
          <w:pgSz w:w="11906" w:h="16838"/>
          <w:pgMar w:top="1843" w:right="1304" w:bottom="1134" w:left="1304" w:header="1134" w:footer="907" w:gutter="0"/>
          <w:cols w:space="720"/>
          <w:formProt w:val="0"/>
          <w:docGrid w:type="lines" w:linePitch="326"/>
        </w:sectPr>
      </w:pPr>
    </w:p>
    <w:p w14:paraId="70FA95DC" w14:textId="77777777" w:rsidR="00E70101" w:rsidRDefault="0060680B">
      <w:pPr>
        <w:pStyle w:val="af3"/>
        <w:spacing w:line="360" w:lineRule="auto"/>
        <w:ind w:firstLine="560"/>
      </w:pPr>
      <w:r>
        <w:rPr>
          <w:rFonts w:ascii="Arial" w:eastAsia="仿宋_GB2312;仿宋" w:hAnsi="Arial" w:cs="Arial"/>
          <w:bCs/>
          <w:sz w:val="28"/>
        </w:rPr>
        <w:t>2.</w:t>
      </w:r>
      <w:r>
        <w:rPr>
          <w:rFonts w:ascii="Arial" w:eastAsia="仿宋_GB2312;仿宋" w:hAnsi="Arial" w:cs="Arial"/>
          <w:bCs/>
          <w:sz w:val="28"/>
        </w:rPr>
        <w:t>市场比较法中咨询对象及三个成交实例</w:t>
      </w:r>
    </w:p>
    <w:p w14:paraId="58540F88" w14:textId="77777777" w:rsidR="00E70101" w:rsidRDefault="0060680B">
      <w:pPr>
        <w:spacing w:line="360" w:lineRule="auto"/>
        <w:jc w:val="center"/>
      </w:pPr>
      <w:r>
        <w:rPr>
          <w:rFonts w:ascii="仿宋_GB2312;仿宋" w:eastAsia="仿宋_GB2312;仿宋" w:hAnsi="仿宋_GB2312;仿宋" w:cs="Arial"/>
          <w:b/>
          <w:bCs/>
          <w:szCs w:val="24"/>
        </w:rPr>
        <w:t>表1</w:t>
      </w:r>
      <w:r>
        <w:t>：比较因素条件说明表</w:t>
      </w:r>
    </w:p>
    <w:tbl>
      <w:tblPr>
        <w:tblW w:w="9310" w:type="dxa"/>
        <w:jc w:val="center"/>
        <w:tblCellMar>
          <w:top w:w="57" w:type="dxa"/>
          <w:left w:w="28" w:type="dxa"/>
          <w:bottom w:w="57" w:type="dxa"/>
          <w:right w:w="28" w:type="dxa"/>
        </w:tblCellMar>
        <w:tblLook w:val="0000" w:firstRow="0" w:lastRow="0" w:firstColumn="0" w:lastColumn="0" w:noHBand="0" w:noVBand="0"/>
      </w:tblPr>
      <w:tblGrid>
        <w:gridCol w:w="537"/>
        <w:gridCol w:w="1552"/>
        <w:gridCol w:w="1814"/>
        <w:gridCol w:w="1814"/>
        <w:gridCol w:w="1814"/>
        <w:gridCol w:w="1779"/>
      </w:tblGrid>
      <w:tr w:rsidR="00E70101" w14:paraId="6F8C23F3" w14:textId="77777777">
        <w:trPr>
          <w:cantSplit/>
          <w:jc w:val="center"/>
        </w:trPr>
        <w:tc>
          <w:tcPr>
            <w:tcW w:w="2089" w:type="dxa"/>
            <w:gridSpan w:val="2"/>
            <w:vMerge w:val="restart"/>
            <w:tcBorders>
              <w:top w:val="single" w:sz="4" w:space="0" w:color="000000"/>
              <w:left w:val="single" w:sz="4" w:space="0" w:color="000000"/>
              <w:bottom w:val="single" w:sz="4" w:space="0" w:color="000000"/>
            </w:tcBorders>
            <w:shd w:val="clear" w:color="auto" w:fill="auto"/>
            <w:vAlign w:val="center"/>
          </w:tcPr>
          <w:p w14:paraId="2BE4C2ED"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比较因素</w:t>
            </w:r>
          </w:p>
        </w:tc>
        <w:tc>
          <w:tcPr>
            <w:tcW w:w="1814" w:type="dxa"/>
            <w:tcBorders>
              <w:top w:val="single" w:sz="4" w:space="0" w:color="000000"/>
              <w:left w:val="single" w:sz="4" w:space="0" w:color="000000"/>
              <w:bottom w:val="single" w:sz="4" w:space="0" w:color="000000"/>
            </w:tcBorders>
            <w:shd w:val="clear" w:color="auto" w:fill="auto"/>
            <w:vAlign w:val="center"/>
          </w:tcPr>
          <w:p w14:paraId="0216D4DE"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估价对象</w:t>
            </w:r>
          </w:p>
        </w:tc>
        <w:tc>
          <w:tcPr>
            <w:tcW w:w="1814" w:type="dxa"/>
            <w:tcBorders>
              <w:top w:val="single" w:sz="4" w:space="0" w:color="000000"/>
              <w:left w:val="single" w:sz="4" w:space="0" w:color="000000"/>
              <w:bottom w:val="single" w:sz="4" w:space="0" w:color="000000"/>
            </w:tcBorders>
            <w:shd w:val="clear" w:color="auto" w:fill="auto"/>
            <w:vAlign w:val="center"/>
          </w:tcPr>
          <w:p w14:paraId="40F10929"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A</w:t>
            </w:r>
          </w:p>
        </w:tc>
        <w:tc>
          <w:tcPr>
            <w:tcW w:w="1814" w:type="dxa"/>
            <w:tcBorders>
              <w:top w:val="single" w:sz="4" w:space="0" w:color="000000"/>
              <w:left w:val="single" w:sz="4" w:space="0" w:color="000000"/>
              <w:bottom w:val="single" w:sz="4" w:space="0" w:color="000000"/>
            </w:tcBorders>
            <w:shd w:val="clear" w:color="auto" w:fill="auto"/>
            <w:vAlign w:val="center"/>
          </w:tcPr>
          <w:p w14:paraId="79F952CB"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B</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A31FA"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C</w:t>
            </w:r>
          </w:p>
        </w:tc>
      </w:tr>
      <w:tr w:rsidR="00E70101" w14:paraId="20D11F18" w14:textId="77777777">
        <w:trPr>
          <w:cantSplit/>
          <w:jc w:val="center"/>
        </w:trPr>
        <w:tc>
          <w:tcPr>
            <w:tcW w:w="2089" w:type="dxa"/>
            <w:gridSpan w:val="2"/>
            <w:vMerge/>
            <w:tcBorders>
              <w:top w:val="single" w:sz="4" w:space="0" w:color="000000"/>
              <w:left w:val="single" w:sz="4" w:space="0" w:color="000000"/>
              <w:bottom w:val="single" w:sz="4" w:space="0" w:color="000000"/>
            </w:tcBorders>
            <w:shd w:val="clear" w:color="auto" w:fill="auto"/>
            <w:vAlign w:val="center"/>
          </w:tcPr>
          <w:p w14:paraId="6E4C2347"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814" w:type="dxa"/>
            <w:tcBorders>
              <w:top w:val="single" w:sz="4" w:space="0" w:color="000000"/>
              <w:left w:val="single" w:sz="4" w:space="0" w:color="000000"/>
              <w:bottom w:val="single" w:sz="4" w:space="0" w:color="000000"/>
            </w:tcBorders>
            <w:shd w:val="clear" w:color="auto" w:fill="auto"/>
            <w:vAlign w:val="center"/>
          </w:tcPr>
          <w:p w14:paraId="79F23A53"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北京市昌平区北七家镇八仙庄村仓储用地</w:t>
            </w:r>
          </w:p>
        </w:tc>
        <w:tc>
          <w:tcPr>
            <w:tcW w:w="1814" w:type="dxa"/>
            <w:tcBorders>
              <w:top w:val="single" w:sz="4" w:space="0" w:color="000000"/>
              <w:left w:val="single" w:sz="4" w:space="0" w:color="000000"/>
              <w:bottom w:val="single" w:sz="4" w:space="0" w:color="000000"/>
            </w:tcBorders>
            <w:shd w:val="clear" w:color="auto" w:fill="auto"/>
            <w:vAlign w:val="center"/>
          </w:tcPr>
          <w:p w14:paraId="5CB472C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通州区张家湾镇张辛庄村</w:t>
            </w:r>
          </w:p>
        </w:tc>
        <w:tc>
          <w:tcPr>
            <w:tcW w:w="1814" w:type="dxa"/>
            <w:tcBorders>
              <w:top w:val="single" w:sz="4" w:space="0" w:color="000000"/>
              <w:left w:val="single" w:sz="4" w:space="0" w:color="000000"/>
              <w:bottom w:val="single" w:sz="4" w:space="0" w:color="000000"/>
            </w:tcBorders>
            <w:shd w:val="clear" w:color="auto" w:fill="auto"/>
            <w:vAlign w:val="center"/>
          </w:tcPr>
          <w:p w14:paraId="11A3C9B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通州区张家湾镇张辛庄村</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DEBEF"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通州区永顺镇小圣庙村北</w:t>
            </w:r>
          </w:p>
        </w:tc>
      </w:tr>
      <w:tr w:rsidR="00E70101" w14:paraId="3697C606"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11A2AB72"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交易时间</w:t>
            </w:r>
          </w:p>
        </w:tc>
        <w:tc>
          <w:tcPr>
            <w:tcW w:w="1814" w:type="dxa"/>
            <w:tcBorders>
              <w:left w:val="single" w:sz="4" w:space="0" w:color="000000"/>
              <w:bottom w:val="single" w:sz="4" w:space="0" w:color="000000"/>
            </w:tcBorders>
            <w:shd w:val="clear" w:color="auto" w:fill="auto"/>
            <w:vAlign w:val="center"/>
          </w:tcPr>
          <w:p w14:paraId="2897F215"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2024/3/31</w:t>
            </w:r>
          </w:p>
        </w:tc>
        <w:tc>
          <w:tcPr>
            <w:tcW w:w="1814" w:type="dxa"/>
            <w:tcBorders>
              <w:left w:val="single" w:sz="4" w:space="0" w:color="000000"/>
              <w:bottom w:val="single" w:sz="4" w:space="0" w:color="000000"/>
            </w:tcBorders>
            <w:shd w:val="clear" w:color="auto" w:fill="auto"/>
            <w:vAlign w:val="center"/>
          </w:tcPr>
          <w:p w14:paraId="682ED5E9"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2019/3/1</w:t>
            </w:r>
          </w:p>
        </w:tc>
        <w:tc>
          <w:tcPr>
            <w:tcW w:w="1814" w:type="dxa"/>
            <w:tcBorders>
              <w:left w:val="single" w:sz="4" w:space="0" w:color="000000"/>
              <w:bottom w:val="single" w:sz="4" w:space="0" w:color="000000"/>
            </w:tcBorders>
            <w:shd w:val="clear" w:color="auto" w:fill="auto"/>
            <w:vAlign w:val="center"/>
          </w:tcPr>
          <w:p w14:paraId="67D13404"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2019/3/1</w:t>
            </w:r>
          </w:p>
        </w:tc>
        <w:tc>
          <w:tcPr>
            <w:tcW w:w="1779" w:type="dxa"/>
            <w:tcBorders>
              <w:left w:val="single" w:sz="4" w:space="0" w:color="000000"/>
              <w:bottom w:val="single" w:sz="4" w:space="0" w:color="000000"/>
              <w:right w:val="single" w:sz="4" w:space="0" w:color="000000"/>
            </w:tcBorders>
            <w:shd w:val="clear" w:color="auto" w:fill="auto"/>
            <w:vAlign w:val="center"/>
          </w:tcPr>
          <w:p w14:paraId="5FC57EA1"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2020/6/1</w:t>
            </w:r>
          </w:p>
        </w:tc>
      </w:tr>
      <w:tr w:rsidR="00E70101" w14:paraId="36026C64"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77949E5B"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土地用途</w:t>
            </w:r>
          </w:p>
        </w:tc>
        <w:tc>
          <w:tcPr>
            <w:tcW w:w="1814" w:type="dxa"/>
            <w:tcBorders>
              <w:left w:val="single" w:sz="4" w:space="0" w:color="000000"/>
              <w:bottom w:val="single" w:sz="4" w:space="0" w:color="000000"/>
            </w:tcBorders>
            <w:shd w:val="clear" w:color="auto" w:fill="auto"/>
            <w:vAlign w:val="center"/>
          </w:tcPr>
          <w:p w14:paraId="1B8C028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814" w:type="dxa"/>
            <w:tcBorders>
              <w:left w:val="single" w:sz="4" w:space="0" w:color="000000"/>
              <w:bottom w:val="single" w:sz="4" w:space="0" w:color="000000"/>
            </w:tcBorders>
            <w:shd w:val="clear" w:color="auto" w:fill="auto"/>
            <w:vAlign w:val="center"/>
          </w:tcPr>
          <w:p w14:paraId="65496CB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814" w:type="dxa"/>
            <w:tcBorders>
              <w:left w:val="single" w:sz="4" w:space="0" w:color="000000"/>
              <w:bottom w:val="single" w:sz="4" w:space="0" w:color="000000"/>
            </w:tcBorders>
            <w:shd w:val="clear" w:color="auto" w:fill="auto"/>
            <w:vAlign w:val="center"/>
          </w:tcPr>
          <w:p w14:paraId="4CDCEF3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779" w:type="dxa"/>
            <w:tcBorders>
              <w:left w:val="single" w:sz="4" w:space="0" w:color="000000"/>
              <w:bottom w:val="single" w:sz="4" w:space="0" w:color="000000"/>
              <w:right w:val="single" w:sz="4" w:space="0" w:color="000000"/>
            </w:tcBorders>
            <w:shd w:val="clear" w:color="auto" w:fill="auto"/>
            <w:vAlign w:val="center"/>
          </w:tcPr>
          <w:p w14:paraId="52D0F98D"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r>
      <w:tr w:rsidR="00E70101" w14:paraId="42BB155B"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16050DD3"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区域因素</w:t>
            </w:r>
          </w:p>
        </w:tc>
        <w:tc>
          <w:tcPr>
            <w:tcW w:w="1552" w:type="dxa"/>
            <w:tcBorders>
              <w:left w:val="single" w:sz="4" w:space="0" w:color="000000"/>
              <w:bottom w:val="single" w:sz="4" w:space="0" w:color="000000"/>
            </w:tcBorders>
            <w:shd w:val="clear" w:color="auto" w:fill="auto"/>
            <w:vAlign w:val="center"/>
          </w:tcPr>
          <w:p w14:paraId="5AF014CB"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产业聚集度</w:t>
            </w:r>
          </w:p>
        </w:tc>
        <w:tc>
          <w:tcPr>
            <w:tcW w:w="1814" w:type="dxa"/>
            <w:tcBorders>
              <w:left w:val="single" w:sz="4" w:space="0" w:color="000000"/>
              <w:bottom w:val="single" w:sz="4" w:space="0" w:color="000000"/>
            </w:tcBorders>
            <w:shd w:val="clear" w:color="auto" w:fill="auto"/>
            <w:vAlign w:val="center"/>
          </w:tcPr>
          <w:p w14:paraId="475A91FA"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789F02AD"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0736A568"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779" w:type="dxa"/>
            <w:tcBorders>
              <w:left w:val="single" w:sz="4" w:space="0" w:color="000000"/>
              <w:bottom w:val="single" w:sz="4" w:space="0" w:color="000000"/>
              <w:right w:val="single" w:sz="4" w:space="0" w:color="000000"/>
            </w:tcBorders>
            <w:shd w:val="clear" w:color="auto" w:fill="auto"/>
            <w:vAlign w:val="center"/>
          </w:tcPr>
          <w:p w14:paraId="56743250"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r>
      <w:tr w:rsidR="00E70101" w14:paraId="06C5F184"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1E2F2C49"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12C2B96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交通便捷度</w:t>
            </w:r>
          </w:p>
        </w:tc>
        <w:tc>
          <w:tcPr>
            <w:tcW w:w="1814" w:type="dxa"/>
            <w:tcBorders>
              <w:left w:val="single" w:sz="4" w:space="0" w:color="000000"/>
              <w:bottom w:val="single" w:sz="4" w:space="0" w:color="000000"/>
            </w:tcBorders>
            <w:shd w:val="clear" w:color="auto" w:fill="auto"/>
            <w:vAlign w:val="center"/>
          </w:tcPr>
          <w:p w14:paraId="534F3F77"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2242A807"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7234C85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779" w:type="dxa"/>
            <w:tcBorders>
              <w:left w:val="single" w:sz="4" w:space="0" w:color="000000"/>
              <w:bottom w:val="single" w:sz="4" w:space="0" w:color="000000"/>
              <w:right w:val="single" w:sz="4" w:space="0" w:color="000000"/>
            </w:tcBorders>
            <w:shd w:val="clear" w:color="auto" w:fill="auto"/>
            <w:vAlign w:val="center"/>
          </w:tcPr>
          <w:p w14:paraId="6DF5B8F8"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r>
      <w:tr w:rsidR="00E70101" w14:paraId="2F82F1C2"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72CF0C53"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0C18AEE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区域土地利用方向</w:t>
            </w:r>
          </w:p>
        </w:tc>
        <w:tc>
          <w:tcPr>
            <w:tcW w:w="1814" w:type="dxa"/>
            <w:tcBorders>
              <w:left w:val="single" w:sz="4" w:space="0" w:color="000000"/>
              <w:bottom w:val="single" w:sz="4" w:space="0" w:color="000000"/>
            </w:tcBorders>
            <w:shd w:val="clear" w:color="auto" w:fill="auto"/>
            <w:vAlign w:val="center"/>
          </w:tcPr>
          <w:p w14:paraId="29FAE3B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w:t>
            </w:r>
            <w:proofErr w:type="gramStart"/>
            <w:r>
              <w:rPr>
                <w:rFonts w:ascii="仿宋_GB2312;仿宋" w:eastAsia="仿宋_GB2312;仿宋" w:hAnsi="仿宋_GB2312;仿宋" w:cs="宋体;SimSun"/>
                <w:sz w:val="18"/>
                <w:szCs w:val="18"/>
              </w:rPr>
              <w:t>零星有</w:t>
            </w:r>
            <w:proofErr w:type="gramEnd"/>
            <w:r>
              <w:rPr>
                <w:rFonts w:ascii="仿宋_GB2312;仿宋" w:eastAsia="仿宋_GB2312;仿宋" w:hAnsi="仿宋_GB2312;仿宋" w:cs="宋体;SimSun"/>
                <w:sz w:val="18"/>
                <w:szCs w:val="18"/>
              </w:rPr>
              <w:t>其他用地，基本不影响本宗地。</w:t>
            </w:r>
          </w:p>
        </w:tc>
        <w:tc>
          <w:tcPr>
            <w:tcW w:w="1814" w:type="dxa"/>
            <w:tcBorders>
              <w:left w:val="single" w:sz="4" w:space="0" w:color="000000"/>
              <w:bottom w:val="single" w:sz="4" w:space="0" w:color="000000"/>
            </w:tcBorders>
            <w:shd w:val="clear" w:color="auto" w:fill="auto"/>
            <w:vAlign w:val="center"/>
          </w:tcPr>
          <w:p w14:paraId="18FE600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w:t>
            </w:r>
            <w:proofErr w:type="gramStart"/>
            <w:r>
              <w:rPr>
                <w:rFonts w:ascii="仿宋_GB2312;仿宋" w:eastAsia="仿宋_GB2312;仿宋" w:hAnsi="仿宋_GB2312;仿宋" w:cs="宋体;SimSun"/>
                <w:sz w:val="18"/>
                <w:szCs w:val="18"/>
              </w:rPr>
              <w:t>零星有</w:t>
            </w:r>
            <w:proofErr w:type="gramEnd"/>
            <w:r>
              <w:rPr>
                <w:rFonts w:ascii="仿宋_GB2312;仿宋" w:eastAsia="仿宋_GB2312;仿宋" w:hAnsi="仿宋_GB2312;仿宋" w:cs="宋体;SimSun"/>
                <w:sz w:val="18"/>
                <w:szCs w:val="18"/>
              </w:rPr>
              <w:t>其他用地，基本不影响本宗地。</w:t>
            </w:r>
          </w:p>
        </w:tc>
        <w:tc>
          <w:tcPr>
            <w:tcW w:w="1814" w:type="dxa"/>
            <w:tcBorders>
              <w:left w:val="single" w:sz="4" w:space="0" w:color="000000"/>
              <w:bottom w:val="single" w:sz="4" w:space="0" w:color="000000"/>
            </w:tcBorders>
            <w:shd w:val="clear" w:color="auto" w:fill="auto"/>
            <w:vAlign w:val="center"/>
          </w:tcPr>
          <w:p w14:paraId="71B70578"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w:t>
            </w:r>
            <w:proofErr w:type="gramStart"/>
            <w:r>
              <w:rPr>
                <w:rFonts w:ascii="仿宋_GB2312;仿宋" w:eastAsia="仿宋_GB2312;仿宋" w:hAnsi="仿宋_GB2312;仿宋" w:cs="宋体;SimSun"/>
                <w:sz w:val="18"/>
                <w:szCs w:val="18"/>
              </w:rPr>
              <w:t>零星有</w:t>
            </w:r>
            <w:proofErr w:type="gramEnd"/>
            <w:r>
              <w:rPr>
                <w:rFonts w:ascii="仿宋_GB2312;仿宋" w:eastAsia="仿宋_GB2312;仿宋" w:hAnsi="仿宋_GB2312;仿宋" w:cs="宋体;SimSun"/>
                <w:sz w:val="18"/>
                <w:szCs w:val="18"/>
              </w:rPr>
              <w:t>其他用地，基本不影响本宗地。</w:t>
            </w:r>
          </w:p>
        </w:tc>
        <w:tc>
          <w:tcPr>
            <w:tcW w:w="1779" w:type="dxa"/>
            <w:tcBorders>
              <w:left w:val="single" w:sz="4" w:space="0" w:color="000000"/>
              <w:bottom w:val="single" w:sz="4" w:space="0" w:color="000000"/>
              <w:right w:val="single" w:sz="4" w:space="0" w:color="000000"/>
            </w:tcBorders>
            <w:shd w:val="clear" w:color="auto" w:fill="auto"/>
            <w:vAlign w:val="center"/>
          </w:tcPr>
          <w:p w14:paraId="1559C26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w:t>
            </w:r>
            <w:proofErr w:type="gramStart"/>
            <w:r>
              <w:rPr>
                <w:rFonts w:ascii="仿宋_GB2312;仿宋" w:eastAsia="仿宋_GB2312;仿宋" w:hAnsi="仿宋_GB2312;仿宋" w:cs="宋体;SimSun"/>
                <w:sz w:val="18"/>
                <w:szCs w:val="18"/>
              </w:rPr>
              <w:t>零星有</w:t>
            </w:r>
            <w:proofErr w:type="gramEnd"/>
            <w:r>
              <w:rPr>
                <w:rFonts w:ascii="仿宋_GB2312;仿宋" w:eastAsia="仿宋_GB2312;仿宋" w:hAnsi="仿宋_GB2312;仿宋" w:cs="宋体;SimSun"/>
                <w:sz w:val="18"/>
                <w:szCs w:val="18"/>
              </w:rPr>
              <w:t>其他用地，基本不影响本宗地。</w:t>
            </w:r>
          </w:p>
        </w:tc>
      </w:tr>
      <w:tr w:rsidR="00E70101" w14:paraId="4CCBEAD3"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4D81763E"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7AA20F6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区域设施及基础设施水平</w:t>
            </w:r>
          </w:p>
        </w:tc>
        <w:tc>
          <w:tcPr>
            <w:tcW w:w="1814" w:type="dxa"/>
            <w:tcBorders>
              <w:left w:val="single" w:sz="4" w:space="0" w:color="000000"/>
              <w:bottom w:val="single" w:sz="4" w:space="0" w:color="000000"/>
            </w:tcBorders>
            <w:shd w:val="clear" w:color="auto" w:fill="auto"/>
            <w:vAlign w:val="center"/>
          </w:tcPr>
          <w:p w14:paraId="3635A4F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c>
          <w:tcPr>
            <w:tcW w:w="1814" w:type="dxa"/>
            <w:tcBorders>
              <w:left w:val="single" w:sz="4" w:space="0" w:color="000000"/>
              <w:bottom w:val="single" w:sz="4" w:space="0" w:color="000000"/>
            </w:tcBorders>
            <w:shd w:val="clear" w:color="auto" w:fill="auto"/>
            <w:vAlign w:val="center"/>
          </w:tcPr>
          <w:p w14:paraId="430609DE"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c>
          <w:tcPr>
            <w:tcW w:w="1814" w:type="dxa"/>
            <w:tcBorders>
              <w:left w:val="single" w:sz="4" w:space="0" w:color="000000"/>
              <w:bottom w:val="single" w:sz="4" w:space="0" w:color="000000"/>
            </w:tcBorders>
            <w:shd w:val="clear" w:color="auto" w:fill="auto"/>
            <w:vAlign w:val="center"/>
          </w:tcPr>
          <w:p w14:paraId="59B572B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c>
          <w:tcPr>
            <w:tcW w:w="1779" w:type="dxa"/>
            <w:tcBorders>
              <w:left w:val="single" w:sz="4" w:space="0" w:color="000000"/>
              <w:bottom w:val="single" w:sz="4" w:space="0" w:color="000000"/>
              <w:right w:val="single" w:sz="4" w:space="0" w:color="000000"/>
            </w:tcBorders>
            <w:shd w:val="clear" w:color="auto" w:fill="auto"/>
            <w:vAlign w:val="center"/>
          </w:tcPr>
          <w:p w14:paraId="20FE09D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r>
      <w:tr w:rsidR="00E70101" w14:paraId="0BFBB061"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45FC6E34"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001C9AA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环境状况</w:t>
            </w:r>
          </w:p>
        </w:tc>
        <w:tc>
          <w:tcPr>
            <w:tcW w:w="1814" w:type="dxa"/>
            <w:tcBorders>
              <w:left w:val="single" w:sz="4" w:space="0" w:color="000000"/>
              <w:bottom w:val="single" w:sz="4" w:space="0" w:color="000000"/>
            </w:tcBorders>
            <w:shd w:val="clear" w:color="auto" w:fill="auto"/>
            <w:vAlign w:val="center"/>
          </w:tcPr>
          <w:p w14:paraId="6465E9BC"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34C4AECF"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7873176F"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779" w:type="dxa"/>
            <w:tcBorders>
              <w:left w:val="single" w:sz="4" w:space="0" w:color="000000"/>
              <w:bottom w:val="single" w:sz="4" w:space="0" w:color="000000"/>
              <w:right w:val="single" w:sz="4" w:space="0" w:color="000000"/>
            </w:tcBorders>
            <w:shd w:val="clear" w:color="auto" w:fill="auto"/>
            <w:vAlign w:val="center"/>
          </w:tcPr>
          <w:p w14:paraId="7256EE2A"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r>
      <w:tr w:rsidR="00E70101" w14:paraId="486933C6"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51AA3B19"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个别因素</w:t>
            </w:r>
          </w:p>
        </w:tc>
        <w:tc>
          <w:tcPr>
            <w:tcW w:w="1552" w:type="dxa"/>
            <w:tcBorders>
              <w:left w:val="single" w:sz="4" w:space="0" w:color="000000"/>
              <w:bottom w:val="single" w:sz="4" w:space="0" w:color="000000"/>
            </w:tcBorders>
            <w:shd w:val="clear" w:color="auto" w:fill="auto"/>
            <w:vAlign w:val="center"/>
          </w:tcPr>
          <w:p w14:paraId="0AAA2153"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宗地面积</w:t>
            </w:r>
          </w:p>
        </w:tc>
        <w:tc>
          <w:tcPr>
            <w:tcW w:w="1814" w:type="dxa"/>
            <w:tcBorders>
              <w:left w:val="single" w:sz="4" w:space="0" w:color="000000"/>
              <w:bottom w:val="single" w:sz="4" w:space="0" w:color="000000"/>
            </w:tcBorders>
            <w:shd w:val="clear" w:color="auto" w:fill="auto"/>
            <w:vAlign w:val="center"/>
          </w:tcPr>
          <w:p w14:paraId="3BCD2E9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370379.14</w:t>
            </w:r>
          </w:p>
        </w:tc>
        <w:tc>
          <w:tcPr>
            <w:tcW w:w="1814" w:type="dxa"/>
            <w:tcBorders>
              <w:left w:val="single" w:sz="4" w:space="0" w:color="000000"/>
              <w:bottom w:val="single" w:sz="4" w:space="0" w:color="000000"/>
            </w:tcBorders>
            <w:shd w:val="clear" w:color="auto" w:fill="auto"/>
            <w:vAlign w:val="center"/>
          </w:tcPr>
          <w:p w14:paraId="49803A1B"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57037.941</w:t>
            </w:r>
          </w:p>
        </w:tc>
        <w:tc>
          <w:tcPr>
            <w:tcW w:w="1814" w:type="dxa"/>
            <w:tcBorders>
              <w:left w:val="single" w:sz="4" w:space="0" w:color="000000"/>
              <w:bottom w:val="single" w:sz="4" w:space="0" w:color="000000"/>
            </w:tcBorders>
            <w:shd w:val="clear" w:color="auto" w:fill="auto"/>
            <w:vAlign w:val="center"/>
          </w:tcPr>
          <w:p w14:paraId="5741F7F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63417.17</w:t>
            </w:r>
          </w:p>
        </w:tc>
        <w:tc>
          <w:tcPr>
            <w:tcW w:w="1779" w:type="dxa"/>
            <w:tcBorders>
              <w:left w:val="single" w:sz="4" w:space="0" w:color="000000"/>
              <w:bottom w:val="single" w:sz="4" w:space="0" w:color="000000"/>
              <w:right w:val="single" w:sz="4" w:space="0" w:color="000000"/>
            </w:tcBorders>
            <w:shd w:val="clear" w:color="auto" w:fill="auto"/>
            <w:vAlign w:val="center"/>
          </w:tcPr>
          <w:p w14:paraId="18D1EC7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3586.3</w:t>
            </w:r>
          </w:p>
        </w:tc>
      </w:tr>
      <w:tr w:rsidR="00E70101" w14:paraId="5A7002B5"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06F402A8"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5A16A4B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宗地形状</w:t>
            </w:r>
          </w:p>
        </w:tc>
        <w:tc>
          <w:tcPr>
            <w:tcW w:w="1814" w:type="dxa"/>
            <w:tcBorders>
              <w:left w:val="single" w:sz="4" w:space="0" w:color="000000"/>
              <w:bottom w:val="single" w:sz="4" w:space="0" w:color="000000"/>
            </w:tcBorders>
            <w:shd w:val="clear" w:color="auto" w:fill="auto"/>
            <w:vAlign w:val="center"/>
          </w:tcPr>
          <w:p w14:paraId="31B92D50"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814" w:type="dxa"/>
            <w:tcBorders>
              <w:left w:val="single" w:sz="4" w:space="0" w:color="000000"/>
              <w:bottom w:val="single" w:sz="4" w:space="0" w:color="000000"/>
            </w:tcBorders>
            <w:shd w:val="clear" w:color="auto" w:fill="auto"/>
            <w:vAlign w:val="center"/>
          </w:tcPr>
          <w:p w14:paraId="280C1813"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814" w:type="dxa"/>
            <w:tcBorders>
              <w:left w:val="single" w:sz="4" w:space="0" w:color="000000"/>
              <w:bottom w:val="single" w:sz="4" w:space="0" w:color="000000"/>
            </w:tcBorders>
            <w:shd w:val="clear" w:color="auto" w:fill="auto"/>
            <w:vAlign w:val="center"/>
          </w:tcPr>
          <w:p w14:paraId="73046BB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779" w:type="dxa"/>
            <w:tcBorders>
              <w:left w:val="single" w:sz="4" w:space="0" w:color="000000"/>
              <w:bottom w:val="single" w:sz="4" w:space="0" w:color="000000"/>
              <w:right w:val="single" w:sz="4" w:space="0" w:color="000000"/>
            </w:tcBorders>
            <w:shd w:val="clear" w:color="auto" w:fill="auto"/>
            <w:vAlign w:val="center"/>
          </w:tcPr>
          <w:p w14:paraId="0BA52B04"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r>
      <w:tr w:rsidR="00E70101" w14:paraId="068A528E"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1624B3D2"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19133F8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宗地容积率</w:t>
            </w:r>
          </w:p>
        </w:tc>
        <w:tc>
          <w:tcPr>
            <w:tcW w:w="1814" w:type="dxa"/>
            <w:tcBorders>
              <w:left w:val="single" w:sz="4" w:space="0" w:color="000000"/>
              <w:bottom w:val="single" w:sz="4" w:space="0" w:color="000000"/>
            </w:tcBorders>
            <w:shd w:val="clear" w:color="auto" w:fill="auto"/>
            <w:vAlign w:val="center"/>
          </w:tcPr>
          <w:p w14:paraId="127804E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设定为1</w:t>
            </w:r>
          </w:p>
        </w:tc>
        <w:tc>
          <w:tcPr>
            <w:tcW w:w="1814" w:type="dxa"/>
            <w:tcBorders>
              <w:left w:val="single" w:sz="4" w:space="0" w:color="000000"/>
              <w:bottom w:val="single" w:sz="4" w:space="0" w:color="000000"/>
            </w:tcBorders>
            <w:shd w:val="clear" w:color="auto" w:fill="auto"/>
            <w:vAlign w:val="center"/>
          </w:tcPr>
          <w:p w14:paraId="21606E2E"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c>
          <w:tcPr>
            <w:tcW w:w="1814" w:type="dxa"/>
            <w:tcBorders>
              <w:left w:val="single" w:sz="4" w:space="0" w:color="000000"/>
              <w:bottom w:val="single" w:sz="4" w:space="0" w:color="000000"/>
            </w:tcBorders>
            <w:shd w:val="clear" w:color="auto" w:fill="auto"/>
            <w:vAlign w:val="center"/>
          </w:tcPr>
          <w:p w14:paraId="0B6F9BE7"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c>
          <w:tcPr>
            <w:tcW w:w="1779" w:type="dxa"/>
            <w:tcBorders>
              <w:left w:val="single" w:sz="4" w:space="0" w:color="000000"/>
              <w:bottom w:val="single" w:sz="4" w:space="0" w:color="000000"/>
              <w:right w:val="single" w:sz="4" w:space="0" w:color="000000"/>
            </w:tcBorders>
            <w:shd w:val="clear" w:color="auto" w:fill="auto"/>
            <w:vAlign w:val="center"/>
          </w:tcPr>
          <w:p w14:paraId="53BCA17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r>
    </w:tbl>
    <w:p w14:paraId="038DD7A6" w14:textId="77777777" w:rsidR="00E70101" w:rsidRDefault="0060680B">
      <w:pPr>
        <w:spacing w:line="360" w:lineRule="auto"/>
        <w:jc w:val="center"/>
        <w:rPr>
          <w:rFonts w:cs="Arial"/>
        </w:rPr>
      </w:pPr>
      <w:r>
        <w:rPr>
          <w:rFonts w:ascii="Arial" w:eastAsia="仿宋_GB2312;仿宋" w:hAnsi="Arial" w:cs="Arial"/>
          <w:b/>
          <w:bCs/>
          <w:szCs w:val="24"/>
        </w:rPr>
        <w:t>表</w:t>
      </w:r>
      <w:r>
        <w:rPr>
          <w:rFonts w:ascii="Arial" w:eastAsia="仿宋_GB2312;仿宋" w:hAnsi="Arial" w:cs="Arial"/>
          <w:b/>
          <w:bCs/>
          <w:szCs w:val="24"/>
        </w:rPr>
        <w:t>2</w:t>
      </w:r>
      <w:r>
        <w:rPr>
          <w:rFonts w:ascii="Arial" w:eastAsia="仿宋_GB2312;仿宋" w:hAnsi="Arial" w:cs="Arial"/>
          <w:b/>
          <w:bCs/>
          <w:szCs w:val="24"/>
        </w:rPr>
        <w:t>：因素比较修正系数表</w:t>
      </w:r>
    </w:p>
    <w:tbl>
      <w:tblPr>
        <w:tblW w:w="9305" w:type="dxa"/>
        <w:jc w:val="center"/>
        <w:tblCellMar>
          <w:top w:w="57" w:type="dxa"/>
          <w:left w:w="28" w:type="dxa"/>
          <w:bottom w:w="57" w:type="dxa"/>
          <w:right w:w="28" w:type="dxa"/>
        </w:tblCellMar>
        <w:tblLook w:val="0000" w:firstRow="0" w:lastRow="0" w:firstColumn="0" w:lastColumn="0" w:noHBand="0" w:noVBand="0"/>
      </w:tblPr>
      <w:tblGrid>
        <w:gridCol w:w="1136"/>
        <w:gridCol w:w="2191"/>
        <w:gridCol w:w="503"/>
        <w:gridCol w:w="1474"/>
        <w:gridCol w:w="510"/>
        <w:gridCol w:w="1488"/>
        <w:gridCol w:w="497"/>
        <w:gridCol w:w="1506"/>
      </w:tblGrid>
      <w:tr w:rsidR="00E70101" w14:paraId="568D3F60" w14:textId="77777777">
        <w:trPr>
          <w:cantSplit/>
          <w:jc w:val="center"/>
        </w:trPr>
        <w:tc>
          <w:tcPr>
            <w:tcW w:w="3327" w:type="dxa"/>
            <w:gridSpan w:val="2"/>
            <w:tcBorders>
              <w:top w:val="single" w:sz="2" w:space="0" w:color="404040"/>
              <w:left w:val="single" w:sz="2" w:space="0" w:color="404040"/>
              <w:bottom w:val="single" w:sz="6" w:space="0" w:color="404040"/>
            </w:tcBorders>
            <w:shd w:val="clear" w:color="auto" w:fill="auto"/>
            <w:vAlign w:val="center"/>
          </w:tcPr>
          <w:p w14:paraId="7396A869"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比较因素</w:t>
            </w:r>
          </w:p>
        </w:tc>
        <w:tc>
          <w:tcPr>
            <w:tcW w:w="1977" w:type="dxa"/>
            <w:gridSpan w:val="2"/>
            <w:tcBorders>
              <w:top w:val="single" w:sz="2" w:space="0" w:color="404040"/>
              <w:left w:val="single" w:sz="6" w:space="0" w:color="404040"/>
              <w:bottom w:val="single" w:sz="6" w:space="0" w:color="404040"/>
            </w:tcBorders>
            <w:shd w:val="clear" w:color="auto" w:fill="auto"/>
            <w:vAlign w:val="center"/>
          </w:tcPr>
          <w:p w14:paraId="75C7AB51" w14:textId="77777777" w:rsidR="00E70101" w:rsidRDefault="0060680B">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A</w:t>
            </w:r>
          </w:p>
        </w:tc>
        <w:tc>
          <w:tcPr>
            <w:tcW w:w="1998" w:type="dxa"/>
            <w:gridSpan w:val="2"/>
            <w:tcBorders>
              <w:top w:val="single" w:sz="2" w:space="0" w:color="404040"/>
              <w:left w:val="single" w:sz="6" w:space="0" w:color="404040"/>
              <w:bottom w:val="single" w:sz="6" w:space="0" w:color="404040"/>
            </w:tcBorders>
            <w:shd w:val="clear" w:color="auto" w:fill="auto"/>
            <w:vAlign w:val="center"/>
          </w:tcPr>
          <w:p w14:paraId="08044747" w14:textId="77777777" w:rsidR="00E70101" w:rsidRDefault="0060680B">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B</w:t>
            </w:r>
          </w:p>
        </w:tc>
        <w:tc>
          <w:tcPr>
            <w:tcW w:w="2003" w:type="dxa"/>
            <w:gridSpan w:val="2"/>
            <w:tcBorders>
              <w:top w:val="single" w:sz="2" w:space="0" w:color="404040"/>
              <w:left w:val="single" w:sz="6" w:space="0" w:color="404040"/>
              <w:bottom w:val="single" w:sz="6" w:space="0" w:color="404040"/>
              <w:right w:val="single" w:sz="2" w:space="0" w:color="404040"/>
            </w:tcBorders>
            <w:shd w:val="clear" w:color="auto" w:fill="auto"/>
            <w:vAlign w:val="center"/>
          </w:tcPr>
          <w:p w14:paraId="272F2438" w14:textId="77777777" w:rsidR="00E70101" w:rsidRDefault="0060680B">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C</w:t>
            </w:r>
          </w:p>
        </w:tc>
      </w:tr>
      <w:tr w:rsidR="00E70101" w14:paraId="68CB36C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03C52736"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交易时间</w:t>
            </w:r>
          </w:p>
        </w:tc>
        <w:tc>
          <w:tcPr>
            <w:tcW w:w="503" w:type="dxa"/>
            <w:tcBorders>
              <w:top w:val="single" w:sz="6" w:space="0" w:color="404040"/>
              <w:left w:val="single" w:sz="6" w:space="0" w:color="404040"/>
              <w:bottom w:val="single" w:sz="6" w:space="0" w:color="404040"/>
            </w:tcBorders>
            <w:shd w:val="clear" w:color="auto" w:fill="auto"/>
            <w:vAlign w:val="center"/>
          </w:tcPr>
          <w:p w14:paraId="3D7DF43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404040"/>
              <w:bottom w:val="single" w:sz="6" w:space="0" w:color="404040"/>
            </w:tcBorders>
            <w:shd w:val="clear" w:color="auto" w:fill="auto"/>
            <w:vAlign w:val="center"/>
          </w:tcPr>
          <w:p w14:paraId="240EEBA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90</w:t>
            </w:r>
          </w:p>
        </w:tc>
        <w:tc>
          <w:tcPr>
            <w:tcW w:w="510" w:type="dxa"/>
            <w:tcBorders>
              <w:top w:val="single" w:sz="6" w:space="0" w:color="404040"/>
              <w:left w:val="single" w:sz="6" w:space="0" w:color="404040"/>
              <w:bottom w:val="single" w:sz="6" w:space="0" w:color="404040"/>
            </w:tcBorders>
            <w:shd w:val="clear" w:color="auto" w:fill="auto"/>
            <w:vAlign w:val="center"/>
          </w:tcPr>
          <w:p w14:paraId="6B722673"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404040"/>
              <w:bottom w:val="single" w:sz="6" w:space="0" w:color="404040"/>
            </w:tcBorders>
            <w:shd w:val="clear" w:color="auto" w:fill="auto"/>
            <w:vAlign w:val="center"/>
          </w:tcPr>
          <w:p w14:paraId="1539F501"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90</w:t>
            </w:r>
          </w:p>
        </w:tc>
        <w:tc>
          <w:tcPr>
            <w:tcW w:w="497" w:type="dxa"/>
            <w:tcBorders>
              <w:top w:val="single" w:sz="6" w:space="0" w:color="404040"/>
              <w:left w:val="single" w:sz="6" w:space="0" w:color="404040"/>
              <w:bottom w:val="single" w:sz="6" w:space="0" w:color="404040"/>
            </w:tcBorders>
            <w:shd w:val="clear" w:color="auto" w:fill="auto"/>
            <w:vAlign w:val="center"/>
          </w:tcPr>
          <w:p w14:paraId="6B78D824"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1608C07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92.5</w:t>
            </w:r>
          </w:p>
        </w:tc>
      </w:tr>
      <w:tr w:rsidR="00E70101" w14:paraId="7718696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5700F23D"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土地用途</w:t>
            </w:r>
          </w:p>
        </w:tc>
        <w:tc>
          <w:tcPr>
            <w:tcW w:w="503" w:type="dxa"/>
            <w:tcBorders>
              <w:top w:val="single" w:sz="6" w:space="0" w:color="404040"/>
              <w:left w:val="single" w:sz="6" w:space="0" w:color="404040"/>
              <w:bottom w:val="single" w:sz="6" w:space="0" w:color="404040"/>
            </w:tcBorders>
            <w:shd w:val="clear" w:color="auto" w:fill="auto"/>
            <w:vAlign w:val="center"/>
          </w:tcPr>
          <w:p w14:paraId="5A5A03B9"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404040"/>
              <w:bottom w:val="single" w:sz="6" w:space="0" w:color="404040"/>
            </w:tcBorders>
            <w:shd w:val="clear" w:color="auto" w:fill="auto"/>
            <w:vAlign w:val="center"/>
          </w:tcPr>
          <w:p w14:paraId="4A4DA9D2"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404040"/>
              <w:left w:val="single" w:sz="6" w:space="0" w:color="404040"/>
              <w:bottom w:val="single" w:sz="6" w:space="0" w:color="404040"/>
            </w:tcBorders>
            <w:shd w:val="clear" w:color="auto" w:fill="auto"/>
            <w:vAlign w:val="center"/>
          </w:tcPr>
          <w:p w14:paraId="2078C06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404040"/>
              <w:bottom w:val="single" w:sz="6" w:space="0" w:color="404040"/>
            </w:tcBorders>
            <w:shd w:val="clear" w:color="auto" w:fill="auto"/>
            <w:vAlign w:val="center"/>
          </w:tcPr>
          <w:p w14:paraId="537AAE9F"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404040"/>
              <w:left w:val="single" w:sz="6" w:space="0" w:color="404040"/>
              <w:bottom w:val="single" w:sz="6" w:space="0" w:color="404040"/>
            </w:tcBorders>
            <w:shd w:val="clear" w:color="auto" w:fill="auto"/>
            <w:vAlign w:val="center"/>
          </w:tcPr>
          <w:p w14:paraId="2489FD3A"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5CC47063"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7262DD63"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7E9022F3"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区域因素</w:t>
            </w:r>
          </w:p>
        </w:tc>
        <w:tc>
          <w:tcPr>
            <w:tcW w:w="2191" w:type="dxa"/>
            <w:tcBorders>
              <w:top w:val="single" w:sz="6" w:space="0" w:color="808080"/>
              <w:left w:val="single" w:sz="6" w:space="0" w:color="808080"/>
              <w:bottom w:val="single" w:sz="6" w:space="0" w:color="808080"/>
            </w:tcBorders>
            <w:shd w:val="clear" w:color="auto" w:fill="auto"/>
            <w:vAlign w:val="center"/>
          </w:tcPr>
          <w:p w14:paraId="7A99CDC4"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产业聚集度</w:t>
            </w:r>
          </w:p>
        </w:tc>
        <w:tc>
          <w:tcPr>
            <w:tcW w:w="503" w:type="dxa"/>
            <w:tcBorders>
              <w:top w:val="single" w:sz="6" w:space="0" w:color="808080"/>
              <w:left w:val="single" w:sz="6" w:space="0" w:color="808080"/>
              <w:bottom w:val="single" w:sz="6" w:space="0" w:color="808080"/>
            </w:tcBorders>
            <w:shd w:val="clear" w:color="auto" w:fill="auto"/>
            <w:vAlign w:val="center"/>
          </w:tcPr>
          <w:p w14:paraId="7977E464"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0781CAD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194F4CF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12491FD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1A5728BD"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1CC2A5E4"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5FDD20BA"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5D41CB2"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455DAAB6"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交通便捷度</w:t>
            </w:r>
          </w:p>
        </w:tc>
        <w:tc>
          <w:tcPr>
            <w:tcW w:w="503" w:type="dxa"/>
            <w:tcBorders>
              <w:top w:val="single" w:sz="6" w:space="0" w:color="808080"/>
              <w:left w:val="single" w:sz="6" w:space="0" w:color="808080"/>
              <w:bottom w:val="single" w:sz="6" w:space="0" w:color="808080"/>
            </w:tcBorders>
            <w:shd w:val="clear" w:color="auto" w:fill="auto"/>
            <w:vAlign w:val="center"/>
          </w:tcPr>
          <w:p w14:paraId="356ADDF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FD2EC8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39C8EB0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6BED72A3"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0F53C42A"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1B9936EF"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220FC06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13D585C"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6973A4A0"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区域土地利用方向</w:t>
            </w:r>
          </w:p>
        </w:tc>
        <w:tc>
          <w:tcPr>
            <w:tcW w:w="503" w:type="dxa"/>
            <w:tcBorders>
              <w:top w:val="single" w:sz="6" w:space="0" w:color="808080"/>
              <w:left w:val="single" w:sz="6" w:space="0" w:color="808080"/>
              <w:bottom w:val="single" w:sz="6" w:space="0" w:color="808080"/>
            </w:tcBorders>
            <w:shd w:val="clear" w:color="auto" w:fill="auto"/>
            <w:vAlign w:val="center"/>
          </w:tcPr>
          <w:p w14:paraId="147F7AD9"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79989FCF"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F37C541"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49972E99"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47E3714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B7DBEDB"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7B9FFC2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1544DF0"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2A3EBDF7"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区域设施及基础设施水平</w:t>
            </w:r>
          </w:p>
        </w:tc>
        <w:tc>
          <w:tcPr>
            <w:tcW w:w="503" w:type="dxa"/>
            <w:tcBorders>
              <w:top w:val="single" w:sz="6" w:space="0" w:color="808080"/>
              <w:left w:val="single" w:sz="6" w:space="0" w:color="808080"/>
              <w:bottom w:val="single" w:sz="6" w:space="0" w:color="808080"/>
            </w:tcBorders>
            <w:shd w:val="clear" w:color="auto" w:fill="auto"/>
            <w:vAlign w:val="center"/>
          </w:tcPr>
          <w:p w14:paraId="440A7509"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6038BEF9"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7C033517"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22189D02"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254C0DB3"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1B659CD"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7B5CCF8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398D5DB"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5951183C"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环境状况</w:t>
            </w:r>
          </w:p>
        </w:tc>
        <w:tc>
          <w:tcPr>
            <w:tcW w:w="503" w:type="dxa"/>
            <w:tcBorders>
              <w:top w:val="single" w:sz="6" w:space="0" w:color="808080"/>
              <w:left w:val="single" w:sz="6" w:space="0" w:color="808080"/>
              <w:bottom w:val="single" w:sz="6" w:space="0" w:color="808080"/>
            </w:tcBorders>
            <w:shd w:val="clear" w:color="auto" w:fill="auto"/>
            <w:vAlign w:val="center"/>
          </w:tcPr>
          <w:p w14:paraId="171BA24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1A2DF1B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F9DA9A0"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0E81644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14F0A2BB"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6E9F967B"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r>
      <w:tr w:rsidR="00E70101" w14:paraId="75013FDF"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3291C4E9"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个别因素</w:t>
            </w:r>
          </w:p>
        </w:tc>
        <w:tc>
          <w:tcPr>
            <w:tcW w:w="2191" w:type="dxa"/>
            <w:tcBorders>
              <w:top w:val="single" w:sz="6" w:space="0" w:color="808080"/>
              <w:left w:val="single" w:sz="6" w:space="0" w:color="808080"/>
              <w:bottom w:val="single" w:sz="6" w:space="0" w:color="808080"/>
            </w:tcBorders>
            <w:shd w:val="clear" w:color="auto" w:fill="auto"/>
            <w:vAlign w:val="center"/>
          </w:tcPr>
          <w:p w14:paraId="1D3BDCEA"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宗地面积</w:t>
            </w:r>
          </w:p>
        </w:tc>
        <w:tc>
          <w:tcPr>
            <w:tcW w:w="503" w:type="dxa"/>
            <w:tcBorders>
              <w:top w:val="single" w:sz="6" w:space="0" w:color="808080"/>
              <w:left w:val="single" w:sz="6" w:space="0" w:color="808080"/>
              <w:bottom w:val="single" w:sz="6" w:space="0" w:color="808080"/>
            </w:tcBorders>
            <w:shd w:val="clear" w:color="auto" w:fill="auto"/>
            <w:vAlign w:val="center"/>
          </w:tcPr>
          <w:p w14:paraId="1C96AE50"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BA9FA78"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c>
          <w:tcPr>
            <w:tcW w:w="510" w:type="dxa"/>
            <w:tcBorders>
              <w:top w:val="single" w:sz="6" w:space="0" w:color="808080"/>
              <w:left w:val="single" w:sz="6" w:space="0" w:color="808080"/>
              <w:bottom w:val="single" w:sz="6" w:space="0" w:color="808080"/>
            </w:tcBorders>
            <w:shd w:val="clear" w:color="auto" w:fill="auto"/>
            <w:vAlign w:val="center"/>
          </w:tcPr>
          <w:p w14:paraId="22FAAB6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058E7825"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c>
          <w:tcPr>
            <w:tcW w:w="497" w:type="dxa"/>
            <w:tcBorders>
              <w:top w:val="single" w:sz="6" w:space="0" w:color="808080"/>
              <w:left w:val="single" w:sz="6" w:space="0" w:color="808080"/>
              <w:bottom w:val="single" w:sz="6" w:space="0" w:color="808080"/>
            </w:tcBorders>
            <w:shd w:val="clear" w:color="auto" w:fill="auto"/>
            <w:vAlign w:val="center"/>
          </w:tcPr>
          <w:p w14:paraId="45A3E23B"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3B2AD384"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r>
      <w:tr w:rsidR="00E70101" w14:paraId="22462479"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BFC54CF"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2A4E5A59"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宗地形状</w:t>
            </w:r>
          </w:p>
        </w:tc>
        <w:tc>
          <w:tcPr>
            <w:tcW w:w="503" w:type="dxa"/>
            <w:tcBorders>
              <w:top w:val="single" w:sz="6" w:space="0" w:color="808080"/>
              <w:left w:val="single" w:sz="6" w:space="0" w:color="808080"/>
              <w:bottom w:val="single" w:sz="6" w:space="0" w:color="808080"/>
            </w:tcBorders>
            <w:shd w:val="clear" w:color="auto" w:fill="auto"/>
            <w:vAlign w:val="center"/>
          </w:tcPr>
          <w:p w14:paraId="1AECD74F"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0B0CB669"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01BEA347"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098A991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251EAC1F"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24BDD94D"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6F02973D"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77F1E858"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166B6AE0"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宗地容积率</w:t>
            </w:r>
          </w:p>
        </w:tc>
        <w:tc>
          <w:tcPr>
            <w:tcW w:w="503" w:type="dxa"/>
            <w:tcBorders>
              <w:top w:val="single" w:sz="6" w:space="0" w:color="808080"/>
              <w:left w:val="single" w:sz="6" w:space="0" w:color="808080"/>
              <w:bottom w:val="single" w:sz="6" w:space="0" w:color="808080"/>
            </w:tcBorders>
            <w:shd w:val="clear" w:color="auto" w:fill="auto"/>
            <w:vAlign w:val="center"/>
          </w:tcPr>
          <w:p w14:paraId="31EFC8A6"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6F167C3"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06268D6B"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100BF2BA"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356B8D8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A216A94"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6431FEB6"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5170F984"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单位面积地价</w:t>
            </w:r>
          </w:p>
          <w:p w14:paraId="76212E9E"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（元</w:t>
            </w:r>
            <w:r>
              <w:rPr>
                <w:rFonts w:ascii="Arial" w:eastAsia="仿宋_GB2312;仿宋" w:hAnsi="Arial" w:cs="Arial"/>
                <w:sz w:val="18"/>
                <w:szCs w:val="18"/>
              </w:rPr>
              <w:t>/</w:t>
            </w:r>
            <w:r>
              <w:rPr>
                <w:rFonts w:ascii="Arial" w:eastAsia="仿宋_GB2312;仿宋" w:hAnsi="Arial" w:cs="Arial"/>
                <w:sz w:val="18"/>
                <w:szCs w:val="18"/>
              </w:rPr>
              <w:t>平方米）</w:t>
            </w:r>
          </w:p>
        </w:tc>
        <w:tc>
          <w:tcPr>
            <w:tcW w:w="1977" w:type="dxa"/>
            <w:gridSpan w:val="2"/>
            <w:tcBorders>
              <w:top w:val="single" w:sz="6" w:space="0" w:color="404040"/>
              <w:left w:val="single" w:sz="6" w:space="0" w:color="404040"/>
              <w:bottom w:val="single" w:sz="6" w:space="0" w:color="404040"/>
            </w:tcBorders>
            <w:shd w:val="clear" w:color="auto" w:fill="auto"/>
            <w:vAlign w:val="center"/>
          </w:tcPr>
          <w:p w14:paraId="7206524A"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4319</w:t>
            </w:r>
          </w:p>
        </w:tc>
        <w:tc>
          <w:tcPr>
            <w:tcW w:w="1998" w:type="dxa"/>
            <w:gridSpan w:val="2"/>
            <w:tcBorders>
              <w:top w:val="single" w:sz="6" w:space="0" w:color="404040"/>
              <w:left w:val="single" w:sz="6" w:space="0" w:color="404040"/>
              <w:bottom w:val="single" w:sz="6" w:space="0" w:color="404040"/>
            </w:tcBorders>
            <w:shd w:val="clear" w:color="auto" w:fill="auto"/>
            <w:vAlign w:val="center"/>
          </w:tcPr>
          <w:p w14:paraId="778FDA7D"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4319</w:t>
            </w:r>
          </w:p>
        </w:tc>
        <w:tc>
          <w:tcPr>
            <w:tcW w:w="2003" w:type="dxa"/>
            <w:gridSpan w:val="2"/>
            <w:tcBorders>
              <w:top w:val="single" w:sz="6" w:space="0" w:color="404040"/>
              <w:left w:val="single" w:sz="6" w:space="0" w:color="404040"/>
              <w:bottom w:val="single" w:sz="6" w:space="0" w:color="404040"/>
              <w:right w:val="single" w:sz="2" w:space="0" w:color="404040"/>
            </w:tcBorders>
            <w:shd w:val="clear" w:color="auto" w:fill="auto"/>
            <w:vAlign w:val="center"/>
          </w:tcPr>
          <w:p w14:paraId="64BDE61E"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4577</w:t>
            </w:r>
          </w:p>
        </w:tc>
      </w:tr>
      <w:tr w:rsidR="00E70101" w14:paraId="5999A255" w14:textId="77777777">
        <w:trPr>
          <w:cantSplit/>
          <w:jc w:val="center"/>
        </w:trPr>
        <w:tc>
          <w:tcPr>
            <w:tcW w:w="3327" w:type="dxa"/>
            <w:gridSpan w:val="2"/>
            <w:tcBorders>
              <w:top w:val="single" w:sz="6" w:space="0" w:color="404040"/>
              <w:left w:val="single" w:sz="2" w:space="0" w:color="404040"/>
              <w:bottom w:val="single" w:sz="2" w:space="0" w:color="404040"/>
            </w:tcBorders>
            <w:shd w:val="clear" w:color="auto" w:fill="auto"/>
            <w:vAlign w:val="center"/>
          </w:tcPr>
          <w:p w14:paraId="6D0588F2"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比准价格</w:t>
            </w:r>
          </w:p>
          <w:p w14:paraId="08639D49"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（元</w:t>
            </w:r>
            <w:r>
              <w:rPr>
                <w:rFonts w:ascii="Arial" w:eastAsia="仿宋_GB2312;仿宋" w:hAnsi="Arial" w:cs="Arial"/>
                <w:sz w:val="18"/>
                <w:szCs w:val="18"/>
              </w:rPr>
              <w:t>/</w:t>
            </w:r>
            <w:r>
              <w:rPr>
                <w:rFonts w:ascii="Arial" w:eastAsia="仿宋_GB2312;仿宋" w:hAnsi="Arial" w:cs="Arial"/>
                <w:sz w:val="18"/>
                <w:szCs w:val="18"/>
              </w:rPr>
              <w:t>平方米）</w:t>
            </w:r>
          </w:p>
        </w:tc>
        <w:tc>
          <w:tcPr>
            <w:tcW w:w="1977" w:type="dxa"/>
            <w:gridSpan w:val="2"/>
            <w:tcBorders>
              <w:top w:val="single" w:sz="6" w:space="0" w:color="404040"/>
              <w:left w:val="single" w:sz="6" w:space="0" w:color="404040"/>
              <w:bottom w:val="single" w:sz="2" w:space="0" w:color="404040"/>
            </w:tcBorders>
            <w:shd w:val="clear" w:color="auto" w:fill="auto"/>
            <w:vAlign w:val="center"/>
          </w:tcPr>
          <w:p w14:paraId="7095A640"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4659</w:t>
            </w:r>
          </w:p>
        </w:tc>
        <w:tc>
          <w:tcPr>
            <w:tcW w:w="1998" w:type="dxa"/>
            <w:gridSpan w:val="2"/>
            <w:tcBorders>
              <w:top w:val="single" w:sz="6" w:space="0" w:color="404040"/>
              <w:left w:val="single" w:sz="6" w:space="0" w:color="404040"/>
              <w:bottom w:val="single" w:sz="2" w:space="0" w:color="404040"/>
            </w:tcBorders>
            <w:shd w:val="clear" w:color="auto" w:fill="auto"/>
            <w:vAlign w:val="center"/>
          </w:tcPr>
          <w:p w14:paraId="3817CFF3"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4659</w:t>
            </w:r>
          </w:p>
        </w:tc>
        <w:tc>
          <w:tcPr>
            <w:tcW w:w="2003" w:type="dxa"/>
            <w:gridSpan w:val="2"/>
            <w:tcBorders>
              <w:top w:val="single" w:sz="6" w:space="0" w:color="404040"/>
              <w:left w:val="single" w:sz="6" w:space="0" w:color="404040"/>
              <w:bottom w:val="single" w:sz="2" w:space="0" w:color="404040"/>
              <w:right w:val="single" w:sz="2" w:space="0" w:color="404040"/>
            </w:tcBorders>
            <w:shd w:val="clear" w:color="auto" w:fill="auto"/>
            <w:vAlign w:val="center"/>
          </w:tcPr>
          <w:p w14:paraId="049169EF"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4804</w:t>
            </w:r>
          </w:p>
        </w:tc>
      </w:tr>
    </w:tbl>
    <w:p w14:paraId="75F56CAB" w14:textId="77777777" w:rsidR="00E70101" w:rsidRDefault="0060680B">
      <w:pPr>
        <w:spacing w:before="120" w:line="360" w:lineRule="auto"/>
        <w:ind w:firstLine="560"/>
        <w:jc w:val="both"/>
        <w:rPr>
          <w:rFonts w:ascii="Arial" w:eastAsia="仿宋_GB2312;仿宋" w:hAnsi="Arial" w:cs="Arial"/>
          <w:bCs/>
          <w:sz w:val="28"/>
        </w:rPr>
      </w:pPr>
      <w:r>
        <w:rPr>
          <w:rFonts w:ascii="Arial" w:eastAsia="仿宋_GB2312;仿宋" w:hAnsi="Arial" w:cs="Arial"/>
          <w:sz w:val="28"/>
          <w:szCs w:val="28"/>
        </w:rPr>
        <w:t>3.</w:t>
      </w:r>
      <w:r>
        <w:rPr>
          <w:rFonts w:ascii="Arial" w:eastAsia="仿宋_GB2312;仿宋" w:hAnsi="Arial" w:cs="Arial"/>
          <w:bCs/>
          <w:sz w:val="28"/>
        </w:rPr>
        <w:t>咨询对象比准价格</w:t>
      </w:r>
    </w:p>
    <w:p w14:paraId="6356DB7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本次评估所选取的各可比实例与咨询对象相似程度接近；通过前述各因素的修正及调整，各可比实例比较价值差异程度较小。因此，本次评估取三个比较价值的简单算术平均值作为咨询对象的最终结果。</w:t>
      </w:r>
    </w:p>
    <w:p w14:paraId="162F8F40"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单位面积地价</w:t>
      </w:r>
      <w:r>
        <w:rPr>
          <w:rFonts w:ascii="Arial" w:eastAsia="仿宋_GB2312;仿宋" w:hAnsi="Arial" w:cs="Arial"/>
          <w:bCs/>
          <w:sz w:val="28"/>
        </w:rPr>
        <w:t>＝</w:t>
      </w:r>
      <w:r>
        <w:rPr>
          <w:rFonts w:ascii="Arial" w:eastAsia="仿宋_GB2312;仿宋" w:hAnsi="Arial" w:cs="Arial"/>
          <w:bCs/>
          <w:sz w:val="28"/>
        </w:rPr>
        <w:t>(4882+4882+4293)÷3</w:t>
      </w:r>
      <w:r>
        <w:rPr>
          <w:rFonts w:ascii="Arial" w:eastAsia="仿宋_GB2312;仿宋" w:hAnsi="Arial" w:cs="Arial"/>
          <w:bCs/>
          <w:sz w:val="28"/>
        </w:rPr>
        <w:t>＝</w:t>
      </w:r>
      <w:r>
        <w:rPr>
          <w:rFonts w:ascii="Arial" w:eastAsia="仿宋_GB2312;仿宋" w:hAnsi="Arial" w:cs="Arial"/>
          <w:bCs/>
          <w:sz w:val="28"/>
        </w:rPr>
        <w:t>4686(</w:t>
      </w:r>
      <w:r>
        <w:rPr>
          <w:rFonts w:ascii="Arial" w:eastAsia="仿宋_GB2312;仿宋" w:hAnsi="Arial" w:cs="Arial"/>
          <w:bCs/>
          <w:sz w:val="28"/>
        </w:rPr>
        <w:t>元</w:t>
      </w:r>
      <w:r>
        <w:rPr>
          <w:rFonts w:ascii="Arial" w:eastAsia="仿宋_GB2312;仿宋" w:hAnsi="Arial" w:cs="Arial"/>
          <w:bCs/>
          <w:sz w:val="28"/>
        </w:rPr>
        <w:t>/</w:t>
      </w:r>
      <w:r>
        <w:rPr>
          <w:rFonts w:ascii="Arial" w:eastAsia="仿宋_GB2312;仿宋" w:hAnsi="Arial" w:cs="Arial"/>
          <w:bCs/>
          <w:sz w:val="28"/>
        </w:rPr>
        <w:t>平方米</w:t>
      </w:r>
      <w:r>
        <w:rPr>
          <w:rFonts w:ascii="Arial" w:eastAsia="仿宋_GB2312;仿宋" w:hAnsi="Arial" w:cs="Arial"/>
          <w:bCs/>
          <w:sz w:val="28"/>
        </w:rPr>
        <w:t>)</w:t>
      </w:r>
    </w:p>
    <w:p w14:paraId="3997443F" w14:textId="77777777" w:rsidR="00E70101" w:rsidRDefault="00E70101">
      <w:pPr>
        <w:spacing w:line="360" w:lineRule="auto"/>
        <w:jc w:val="both"/>
        <w:rPr>
          <w:rFonts w:ascii="Arial" w:eastAsia="仿宋_GB2312;仿宋" w:hAnsi="Arial" w:cs="Arial"/>
          <w:b/>
          <w:sz w:val="28"/>
          <w:szCs w:val="28"/>
        </w:rPr>
      </w:pPr>
    </w:p>
    <w:p w14:paraId="7B21EEFD" w14:textId="77777777" w:rsidR="00E70101" w:rsidRDefault="0060680B">
      <w:pPr>
        <w:spacing w:line="360" w:lineRule="auto"/>
      </w:pPr>
      <w:r>
        <w:rPr>
          <w:rFonts w:ascii="Arial" w:eastAsia="仿宋_GB2312;仿宋" w:hAnsi="Arial" w:cs="Arial"/>
          <w:b/>
          <w:sz w:val="28"/>
        </w:rPr>
        <w:t>二、运用成本逼近法求取土地使用权价格</w:t>
      </w:r>
    </w:p>
    <w:p w14:paraId="5FDA5266" w14:textId="77777777" w:rsidR="00E70101" w:rsidRDefault="0060680B">
      <w:pPr>
        <w:spacing w:line="360" w:lineRule="auto"/>
        <w:ind w:firstLine="565"/>
      </w:pPr>
      <w:r>
        <w:rPr>
          <w:rFonts w:ascii="Arial" w:eastAsia="仿宋_GB2312;仿宋" w:hAnsi="Arial" w:cs="Arial"/>
          <w:b/>
          <w:sz w:val="28"/>
        </w:rPr>
        <w:t>1.</w:t>
      </w:r>
      <w:r>
        <w:rPr>
          <w:rFonts w:ascii="Arial" w:eastAsia="仿宋_GB2312;仿宋" w:hAnsi="Arial" w:cs="Arial"/>
          <w:b/>
          <w:sz w:val="28"/>
        </w:rPr>
        <w:t>土地取得费及相关税费</w:t>
      </w:r>
    </w:p>
    <w:p w14:paraId="559801DF"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根据《城镇土地咨询规程》</w:t>
      </w:r>
      <w:r>
        <w:rPr>
          <w:rFonts w:ascii="Arial" w:eastAsia="仿宋_GB2312;仿宋" w:hAnsi="Arial" w:cs="Arial"/>
          <w:sz w:val="28"/>
        </w:rPr>
        <w:t>[GB/T 18508-2014]</w:t>
      </w:r>
      <w:r>
        <w:rPr>
          <w:rFonts w:ascii="Arial" w:eastAsia="仿宋_GB2312;仿宋" w:hAnsi="Arial" w:cs="Arial"/>
          <w:sz w:val="28"/>
        </w:rPr>
        <w:t>，土地取得费按取得土地权利而支付的各项客观费用计算，不同情况如下：</w:t>
      </w:r>
    </w:p>
    <w:p w14:paraId="438CBAA7"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）征收农村集体土地时，土地取得费即为征收补偿安置费用，主要包括被征收土地、地上青苗、建筑物及构筑物的补偿费用及涉及人员的安置补助费。各项费用应按有关规定，</w:t>
      </w:r>
      <w:proofErr w:type="gramStart"/>
      <w:r>
        <w:rPr>
          <w:rFonts w:ascii="Arial" w:eastAsia="仿宋_GB2312;仿宋" w:hAnsi="Arial" w:cs="Arial"/>
          <w:sz w:val="28"/>
        </w:rPr>
        <w:t>依据待估宗地</w:t>
      </w:r>
      <w:proofErr w:type="gramEnd"/>
      <w:r>
        <w:rPr>
          <w:rFonts w:ascii="Arial" w:eastAsia="仿宋_GB2312;仿宋" w:hAnsi="Arial" w:cs="Arial"/>
          <w:sz w:val="28"/>
        </w:rPr>
        <w:t>所在区域政府规定的相关标准，以应当支付的区域客观费用确定。</w:t>
      </w:r>
    </w:p>
    <w:p w14:paraId="08E16F10"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）征收国有土地使用权时，土地取得费即为征收补偿安置费用，主要包括被征收土地使用权、地上青苗、建筑物及构筑物的补偿费用及涉及人员的安置补助费。各项费用应按有关规定，</w:t>
      </w:r>
      <w:proofErr w:type="gramStart"/>
      <w:r>
        <w:rPr>
          <w:rFonts w:ascii="Arial" w:eastAsia="仿宋_GB2312;仿宋" w:hAnsi="Arial" w:cs="Arial"/>
          <w:sz w:val="28"/>
        </w:rPr>
        <w:t>依据待估宗地</w:t>
      </w:r>
      <w:proofErr w:type="gramEnd"/>
      <w:r>
        <w:rPr>
          <w:rFonts w:ascii="Arial" w:eastAsia="仿宋_GB2312;仿宋" w:hAnsi="Arial" w:cs="Arial"/>
          <w:sz w:val="28"/>
        </w:rPr>
        <w:t>所在区域政府规定的相关标准，以应当支付的区域客观费用确定。</w:t>
      </w:r>
    </w:p>
    <w:p w14:paraId="4B6E7CD9"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）通过市场交易获得土地时，土地取得费既是咨询期日土地的客观市场购置价格。</w:t>
      </w:r>
    </w:p>
    <w:p w14:paraId="68B867F9" w14:textId="77777777" w:rsidR="00E70101" w:rsidRDefault="0060680B">
      <w:pPr>
        <w:spacing w:line="360" w:lineRule="auto"/>
        <w:ind w:firstLine="563"/>
        <w:jc w:val="both"/>
        <w:rPr>
          <w:rFonts w:cs="Arial"/>
        </w:rPr>
        <w:sectPr w:rsidR="00E70101">
          <w:headerReference w:type="default" r:id="rId69"/>
          <w:footerReference w:type="default" r:id="rId70"/>
          <w:pgSz w:w="11906" w:h="16838"/>
          <w:pgMar w:top="1440" w:right="1440" w:bottom="1440" w:left="1803" w:header="851" w:footer="1134" w:gutter="0"/>
          <w:cols w:space="720"/>
          <w:formProt w:val="0"/>
          <w:docGrid w:linePitch="326"/>
        </w:sectPr>
      </w:pPr>
      <w:r>
        <w:rPr>
          <w:rFonts w:ascii="Arial" w:eastAsia="仿宋_GB2312;仿宋" w:hAnsi="Arial" w:cs="Arial"/>
          <w:sz w:val="28"/>
        </w:rPr>
        <w:t>根据</w:t>
      </w:r>
      <w:r>
        <w:rPr>
          <w:rFonts w:ascii="Arial" w:eastAsia="仿宋_GB2312;仿宋" w:hAnsi="Arial" w:cs="Arial"/>
          <w:sz w:val="28"/>
        </w:rPr>
        <w:t>“</w:t>
      </w:r>
      <w:r>
        <w:rPr>
          <w:rFonts w:ascii="Arial" w:eastAsia="仿宋_GB2312;仿宋" w:hAnsi="Arial" w:cs="Arial"/>
          <w:sz w:val="28"/>
        </w:rPr>
        <w:t>收购补偿价格评估技术指引</w:t>
      </w:r>
      <w:r>
        <w:rPr>
          <w:rFonts w:ascii="Arial" w:eastAsia="仿宋_GB2312;仿宋" w:hAnsi="Arial" w:cs="Arial"/>
          <w:sz w:val="28"/>
        </w:rPr>
        <w:t>”</w:t>
      </w:r>
      <w:r>
        <w:rPr>
          <w:rFonts w:ascii="Arial" w:eastAsia="仿宋_GB2312;仿宋" w:hAnsi="Arial" w:cs="Arial"/>
          <w:sz w:val="28"/>
        </w:rPr>
        <w:t>，成本逼近法中土地取得费，可选用同区域或类似区域内三个（含）以上经审定后的土地一级开发项目的成本数据进行修正后确定。经评估专业人员收集整理，实例情况如下：</w:t>
      </w:r>
    </w:p>
    <w:tbl>
      <w:tblPr>
        <w:tblW w:w="14186" w:type="dxa"/>
        <w:jc w:val="center"/>
        <w:tblLook w:val="0000" w:firstRow="0" w:lastRow="0" w:firstColumn="0" w:lastColumn="0" w:noHBand="0" w:noVBand="0"/>
      </w:tblPr>
      <w:tblGrid>
        <w:gridCol w:w="530"/>
        <w:gridCol w:w="2698"/>
        <w:gridCol w:w="992"/>
        <w:gridCol w:w="1012"/>
        <w:gridCol w:w="1255"/>
        <w:gridCol w:w="1276"/>
        <w:gridCol w:w="992"/>
        <w:gridCol w:w="992"/>
        <w:gridCol w:w="851"/>
        <w:gridCol w:w="567"/>
        <w:gridCol w:w="992"/>
        <w:gridCol w:w="2029"/>
      </w:tblGrid>
      <w:tr w:rsidR="00E70101" w14:paraId="6CD60E11" w14:textId="77777777">
        <w:trPr>
          <w:trHeight w:val="540"/>
          <w:tblHeader/>
          <w:jc w:val="center"/>
        </w:trPr>
        <w:tc>
          <w:tcPr>
            <w:tcW w:w="530" w:type="dxa"/>
            <w:vMerge w:val="restart"/>
            <w:tcBorders>
              <w:top w:val="single" w:sz="4" w:space="0" w:color="000000"/>
              <w:left w:val="single" w:sz="4" w:space="0" w:color="000000"/>
              <w:bottom w:val="single" w:sz="4" w:space="0" w:color="000000"/>
            </w:tcBorders>
            <w:shd w:val="clear" w:color="auto" w:fill="auto"/>
            <w:vAlign w:val="center"/>
          </w:tcPr>
          <w:p w14:paraId="05799ED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序号</w:t>
            </w:r>
          </w:p>
        </w:tc>
        <w:tc>
          <w:tcPr>
            <w:tcW w:w="2698" w:type="dxa"/>
            <w:vMerge w:val="restart"/>
            <w:tcBorders>
              <w:top w:val="single" w:sz="4" w:space="0" w:color="000000"/>
              <w:left w:val="single" w:sz="4" w:space="0" w:color="000000"/>
              <w:bottom w:val="single" w:sz="4" w:space="0" w:color="000000"/>
            </w:tcBorders>
            <w:shd w:val="clear" w:color="auto" w:fill="auto"/>
            <w:vAlign w:val="center"/>
          </w:tcPr>
          <w:p w14:paraId="25CE65D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项目名称</w:t>
            </w:r>
          </w:p>
        </w:tc>
        <w:tc>
          <w:tcPr>
            <w:tcW w:w="2004" w:type="dxa"/>
            <w:gridSpan w:val="2"/>
            <w:tcBorders>
              <w:top w:val="single" w:sz="4" w:space="0" w:color="000000"/>
              <w:left w:val="single" w:sz="4" w:space="0" w:color="000000"/>
              <w:bottom w:val="single" w:sz="4" w:space="0" w:color="000000"/>
            </w:tcBorders>
            <w:shd w:val="clear" w:color="auto" w:fill="auto"/>
            <w:vAlign w:val="center"/>
          </w:tcPr>
          <w:p w14:paraId="7A2669A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项目土地面积</w:t>
            </w:r>
          </w:p>
        </w:tc>
        <w:tc>
          <w:tcPr>
            <w:tcW w:w="2531" w:type="dxa"/>
            <w:gridSpan w:val="2"/>
            <w:tcBorders>
              <w:top w:val="single" w:sz="4" w:space="0" w:color="000000"/>
              <w:left w:val="single" w:sz="4" w:space="0" w:color="000000"/>
              <w:bottom w:val="single" w:sz="4" w:space="0" w:color="000000"/>
            </w:tcBorders>
            <w:shd w:val="clear" w:color="auto" w:fill="auto"/>
            <w:vAlign w:val="center"/>
          </w:tcPr>
          <w:p w14:paraId="2EB04FD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土地开发成本</w:t>
            </w:r>
          </w:p>
        </w:tc>
        <w:tc>
          <w:tcPr>
            <w:tcW w:w="1984" w:type="dxa"/>
            <w:gridSpan w:val="2"/>
            <w:tcBorders>
              <w:top w:val="single" w:sz="4" w:space="0" w:color="000000"/>
              <w:left w:val="single" w:sz="4" w:space="0" w:color="000000"/>
              <w:bottom w:val="single" w:sz="4" w:space="0" w:color="000000"/>
            </w:tcBorders>
            <w:shd w:val="clear" w:color="auto" w:fill="auto"/>
            <w:vAlign w:val="center"/>
          </w:tcPr>
          <w:p w14:paraId="3CF39DA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地面单价（元</w:t>
            </w:r>
            <w:r>
              <w:rPr>
                <w:rFonts w:ascii="Arial" w:eastAsia="仿宋_GB2312;仿宋" w:hAnsi="Arial" w:cs="Arial"/>
                <w:sz w:val="22"/>
                <w:szCs w:val="16"/>
              </w:rPr>
              <w:t>/</w:t>
            </w:r>
            <w:r>
              <w:rPr>
                <w:rFonts w:ascii="Arial" w:eastAsia="仿宋_GB2312;仿宋" w:hAnsi="Arial" w:cs="Arial"/>
                <w:sz w:val="22"/>
                <w:szCs w:val="16"/>
              </w:rPr>
              <w:t>平方米）</w:t>
            </w:r>
          </w:p>
        </w:tc>
        <w:tc>
          <w:tcPr>
            <w:tcW w:w="851" w:type="dxa"/>
            <w:vMerge w:val="restart"/>
            <w:tcBorders>
              <w:top w:val="single" w:sz="4" w:space="0" w:color="000000"/>
              <w:left w:val="single" w:sz="4" w:space="0" w:color="000000"/>
            </w:tcBorders>
            <w:shd w:val="clear" w:color="auto" w:fill="auto"/>
            <w:vAlign w:val="center"/>
          </w:tcPr>
          <w:p w14:paraId="68F50D5A" w14:textId="77777777" w:rsidR="00E70101" w:rsidRDefault="0060680B">
            <w:pPr>
              <w:widowControl/>
              <w:spacing w:line="240" w:lineRule="auto"/>
              <w:jc w:val="center"/>
              <w:textAlignment w:val="auto"/>
              <w:rPr>
                <w:rFonts w:ascii="Arial" w:eastAsia="仿宋_GB2312;仿宋" w:hAnsi="Arial" w:cs="Arial"/>
                <w:sz w:val="22"/>
                <w:szCs w:val="16"/>
              </w:rPr>
            </w:pPr>
            <w:bookmarkStart w:id="56" w:name="_Hlk148085150"/>
            <w:r>
              <w:rPr>
                <w:rFonts w:ascii="Arial" w:eastAsia="仿宋_GB2312;仿宋" w:hAnsi="Arial" w:cs="Arial"/>
                <w:sz w:val="22"/>
                <w:szCs w:val="16"/>
              </w:rPr>
              <w:t>财务费用占总成本比例</w:t>
            </w:r>
            <w:bookmarkEnd w:id="56"/>
          </w:p>
        </w:tc>
        <w:tc>
          <w:tcPr>
            <w:tcW w:w="567" w:type="dxa"/>
            <w:vMerge w:val="restart"/>
            <w:tcBorders>
              <w:top w:val="single" w:sz="4" w:space="0" w:color="000000"/>
              <w:left w:val="single" w:sz="4" w:space="0" w:color="000000"/>
            </w:tcBorders>
            <w:shd w:val="clear" w:color="auto" w:fill="auto"/>
            <w:vAlign w:val="center"/>
          </w:tcPr>
          <w:p w14:paraId="1C0E1A2D" w14:textId="77777777" w:rsidR="00E70101" w:rsidRDefault="0060680B">
            <w:pPr>
              <w:spacing w:line="240" w:lineRule="auto"/>
              <w:jc w:val="center"/>
              <w:rPr>
                <w:rFonts w:ascii="Arial" w:eastAsia="仿宋_GB2312;仿宋" w:hAnsi="Arial" w:cs="Arial"/>
                <w:sz w:val="22"/>
                <w:szCs w:val="16"/>
              </w:rPr>
            </w:pPr>
            <w:r>
              <w:rPr>
                <w:rFonts w:ascii="Arial" w:eastAsia="仿宋_GB2312;仿宋" w:hAnsi="Arial" w:cs="Arial"/>
                <w:sz w:val="22"/>
                <w:szCs w:val="16"/>
              </w:rPr>
              <w:t>实物还建</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14:paraId="640EFA1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审定日期</w:t>
            </w:r>
          </w:p>
        </w:tc>
        <w:tc>
          <w:tcPr>
            <w:tcW w:w="2029" w:type="dxa"/>
            <w:vMerge w:val="restart"/>
            <w:tcBorders>
              <w:top w:val="single" w:sz="4" w:space="0" w:color="000000"/>
              <w:left w:val="single" w:sz="4" w:space="0" w:color="000000"/>
              <w:right w:val="single" w:sz="4" w:space="0" w:color="000000"/>
            </w:tcBorders>
            <w:shd w:val="clear" w:color="auto" w:fill="auto"/>
            <w:vAlign w:val="center"/>
          </w:tcPr>
          <w:p w14:paraId="2D9CA0E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拆迁内容</w:t>
            </w:r>
          </w:p>
        </w:tc>
      </w:tr>
      <w:tr w:rsidR="00E70101" w14:paraId="3AD3805E" w14:textId="77777777">
        <w:trPr>
          <w:trHeight w:val="1620"/>
          <w:tblHeader/>
          <w:jc w:val="center"/>
        </w:trPr>
        <w:tc>
          <w:tcPr>
            <w:tcW w:w="530" w:type="dxa"/>
            <w:vMerge/>
            <w:tcBorders>
              <w:top w:val="single" w:sz="4" w:space="0" w:color="000000"/>
              <w:left w:val="single" w:sz="4" w:space="0" w:color="000000"/>
              <w:bottom w:val="single" w:sz="4" w:space="0" w:color="000000"/>
            </w:tcBorders>
            <w:shd w:val="clear" w:color="auto" w:fill="auto"/>
            <w:vAlign w:val="center"/>
          </w:tcPr>
          <w:p w14:paraId="6AE692F1"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2698" w:type="dxa"/>
            <w:vMerge/>
            <w:tcBorders>
              <w:top w:val="single" w:sz="4" w:space="0" w:color="000000"/>
              <w:left w:val="single" w:sz="4" w:space="0" w:color="000000"/>
              <w:bottom w:val="single" w:sz="4" w:space="0" w:color="000000"/>
            </w:tcBorders>
            <w:shd w:val="clear" w:color="auto" w:fill="auto"/>
            <w:vAlign w:val="center"/>
          </w:tcPr>
          <w:p w14:paraId="2AA00FA1"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992" w:type="dxa"/>
            <w:tcBorders>
              <w:left w:val="single" w:sz="4" w:space="0" w:color="000000"/>
              <w:bottom w:val="single" w:sz="4" w:space="0" w:color="000000"/>
            </w:tcBorders>
            <w:shd w:val="clear" w:color="auto" w:fill="auto"/>
            <w:vAlign w:val="center"/>
          </w:tcPr>
          <w:p w14:paraId="5984528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总用地面积（公顷）</w:t>
            </w:r>
          </w:p>
        </w:tc>
        <w:tc>
          <w:tcPr>
            <w:tcW w:w="1012" w:type="dxa"/>
            <w:tcBorders>
              <w:left w:val="single" w:sz="4" w:space="0" w:color="000000"/>
              <w:bottom w:val="single" w:sz="4" w:space="0" w:color="000000"/>
            </w:tcBorders>
            <w:shd w:val="clear" w:color="auto" w:fill="auto"/>
            <w:vAlign w:val="center"/>
          </w:tcPr>
          <w:p w14:paraId="445DEF7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建设用地面积（公顷）</w:t>
            </w:r>
          </w:p>
        </w:tc>
        <w:tc>
          <w:tcPr>
            <w:tcW w:w="1255" w:type="dxa"/>
            <w:tcBorders>
              <w:left w:val="single" w:sz="4" w:space="0" w:color="000000"/>
              <w:bottom w:val="single" w:sz="4" w:space="0" w:color="000000"/>
            </w:tcBorders>
            <w:shd w:val="clear" w:color="auto" w:fill="auto"/>
            <w:vAlign w:val="center"/>
          </w:tcPr>
          <w:p w14:paraId="62B952F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征地补偿及相关税费（万元）</w:t>
            </w:r>
          </w:p>
        </w:tc>
        <w:tc>
          <w:tcPr>
            <w:tcW w:w="1276" w:type="dxa"/>
            <w:tcBorders>
              <w:left w:val="single" w:sz="4" w:space="0" w:color="000000"/>
              <w:bottom w:val="single" w:sz="4" w:space="0" w:color="000000"/>
            </w:tcBorders>
            <w:shd w:val="clear" w:color="auto" w:fill="auto"/>
            <w:vAlign w:val="center"/>
          </w:tcPr>
          <w:p w14:paraId="7AB0D5A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收购补偿费、房屋征收（拆迁）补偿费及相关费用（万元）</w:t>
            </w:r>
          </w:p>
        </w:tc>
        <w:tc>
          <w:tcPr>
            <w:tcW w:w="992" w:type="dxa"/>
            <w:tcBorders>
              <w:top w:val="single" w:sz="4" w:space="0" w:color="000000"/>
              <w:left w:val="single" w:sz="4" w:space="0" w:color="000000"/>
              <w:bottom w:val="single" w:sz="4" w:space="0" w:color="000000"/>
            </w:tcBorders>
            <w:shd w:val="clear" w:color="auto" w:fill="auto"/>
            <w:vAlign w:val="center"/>
          </w:tcPr>
          <w:p w14:paraId="6D012E2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期日修正前</w:t>
            </w:r>
          </w:p>
        </w:tc>
        <w:tc>
          <w:tcPr>
            <w:tcW w:w="992" w:type="dxa"/>
            <w:tcBorders>
              <w:top w:val="single" w:sz="4" w:space="0" w:color="000000"/>
              <w:left w:val="single" w:sz="4" w:space="0" w:color="000000"/>
              <w:bottom w:val="single" w:sz="4" w:space="0" w:color="000000"/>
            </w:tcBorders>
            <w:shd w:val="clear" w:color="auto" w:fill="auto"/>
            <w:vAlign w:val="center"/>
          </w:tcPr>
          <w:p w14:paraId="61554B5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期日修正后</w:t>
            </w:r>
          </w:p>
        </w:tc>
        <w:tc>
          <w:tcPr>
            <w:tcW w:w="851" w:type="dxa"/>
            <w:vMerge/>
            <w:tcBorders>
              <w:top w:val="single" w:sz="4" w:space="0" w:color="000000"/>
              <w:left w:val="single" w:sz="4" w:space="0" w:color="000000"/>
            </w:tcBorders>
            <w:shd w:val="clear" w:color="auto" w:fill="auto"/>
            <w:vAlign w:val="center"/>
          </w:tcPr>
          <w:p w14:paraId="20381E1A"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567" w:type="dxa"/>
            <w:vMerge/>
            <w:tcBorders>
              <w:top w:val="single" w:sz="4" w:space="0" w:color="000000"/>
              <w:left w:val="single" w:sz="4" w:space="0" w:color="000000"/>
            </w:tcBorders>
            <w:shd w:val="clear" w:color="auto" w:fill="auto"/>
            <w:vAlign w:val="center"/>
          </w:tcPr>
          <w:p w14:paraId="23E78897"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992" w:type="dxa"/>
            <w:vMerge/>
            <w:tcBorders>
              <w:top w:val="single" w:sz="4" w:space="0" w:color="000000"/>
              <w:left w:val="single" w:sz="4" w:space="0" w:color="000000"/>
              <w:bottom w:val="single" w:sz="4" w:space="0" w:color="000000"/>
            </w:tcBorders>
            <w:shd w:val="clear" w:color="auto" w:fill="auto"/>
            <w:vAlign w:val="center"/>
          </w:tcPr>
          <w:p w14:paraId="046FC4BA"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2029" w:type="dxa"/>
            <w:vMerge/>
            <w:tcBorders>
              <w:top w:val="single" w:sz="4" w:space="0" w:color="000000"/>
              <w:left w:val="single" w:sz="4" w:space="0" w:color="000000"/>
              <w:right w:val="single" w:sz="4" w:space="0" w:color="000000"/>
            </w:tcBorders>
            <w:shd w:val="clear" w:color="auto" w:fill="auto"/>
            <w:vAlign w:val="center"/>
          </w:tcPr>
          <w:p w14:paraId="4EDACC11"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r>
      <w:tr w:rsidR="00E70101" w14:paraId="1469FC39" w14:textId="77777777">
        <w:trPr>
          <w:trHeight w:val="948"/>
          <w:jc w:val="center"/>
        </w:trPr>
        <w:tc>
          <w:tcPr>
            <w:tcW w:w="530" w:type="dxa"/>
            <w:tcBorders>
              <w:left w:val="single" w:sz="4" w:space="0" w:color="000000"/>
              <w:bottom w:val="single" w:sz="4" w:space="0" w:color="000000"/>
            </w:tcBorders>
            <w:shd w:val="clear" w:color="auto" w:fill="auto"/>
            <w:vAlign w:val="center"/>
          </w:tcPr>
          <w:p w14:paraId="5EF067F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w:t>
            </w:r>
          </w:p>
        </w:tc>
        <w:tc>
          <w:tcPr>
            <w:tcW w:w="2698" w:type="dxa"/>
            <w:tcBorders>
              <w:left w:val="single" w:sz="4" w:space="0" w:color="000000"/>
              <w:bottom w:val="single" w:sz="4" w:space="0" w:color="000000"/>
            </w:tcBorders>
            <w:shd w:val="clear" w:color="auto" w:fill="auto"/>
            <w:vAlign w:val="center"/>
          </w:tcPr>
          <w:p w14:paraId="47D17C6B" w14:textId="77777777" w:rsidR="00E70101" w:rsidRDefault="0060680B">
            <w:pPr>
              <w:widowControl/>
              <w:spacing w:line="240" w:lineRule="auto"/>
              <w:jc w:val="center"/>
              <w:textAlignment w:val="auto"/>
              <w:rPr>
                <w:rFonts w:ascii="Arial" w:eastAsia="仿宋_GB2312;仿宋" w:hAnsi="Arial" w:cs="Arial"/>
                <w:sz w:val="22"/>
                <w:szCs w:val="16"/>
              </w:rPr>
            </w:pPr>
            <w:bookmarkStart w:id="57" w:name="_Hlk142747374"/>
            <w:r>
              <w:rPr>
                <w:rFonts w:ascii="Arial" w:eastAsia="仿宋_GB2312;仿宋" w:hAnsi="Arial" w:cs="Arial"/>
                <w:sz w:val="22"/>
                <w:szCs w:val="16"/>
              </w:rPr>
              <w:t>顺义区国展预留地剩余地块土地一级开发项目</w:t>
            </w:r>
            <w:bookmarkEnd w:id="57"/>
          </w:p>
        </w:tc>
        <w:tc>
          <w:tcPr>
            <w:tcW w:w="992" w:type="dxa"/>
            <w:tcBorders>
              <w:left w:val="single" w:sz="4" w:space="0" w:color="000000"/>
              <w:bottom w:val="single" w:sz="4" w:space="0" w:color="000000"/>
            </w:tcBorders>
            <w:shd w:val="clear" w:color="auto" w:fill="auto"/>
            <w:vAlign w:val="center"/>
          </w:tcPr>
          <w:p w14:paraId="4A9F013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12.9</w:t>
            </w:r>
          </w:p>
        </w:tc>
        <w:tc>
          <w:tcPr>
            <w:tcW w:w="1012" w:type="dxa"/>
            <w:tcBorders>
              <w:left w:val="single" w:sz="4" w:space="0" w:color="000000"/>
              <w:bottom w:val="single" w:sz="4" w:space="0" w:color="000000"/>
            </w:tcBorders>
            <w:shd w:val="clear" w:color="auto" w:fill="auto"/>
            <w:vAlign w:val="center"/>
          </w:tcPr>
          <w:p w14:paraId="50FE8DD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10.44</w:t>
            </w:r>
          </w:p>
        </w:tc>
        <w:tc>
          <w:tcPr>
            <w:tcW w:w="1255" w:type="dxa"/>
            <w:tcBorders>
              <w:left w:val="single" w:sz="4" w:space="0" w:color="000000"/>
              <w:bottom w:val="single" w:sz="4" w:space="0" w:color="000000"/>
            </w:tcBorders>
            <w:shd w:val="clear" w:color="auto" w:fill="auto"/>
            <w:vAlign w:val="center"/>
          </w:tcPr>
          <w:p w14:paraId="509482C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5061.88</w:t>
            </w:r>
          </w:p>
        </w:tc>
        <w:tc>
          <w:tcPr>
            <w:tcW w:w="1276" w:type="dxa"/>
            <w:tcBorders>
              <w:left w:val="single" w:sz="4" w:space="0" w:color="000000"/>
              <w:bottom w:val="single" w:sz="4" w:space="0" w:color="000000"/>
            </w:tcBorders>
            <w:shd w:val="clear" w:color="auto" w:fill="auto"/>
            <w:vAlign w:val="center"/>
          </w:tcPr>
          <w:p w14:paraId="6C69773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31557.84</w:t>
            </w:r>
          </w:p>
        </w:tc>
        <w:tc>
          <w:tcPr>
            <w:tcW w:w="992" w:type="dxa"/>
            <w:tcBorders>
              <w:top w:val="single" w:sz="4" w:space="0" w:color="000000"/>
              <w:left w:val="single" w:sz="4" w:space="0" w:color="000000"/>
              <w:bottom w:val="single" w:sz="4" w:space="0" w:color="000000"/>
            </w:tcBorders>
            <w:shd w:val="clear" w:color="auto" w:fill="auto"/>
            <w:vAlign w:val="center"/>
          </w:tcPr>
          <w:p w14:paraId="2510376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2838.7</w:t>
            </w:r>
          </w:p>
        </w:tc>
        <w:tc>
          <w:tcPr>
            <w:tcW w:w="992" w:type="dxa"/>
            <w:tcBorders>
              <w:top w:val="single" w:sz="4" w:space="0" w:color="000000"/>
              <w:left w:val="single" w:sz="4" w:space="0" w:color="000000"/>
              <w:bottom w:val="single" w:sz="4" w:space="0" w:color="000000"/>
            </w:tcBorders>
            <w:shd w:val="clear" w:color="auto" w:fill="auto"/>
            <w:vAlign w:val="center"/>
          </w:tcPr>
          <w:p w14:paraId="7A2B298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3041.4</w:t>
            </w:r>
          </w:p>
        </w:tc>
        <w:tc>
          <w:tcPr>
            <w:tcW w:w="851" w:type="dxa"/>
            <w:tcBorders>
              <w:top w:val="single" w:sz="4" w:space="0" w:color="000000"/>
              <w:left w:val="single" w:sz="4" w:space="0" w:color="000000"/>
              <w:bottom w:val="single" w:sz="4" w:space="0" w:color="000000"/>
            </w:tcBorders>
            <w:shd w:val="clear" w:color="auto" w:fill="auto"/>
            <w:vAlign w:val="center"/>
          </w:tcPr>
          <w:p w14:paraId="64E55DE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0%</w:t>
            </w:r>
          </w:p>
        </w:tc>
        <w:tc>
          <w:tcPr>
            <w:tcW w:w="567" w:type="dxa"/>
            <w:tcBorders>
              <w:left w:val="single" w:sz="4" w:space="0" w:color="000000"/>
              <w:bottom w:val="single" w:sz="4" w:space="0" w:color="000000"/>
            </w:tcBorders>
            <w:shd w:val="clear" w:color="auto" w:fill="auto"/>
            <w:vAlign w:val="center"/>
          </w:tcPr>
          <w:p w14:paraId="4E50984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04EE8D1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2020</w:t>
            </w:r>
            <w:r>
              <w:rPr>
                <w:rFonts w:ascii="Arial" w:eastAsia="仿宋_GB2312;仿宋" w:hAnsi="Arial" w:cs="Arial"/>
                <w:sz w:val="22"/>
                <w:szCs w:val="16"/>
              </w:rPr>
              <w:t>年</w:t>
            </w:r>
            <w:r>
              <w:rPr>
                <w:rFonts w:ascii="Arial" w:eastAsia="仿宋_GB2312;仿宋" w:hAnsi="Arial" w:cs="Arial"/>
                <w:sz w:val="22"/>
                <w:szCs w:val="16"/>
              </w:rPr>
              <w:t>10</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4EA7BF7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拆迁总量为</w:t>
            </w:r>
            <w:r>
              <w:rPr>
                <w:rFonts w:ascii="Arial" w:eastAsia="仿宋_GB2312;仿宋" w:hAnsi="Arial" w:cs="Arial"/>
                <w:sz w:val="22"/>
                <w:szCs w:val="16"/>
              </w:rPr>
              <w:t>2</w:t>
            </w:r>
            <w:r>
              <w:rPr>
                <w:rFonts w:ascii="Arial" w:eastAsia="仿宋_GB2312;仿宋" w:hAnsi="Arial" w:cs="Arial"/>
                <w:sz w:val="22"/>
                <w:szCs w:val="16"/>
              </w:rPr>
              <w:t>户，均为非宅。</w:t>
            </w:r>
          </w:p>
        </w:tc>
      </w:tr>
      <w:tr w:rsidR="00E70101" w14:paraId="77703BC2" w14:textId="77777777">
        <w:trPr>
          <w:trHeight w:val="270"/>
          <w:jc w:val="center"/>
        </w:trPr>
        <w:tc>
          <w:tcPr>
            <w:tcW w:w="530" w:type="dxa"/>
            <w:tcBorders>
              <w:left w:val="single" w:sz="4" w:space="0" w:color="000000"/>
              <w:bottom w:val="single" w:sz="4" w:space="0" w:color="000000"/>
            </w:tcBorders>
            <w:shd w:val="clear" w:color="auto" w:fill="auto"/>
            <w:vAlign w:val="center"/>
          </w:tcPr>
          <w:p w14:paraId="40FDDA1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w:t>
            </w:r>
          </w:p>
        </w:tc>
        <w:tc>
          <w:tcPr>
            <w:tcW w:w="2698" w:type="dxa"/>
            <w:tcBorders>
              <w:left w:val="single" w:sz="4" w:space="0" w:color="000000"/>
              <w:bottom w:val="single" w:sz="4" w:space="0" w:color="000000"/>
            </w:tcBorders>
            <w:shd w:val="clear" w:color="auto" w:fill="auto"/>
            <w:vAlign w:val="center"/>
          </w:tcPr>
          <w:p w14:paraId="65A3A35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顺义区仁和镇平各庄村</w:t>
            </w:r>
            <w:r>
              <w:rPr>
                <w:rFonts w:ascii="Arial" w:eastAsia="仿宋_GB2312;仿宋" w:hAnsi="Arial" w:cs="Arial"/>
                <w:sz w:val="22"/>
                <w:szCs w:val="16"/>
              </w:rPr>
              <w:t>B</w:t>
            </w:r>
            <w:r>
              <w:rPr>
                <w:rFonts w:ascii="Arial" w:eastAsia="仿宋_GB2312;仿宋" w:hAnsi="Arial" w:cs="Arial"/>
                <w:sz w:val="22"/>
                <w:szCs w:val="16"/>
              </w:rPr>
              <w:t>地块土地一级开发项目</w:t>
            </w:r>
          </w:p>
        </w:tc>
        <w:tc>
          <w:tcPr>
            <w:tcW w:w="992" w:type="dxa"/>
            <w:tcBorders>
              <w:left w:val="single" w:sz="4" w:space="0" w:color="000000"/>
              <w:bottom w:val="single" w:sz="4" w:space="0" w:color="000000"/>
            </w:tcBorders>
            <w:shd w:val="clear" w:color="auto" w:fill="auto"/>
            <w:vAlign w:val="center"/>
          </w:tcPr>
          <w:p w14:paraId="51BDAF9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36.15</w:t>
            </w:r>
          </w:p>
        </w:tc>
        <w:tc>
          <w:tcPr>
            <w:tcW w:w="1012" w:type="dxa"/>
            <w:tcBorders>
              <w:left w:val="single" w:sz="4" w:space="0" w:color="000000"/>
              <w:bottom w:val="single" w:sz="4" w:space="0" w:color="000000"/>
            </w:tcBorders>
            <w:shd w:val="clear" w:color="auto" w:fill="auto"/>
            <w:vAlign w:val="center"/>
          </w:tcPr>
          <w:p w14:paraId="7506518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16.55</w:t>
            </w:r>
          </w:p>
        </w:tc>
        <w:tc>
          <w:tcPr>
            <w:tcW w:w="1255" w:type="dxa"/>
            <w:tcBorders>
              <w:left w:val="single" w:sz="4" w:space="0" w:color="000000"/>
              <w:bottom w:val="single" w:sz="4" w:space="0" w:color="000000"/>
            </w:tcBorders>
            <w:shd w:val="clear" w:color="auto" w:fill="auto"/>
            <w:vAlign w:val="center"/>
          </w:tcPr>
          <w:p w14:paraId="0E71A24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41086.4</w:t>
            </w:r>
          </w:p>
        </w:tc>
        <w:tc>
          <w:tcPr>
            <w:tcW w:w="1276" w:type="dxa"/>
            <w:tcBorders>
              <w:left w:val="single" w:sz="4" w:space="0" w:color="000000"/>
              <w:bottom w:val="single" w:sz="4" w:space="0" w:color="000000"/>
            </w:tcBorders>
            <w:shd w:val="clear" w:color="auto" w:fill="auto"/>
            <w:vAlign w:val="center"/>
          </w:tcPr>
          <w:p w14:paraId="386C0EC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47612.92</w:t>
            </w:r>
          </w:p>
        </w:tc>
        <w:tc>
          <w:tcPr>
            <w:tcW w:w="992" w:type="dxa"/>
            <w:tcBorders>
              <w:top w:val="single" w:sz="4" w:space="0" w:color="000000"/>
              <w:left w:val="single" w:sz="4" w:space="0" w:color="000000"/>
              <w:bottom w:val="single" w:sz="4" w:space="0" w:color="000000"/>
            </w:tcBorders>
            <w:shd w:val="clear" w:color="auto" w:fill="auto"/>
            <w:vAlign w:val="center"/>
          </w:tcPr>
          <w:p w14:paraId="247EF77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2453.6</w:t>
            </w:r>
          </w:p>
        </w:tc>
        <w:tc>
          <w:tcPr>
            <w:tcW w:w="992" w:type="dxa"/>
            <w:tcBorders>
              <w:top w:val="single" w:sz="4" w:space="0" w:color="000000"/>
              <w:left w:val="single" w:sz="4" w:space="0" w:color="000000"/>
              <w:bottom w:val="single" w:sz="4" w:space="0" w:color="000000"/>
            </w:tcBorders>
            <w:shd w:val="clear" w:color="auto" w:fill="auto"/>
            <w:vAlign w:val="center"/>
          </w:tcPr>
          <w:p w14:paraId="35E7E1D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2523.1</w:t>
            </w:r>
          </w:p>
        </w:tc>
        <w:tc>
          <w:tcPr>
            <w:tcW w:w="851" w:type="dxa"/>
            <w:tcBorders>
              <w:top w:val="single" w:sz="4" w:space="0" w:color="000000"/>
              <w:left w:val="single" w:sz="4" w:space="0" w:color="000000"/>
              <w:bottom w:val="single" w:sz="4" w:space="0" w:color="000000"/>
            </w:tcBorders>
            <w:shd w:val="clear" w:color="auto" w:fill="auto"/>
            <w:vAlign w:val="center"/>
          </w:tcPr>
          <w:p w14:paraId="1BD0315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13%</w:t>
            </w:r>
          </w:p>
        </w:tc>
        <w:tc>
          <w:tcPr>
            <w:tcW w:w="567" w:type="dxa"/>
            <w:tcBorders>
              <w:left w:val="single" w:sz="4" w:space="0" w:color="000000"/>
              <w:bottom w:val="single" w:sz="4" w:space="0" w:color="000000"/>
            </w:tcBorders>
            <w:shd w:val="clear" w:color="auto" w:fill="auto"/>
            <w:vAlign w:val="center"/>
          </w:tcPr>
          <w:p w14:paraId="1D0121C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4F79CD5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4</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0EC6B09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涉及拆迁总量共计</w:t>
            </w:r>
            <w:r>
              <w:rPr>
                <w:rFonts w:ascii="Arial" w:eastAsia="仿宋_GB2312;仿宋" w:hAnsi="Arial" w:cs="Arial"/>
                <w:sz w:val="22"/>
                <w:szCs w:val="16"/>
              </w:rPr>
              <w:t>29</w:t>
            </w:r>
            <w:r>
              <w:rPr>
                <w:rFonts w:ascii="Arial" w:eastAsia="仿宋_GB2312;仿宋" w:hAnsi="Arial" w:cs="Arial"/>
                <w:sz w:val="22"/>
                <w:szCs w:val="16"/>
              </w:rPr>
              <w:t>户，其中国有土地性质</w:t>
            </w:r>
            <w:r>
              <w:rPr>
                <w:rFonts w:ascii="Arial" w:eastAsia="仿宋_GB2312;仿宋" w:hAnsi="Arial" w:cs="Arial"/>
                <w:sz w:val="22"/>
                <w:szCs w:val="16"/>
              </w:rPr>
              <w:t>10</w:t>
            </w:r>
            <w:r>
              <w:rPr>
                <w:rFonts w:ascii="Arial" w:eastAsia="仿宋_GB2312;仿宋" w:hAnsi="Arial" w:cs="Arial"/>
                <w:sz w:val="22"/>
                <w:szCs w:val="16"/>
              </w:rPr>
              <w:t>户，集体土地性质</w:t>
            </w:r>
            <w:r>
              <w:rPr>
                <w:rFonts w:ascii="Arial" w:eastAsia="仿宋_GB2312;仿宋" w:hAnsi="Arial" w:cs="Arial"/>
                <w:sz w:val="22"/>
                <w:szCs w:val="16"/>
              </w:rPr>
              <w:t>19</w:t>
            </w:r>
            <w:r>
              <w:rPr>
                <w:rFonts w:ascii="Arial" w:eastAsia="仿宋_GB2312;仿宋" w:hAnsi="Arial" w:cs="Arial"/>
                <w:sz w:val="22"/>
                <w:szCs w:val="16"/>
              </w:rPr>
              <w:t>户。</w:t>
            </w:r>
          </w:p>
        </w:tc>
      </w:tr>
      <w:tr w:rsidR="00E70101" w14:paraId="7D9FDCDD" w14:textId="77777777">
        <w:trPr>
          <w:trHeight w:val="270"/>
          <w:jc w:val="center"/>
        </w:trPr>
        <w:tc>
          <w:tcPr>
            <w:tcW w:w="530" w:type="dxa"/>
            <w:tcBorders>
              <w:left w:val="single" w:sz="4" w:space="0" w:color="000000"/>
              <w:bottom w:val="single" w:sz="4" w:space="0" w:color="000000"/>
            </w:tcBorders>
            <w:shd w:val="clear" w:color="auto" w:fill="auto"/>
            <w:vAlign w:val="center"/>
          </w:tcPr>
          <w:p w14:paraId="27B16B3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w:t>
            </w:r>
          </w:p>
        </w:tc>
        <w:tc>
          <w:tcPr>
            <w:tcW w:w="2698" w:type="dxa"/>
            <w:tcBorders>
              <w:left w:val="single" w:sz="4" w:space="0" w:color="000000"/>
              <w:bottom w:val="single" w:sz="4" w:space="0" w:color="000000"/>
            </w:tcBorders>
            <w:shd w:val="clear" w:color="auto" w:fill="auto"/>
            <w:vAlign w:val="center"/>
          </w:tcPr>
          <w:p w14:paraId="5C6A68C1" w14:textId="77777777" w:rsidR="00E70101" w:rsidRDefault="0060680B">
            <w:pPr>
              <w:widowControl/>
              <w:spacing w:line="240" w:lineRule="auto"/>
              <w:jc w:val="center"/>
              <w:textAlignment w:val="auto"/>
              <w:rPr>
                <w:rFonts w:ascii="Arial" w:eastAsia="仿宋_GB2312;仿宋" w:hAnsi="Arial" w:cs="Arial"/>
                <w:sz w:val="22"/>
                <w:szCs w:val="16"/>
              </w:rPr>
            </w:pPr>
            <w:bookmarkStart w:id="58" w:name="_Hlk142914586"/>
            <w:r>
              <w:rPr>
                <w:rFonts w:ascii="Arial" w:eastAsia="仿宋_GB2312;仿宋" w:hAnsi="Arial" w:cs="Arial"/>
                <w:sz w:val="22"/>
                <w:szCs w:val="16"/>
              </w:rPr>
              <w:t>顺义区</w:t>
            </w:r>
            <w:r>
              <w:rPr>
                <w:rFonts w:ascii="Arial" w:eastAsia="仿宋_GB2312;仿宋" w:hAnsi="Arial" w:cs="Arial"/>
                <w:sz w:val="22"/>
                <w:szCs w:val="16"/>
              </w:rPr>
              <w:t>M</w:t>
            </w:r>
            <w:proofErr w:type="gramStart"/>
            <w:r>
              <w:rPr>
                <w:rFonts w:ascii="Arial" w:eastAsia="仿宋_GB2312;仿宋" w:hAnsi="Arial" w:cs="Arial"/>
                <w:sz w:val="22"/>
                <w:szCs w:val="16"/>
              </w:rPr>
              <w:t>15</w:t>
            </w:r>
            <w:r>
              <w:rPr>
                <w:rFonts w:ascii="Arial" w:eastAsia="仿宋_GB2312;仿宋" w:hAnsi="Arial" w:cs="Arial"/>
                <w:sz w:val="22"/>
                <w:szCs w:val="16"/>
              </w:rPr>
              <w:t>号线顺西路</w:t>
            </w:r>
            <w:proofErr w:type="gramEnd"/>
            <w:r>
              <w:rPr>
                <w:rFonts w:ascii="Arial" w:eastAsia="仿宋_GB2312;仿宋" w:hAnsi="Arial" w:cs="Arial"/>
                <w:sz w:val="22"/>
                <w:szCs w:val="16"/>
              </w:rPr>
              <w:t>-</w:t>
            </w:r>
            <w:r>
              <w:rPr>
                <w:rFonts w:ascii="Arial" w:eastAsia="仿宋_GB2312;仿宋" w:hAnsi="Arial" w:cs="Arial"/>
                <w:sz w:val="22"/>
                <w:szCs w:val="16"/>
              </w:rPr>
              <w:t>府前街</w:t>
            </w:r>
            <w:proofErr w:type="gramStart"/>
            <w:r>
              <w:rPr>
                <w:rFonts w:ascii="Arial" w:eastAsia="仿宋_GB2312;仿宋" w:hAnsi="Arial" w:cs="Arial"/>
                <w:sz w:val="22"/>
                <w:szCs w:val="16"/>
              </w:rPr>
              <w:t>站</w:t>
            </w:r>
            <w:bookmarkEnd w:id="58"/>
            <w:r>
              <w:rPr>
                <w:rFonts w:ascii="Arial" w:eastAsia="仿宋_GB2312;仿宋" w:hAnsi="Arial" w:cs="Arial"/>
                <w:sz w:val="22"/>
                <w:szCs w:val="16"/>
              </w:rPr>
              <w:t>土地</w:t>
            </w:r>
            <w:proofErr w:type="gramEnd"/>
            <w:r>
              <w:rPr>
                <w:rFonts w:ascii="Arial" w:eastAsia="仿宋_GB2312;仿宋" w:hAnsi="Arial" w:cs="Arial"/>
                <w:sz w:val="22"/>
                <w:szCs w:val="16"/>
              </w:rPr>
              <w:t>一级开发项目</w:t>
            </w:r>
          </w:p>
        </w:tc>
        <w:tc>
          <w:tcPr>
            <w:tcW w:w="992" w:type="dxa"/>
            <w:tcBorders>
              <w:left w:val="single" w:sz="4" w:space="0" w:color="000000"/>
              <w:bottom w:val="single" w:sz="4" w:space="0" w:color="000000"/>
            </w:tcBorders>
            <w:shd w:val="clear" w:color="auto" w:fill="auto"/>
            <w:vAlign w:val="center"/>
          </w:tcPr>
          <w:p w14:paraId="79419D2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151.51</w:t>
            </w:r>
          </w:p>
        </w:tc>
        <w:tc>
          <w:tcPr>
            <w:tcW w:w="1012" w:type="dxa"/>
            <w:tcBorders>
              <w:left w:val="single" w:sz="4" w:space="0" w:color="000000"/>
              <w:bottom w:val="single" w:sz="4" w:space="0" w:color="000000"/>
            </w:tcBorders>
            <w:shd w:val="clear" w:color="auto" w:fill="auto"/>
            <w:vAlign w:val="center"/>
          </w:tcPr>
          <w:p w14:paraId="6537210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103.45</w:t>
            </w:r>
          </w:p>
        </w:tc>
        <w:tc>
          <w:tcPr>
            <w:tcW w:w="1255" w:type="dxa"/>
            <w:tcBorders>
              <w:left w:val="single" w:sz="4" w:space="0" w:color="000000"/>
              <w:bottom w:val="single" w:sz="4" w:space="0" w:color="000000"/>
            </w:tcBorders>
            <w:shd w:val="clear" w:color="auto" w:fill="auto"/>
            <w:vAlign w:val="center"/>
          </w:tcPr>
          <w:p w14:paraId="0EFC1D5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78200.91</w:t>
            </w:r>
          </w:p>
        </w:tc>
        <w:tc>
          <w:tcPr>
            <w:tcW w:w="1276" w:type="dxa"/>
            <w:tcBorders>
              <w:left w:val="single" w:sz="4" w:space="0" w:color="000000"/>
              <w:bottom w:val="single" w:sz="4" w:space="0" w:color="000000"/>
            </w:tcBorders>
            <w:shd w:val="clear" w:color="auto" w:fill="auto"/>
            <w:vAlign w:val="center"/>
          </w:tcPr>
          <w:p w14:paraId="78FE1A6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971721.1</w:t>
            </w:r>
          </w:p>
        </w:tc>
        <w:tc>
          <w:tcPr>
            <w:tcW w:w="992" w:type="dxa"/>
            <w:tcBorders>
              <w:top w:val="single" w:sz="4" w:space="0" w:color="000000"/>
              <w:left w:val="single" w:sz="4" w:space="0" w:color="000000"/>
              <w:bottom w:val="single" w:sz="4" w:space="0" w:color="000000"/>
            </w:tcBorders>
            <w:shd w:val="clear" w:color="auto" w:fill="auto"/>
            <w:vAlign w:val="center"/>
          </w:tcPr>
          <w:p w14:paraId="474790B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6929.7</w:t>
            </w:r>
          </w:p>
        </w:tc>
        <w:tc>
          <w:tcPr>
            <w:tcW w:w="992" w:type="dxa"/>
            <w:tcBorders>
              <w:top w:val="single" w:sz="4" w:space="0" w:color="000000"/>
              <w:left w:val="single" w:sz="4" w:space="0" w:color="000000"/>
              <w:bottom w:val="single" w:sz="4" w:space="0" w:color="000000"/>
            </w:tcBorders>
            <w:shd w:val="clear" w:color="auto" w:fill="auto"/>
            <w:vAlign w:val="center"/>
          </w:tcPr>
          <w:p w14:paraId="1F86EE2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7125.9</w:t>
            </w:r>
          </w:p>
        </w:tc>
        <w:tc>
          <w:tcPr>
            <w:tcW w:w="851" w:type="dxa"/>
            <w:tcBorders>
              <w:top w:val="single" w:sz="4" w:space="0" w:color="000000"/>
              <w:left w:val="single" w:sz="4" w:space="0" w:color="000000"/>
              <w:bottom w:val="single" w:sz="4" w:space="0" w:color="000000"/>
            </w:tcBorders>
            <w:shd w:val="clear" w:color="auto" w:fill="auto"/>
            <w:vAlign w:val="center"/>
          </w:tcPr>
          <w:p w14:paraId="166C3BA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16%</w:t>
            </w:r>
          </w:p>
        </w:tc>
        <w:tc>
          <w:tcPr>
            <w:tcW w:w="567" w:type="dxa"/>
            <w:tcBorders>
              <w:left w:val="single" w:sz="4" w:space="0" w:color="000000"/>
              <w:bottom w:val="single" w:sz="4" w:space="0" w:color="000000"/>
            </w:tcBorders>
            <w:shd w:val="clear" w:color="auto" w:fill="auto"/>
            <w:vAlign w:val="center"/>
          </w:tcPr>
          <w:p w14:paraId="5139EA9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35EA343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6</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74E12D9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涉及拆迁总量是</w:t>
            </w:r>
            <w:r>
              <w:rPr>
                <w:rFonts w:ascii="Arial" w:eastAsia="仿宋_GB2312;仿宋" w:hAnsi="Arial" w:cs="Arial"/>
                <w:sz w:val="22"/>
                <w:szCs w:val="16"/>
              </w:rPr>
              <w:t>2111</w:t>
            </w:r>
            <w:r>
              <w:rPr>
                <w:rFonts w:ascii="Arial" w:eastAsia="仿宋_GB2312;仿宋" w:hAnsi="Arial" w:cs="Arial"/>
                <w:sz w:val="22"/>
                <w:szCs w:val="16"/>
              </w:rPr>
              <w:t>户，其中集体住宅</w:t>
            </w:r>
            <w:r>
              <w:rPr>
                <w:rFonts w:ascii="Arial" w:eastAsia="仿宋_GB2312;仿宋" w:hAnsi="Arial" w:cs="Arial"/>
                <w:sz w:val="22"/>
                <w:szCs w:val="16"/>
              </w:rPr>
              <w:t>1656</w:t>
            </w:r>
            <w:r>
              <w:rPr>
                <w:rFonts w:ascii="Arial" w:eastAsia="仿宋_GB2312;仿宋" w:hAnsi="Arial" w:cs="Arial"/>
                <w:sz w:val="22"/>
                <w:szCs w:val="16"/>
              </w:rPr>
              <w:t>宗，集体非宅</w:t>
            </w:r>
            <w:r>
              <w:rPr>
                <w:rFonts w:ascii="Arial" w:eastAsia="仿宋_GB2312;仿宋" w:hAnsi="Arial" w:cs="Arial"/>
                <w:sz w:val="22"/>
                <w:szCs w:val="16"/>
              </w:rPr>
              <w:t>61</w:t>
            </w:r>
            <w:r>
              <w:rPr>
                <w:rFonts w:ascii="Arial" w:eastAsia="仿宋_GB2312;仿宋" w:hAnsi="Arial" w:cs="Arial"/>
                <w:sz w:val="22"/>
                <w:szCs w:val="16"/>
              </w:rPr>
              <w:t>户；国有住宅</w:t>
            </w:r>
            <w:r>
              <w:rPr>
                <w:rFonts w:ascii="Arial" w:eastAsia="仿宋_GB2312;仿宋" w:hAnsi="Arial" w:cs="Arial"/>
                <w:sz w:val="22"/>
                <w:szCs w:val="16"/>
              </w:rPr>
              <w:t>367</w:t>
            </w:r>
            <w:r>
              <w:rPr>
                <w:rFonts w:ascii="Arial" w:eastAsia="仿宋_GB2312;仿宋" w:hAnsi="Arial" w:cs="Arial"/>
                <w:sz w:val="22"/>
                <w:szCs w:val="16"/>
              </w:rPr>
              <w:t>户，国有非宅</w:t>
            </w:r>
            <w:r>
              <w:rPr>
                <w:rFonts w:ascii="Arial" w:eastAsia="仿宋_GB2312;仿宋" w:hAnsi="Arial" w:cs="Arial"/>
                <w:sz w:val="22"/>
                <w:szCs w:val="16"/>
              </w:rPr>
              <w:t>27</w:t>
            </w:r>
            <w:r>
              <w:rPr>
                <w:rFonts w:ascii="Arial" w:eastAsia="仿宋_GB2312;仿宋" w:hAnsi="Arial" w:cs="Arial"/>
                <w:sz w:val="22"/>
                <w:szCs w:val="16"/>
              </w:rPr>
              <w:t>户。已完成总拆迁量的</w:t>
            </w:r>
            <w:r>
              <w:rPr>
                <w:rFonts w:ascii="Arial" w:eastAsia="仿宋_GB2312;仿宋" w:hAnsi="Arial" w:cs="Arial"/>
                <w:sz w:val="22"/>
                <w:szCs w:val="16"/>
              </w:rPr>
              <w:t>97%</w:t>
            </w:r>
            <w:r>
              <w:rPr>
                <w:rFonts w:ascii="Arial" w:eastAsia="仿宋_GB2312;仿宋" w:hAnsi="Arial" w:cs="Arial"/>
                <w:sz w:val="22"/>
                <w:szCs w:val="16"/>
              </w:rPr>
              <w:t>。</w:t>
            </w:r>
          </w:p>
        </w:tc>
      </w:tr>
      <w:tr w:rsidR="00E70101" w14:paraId="380F763A" w14:textId="77777777">
        <w:trPr>
          <w:trHeight w:val="270"/>
          <w:jc w:val="center"/>
        </w:trPr>
        <w:tc>
          <w:tcPr>
            <w:tcW w:w="530" w:type="dxa"/>
            <w:tcBorders>
              <w:left w:val="single" w:sz="4" w:space="0" w:color="000000"/>
              <w:bottom w:val="single" w:sz="4" w:space="0" w:color="000000"/>
            </w:tcBorders>
            <w:shd w:val="clear" w:color="auto" w:fill="auto"/>
            <w:vAlign w:val="center"/>
          </w:tcPr>
          <w:p w14:paraId="78E8FBC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w:t>
            </w:r>
          </w:p>
        </w:tc>
        <w:tc>
          <w:tcPr>
            <w:tcW w:w="2698" w:type="dxa"/>
            <w:tcBorders>
              <w:left w:val="single" w:sz="4" w:space="0" w:color="000000"/>
              <w:bottom w:val="single" w:sz="4" w:space="0" w:color="000000"/>
            </w:tcBorders>
            <w:shd w:val="clear" w:color="auto" w:fill="auto"/>
            <w:vAlign w:val="center"/>
          </w:tcPr>
          <w:p w14:paraId="1D10C882" w14:textId="77777777" w:rsidR="00E70101" w:rsidRDefault="0060680B">
            <w:pPr>
              <w:widowControl/>
              <w:spacing w:line="240" w:lineRule="auto"/>
              <w:jc w:val="center"/>
              <w:textAlignment w:val="auto"/>
              <w:rPr>
                <w:rFonts w:ascii="Arial" w:eastAsia="仿宋_GB2312;仿宋" w:hAnsi="Arial" w:cs="Arial"/>
                <w:sz w:val="22"/>
                <w:szCs w:val="16"/>
              </w:rPr>
            </w:pPr>
            <w:bookmarkStart w:id="59" w:name="_Hlk142748226"/>
            <w:r>
              <w:rPr>
                <w:rFonts w:ascii="Arial" w:eastAsia="仿宋_GB2312;仿宋" w:hAnsi="Arial" w:cs="Arial"/>
                <w:sz w:val="22"/>
                <w:szCs w:val="16"/>
              </w:rPr>
              <w:t>顺义区</w:t>
            </w:r>
            <w:r>
              <w:rPr>
                <w:rFonts w:ascii="Arial" w:eastAsia="仿宋_GB2312;仿宋" w:hAnsi="Arial" w:cs="Arial"/>
                <w:sz w:val="22"/>
                <w:szCs w:val="16"/>
              </w:rPr>
              <w:t>M15</w:t>
            </w:r>
            <w:r>
              <w:rPr>
                <w:rFonts w:ascii="Arial" w:eastAsia="仿宋_GB2312;仿宋" w:hAnsi="Arial" w:cs="Arial"/>
                <w:sz w:val="22"/>
                <w:szCs w:val="16"/>
              </w:rPr>
              <w:t>号线后</w:t>
            </w:r>
            <w:proofErr w:type="gramStart"/>
            <w:r>
              <w:rPr>
                <w:rFonts w:ascii="Arial" w:eastAsia="仿宋_GB2312;仿宋" w:hAnsi="Arial" w:cs="Arial"/>
                <w:sz w:val="22"/>
                <w:szCs w:val="16"/>
              </w:rPr>
              <w:t>沙峪站</w:t>
            </w:r>
            <w:proofErr w:type="gramEnd"/>
            <w:r>
              <w:rPr>
                <w:rFonts w:ascii="Arial" w:eastAsia="仿宋_GB2312;仿宋" w:hAnsi="Arial" w:cs="Arial"/>
                <w:sz w:val="22"/>
                <w:szCs w:val="16"/>
              </w:rPr>
              <w:t>ABC</w:t>
            </w:r>
            <w:r>
              <w:rPr>
                <w:rFonts w:ascii="Arial" w:eastAsia="仿宋_GB2312;仿宋" w:hAnsi="Arial" w:cs="Arial"/>
                <w:sz w:val="22"/>
                <w:szCs w:val="16"/>
              </w:rPr>
              <w:t>地块</w:t>
            </w:r>
            <w:bookmarkEnd w:id="59"/>
          </w:p>
        </w:tc>
        <w:tc>
          <w:tcPr>
            <w:tcW w:w="992" w:type="dxa"/>
            <w:tcBorders>
              <w:left w:val="single" w:sz="4" w:space="0" w:color="000000"/>
              <w:bottom w:val="single" w:sz="4" w:space="0" w:color="000000"/>
            </w:tcBorders>
            <w:shd w:val="clear" w:color="auto" w:fill="auto"/>
            <w:vAlign w:val="center"/>
          </w:tcPr>
          <w:p w14:paraId="27E8DF6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84.72</w:t>
            </w:r>
          </w:p>
        </w:tc>
        <w:tc>
          <w:tcPr>
            <w:tcW w:w="1012" w:type="dxa"/>
            <w:tcBorders>
              <w:left w:val="single" w:sz="4" w:space="0" w:color="000000"/>
              <w:bottom w:val="single" w:sz="4" w:space="0" w:color="000000"/>
            </w:tcBorders>
            <w:shd w:val="clear" w:color="auto" w:fill="auto"/>
            <w:vAlign w:val="center"/>
          </w:tcPr>
          <w:p w14:paraId="2BCEFA1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44.73</w:t>
            </w:r>
          </w:p>
        </w:tc>
        <w:tc>
          <w:tcPr>
            <w:tcW w:w="1255" w:type="dxa"/>
            <w:tcBorders>
              <w:left w:val="single" w:sz="4" w:space="0" w:color="000000"/>
              <w:bottom w:val="single" w:sz="4" w:space="0" w:color="000000"/>
            </w:tcBorders>
            <w:shd w:val="clear" w:color="auto" w:fill="auto"/>
            <w:vAlign w:val="center"/>
          </w:tcPr>
          <w:p w14:paraId="3E5BFF8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36436.78</w:t>
            </w:r>
          </w:p>
        </w:tc>
        <w:tc>
          <w:tcPr>
            <w:tcW w:w="1276" w:type="dxa"/>
            <w:tcBorders>
              <w:left w:val="single" w:sz="4" w:space="0" w:color="000000"/>
              <w:bottom w:val="single" w:sz="4" w:space="0" w:color="000000"/>
            </w:tcBorders>
            <w:shd w:val="clear" w:color="auto" w:fill="auto"/>
            <w:vAlign w:val="center"/>
          </w:tcPr>
          <w:p w14:paraId="6A6664A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98258.5</w:t>
            </w:r>
          </w:p>
        </w:tc>
        <w:tc>
          <w:tcPr>
            <w:tcW w:w="992" w:type="dxa"/>
            <w:tcBorders>
              <w:top w:val="single" w:sz="4" w:space="0" w:color="000000"/>
              <w:left w:val="single" w:sz="4" w:space="0" w:color="000000"/>
              <w:bottom w:val="single" w:sz="4" w:space="0" w:color="000000"/>
            </w:tcBorders>
            <w:shd w:val="clear" w:color="auto" w:fill="auto"/>
            <w:vAlign w:val="center"/>
          </w:tcPr>
          <w:p w14:paraId="752F9A7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1589.9</w:t>
            </w:r>
          </w:p>
        </w:tc>
        <w:tc>
          <w:tcPr>
            <w:tcW w:w="992" w:type="dxa"/>
            <w:tcBorders>
              <w:top w:val="single" w:sz="4" w:space="0" w:color="000000"/>
              <w:left w:val="single" w:sz="4" w:space="0" w:color="000000"/>
              <w:bottom w:val="single" w:sz="4" w:space="0" w:color="000000"/>
            </w:tcBorders>
            <w:shd w:val="clear" w:color="auto" w:fill="auto"/>
            <w:vAlign w:val="center"/>
          </w:tcPr>
          <w:p w14:paraId="3E453AC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1608.1</w:t>
            </w:r>
          </w:p>
        </w:tc>
        <w:tc>
          <w:tcPr>
            <w:tcW w:w="851" w:type="dxa"/>
            <w:tcBorders>
              <w:top w:val="single" w:sz="4" w:space="0" w:color="000000"/>
              <w:left w:val="single" w:sz="4" w:space="0" w:color="000000"/>
              <w:bottom w:val="single" w:sz="4" w:space="0" w:color="000000"/>
            </w:tcBorders>
            <w:shd w:val="clear" w:color="auto" w:fill="auto"/>
            <w:vAlign w:val="center"/>
          </w:tcPr>
          <w:p w14:paraId="00ED51E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18%</w:t>
            </w:r>
          </w:p>
        </w:tc>
        <w:tc>
          <w:tcPr>
            <w:tcW w:w="567" w:type="dxa"/>
            <w:tcBorders>
              <w:left w:val="single" w:sz="4" w:space="0" w:color="000000"/>
              <w:bottom w:val="single" w:sz="4" w:space="0" w:color="000000"/>
            </w:tcBorders>
            <w:shd w:val="clear" w:color="auto" w:fill="auto"/>
            <w:vAlign w:val="center"/>
          </w:tcPr>
          <w:p w14:paraId="2B6B70F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53DA9FF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2023</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05375DA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拆迁总量</w:t>
            </w:r>
            <w:r>
              <w:rPr>
                <w:rFonts w:ascii="Arial" w:eastAsia="仿宋_GB2312;仿宋" w:hAnsi="Arial" w:cs="Arial"/>
                <w:sz w:val="22"/>
                <w:szCs w:val="16"/>
              </w:rPr>
              <w:t>389</w:t>
            </w:r>
            <w:r>
              <w:rPr>
                <w:rFonts w:ascii="Arial" w:eastAsia="仿宋_GB2312;仿宋" w:hAnsi="Arial" w:cs="Arial"/>
                <w:sz w:val="22"/>
                <w:szCs w:val="16"/>
              </w:rPr>
              <w:t>户，其中宅基地</w:t>
            </w:r>
            <w:r>
              <w:rPr>
                <w:rFonts w:ascii="Arial" w:eastAsia="仿宋_GB2312;仿宋" w:hAnsi="Arial" w:cs="Arial"/>
                <w:sz w:val="22"/>
                <w:szCs w:val="16"/>
              </w:rPr>
              <w:t>341</w:t>
            </w:r>
            <w:r>
              <w:rPr>
                <w:rFonts w:ascii="Arial" w:eastAsia="仿宋_GB2312;仿宋" w:hAnsi="Arial" w:cs="Arial"/>
                <w:sz w:val="22"/>
                <w:szCs w:val="16"/>
              </w:rPr>
              <w:t>宗，集体</w:t>
            </w:r>
            <w:r>
              <w:rPr>
                <w:rFonts w:ascii="Arial" w:eastAsia="仿宋_GB2312;仿宋" w:hAnsi="Arial" w:cs="Arial"/>
                <w:sz w:val="22"/>
                <w:szCs w:val="16"/>
              </w:rPr>
              <w:t>45</w:t>
            </w:r>
            <w:r>
              <w:rPr>
                <w:rFonts w:ascii="Arial" w:eastAsia="仿宋_GB2312;仿宋" w:hAnsi="Arial" w:cs="Arial"/>
                <w:sz w:val="22"/>
                <w:szCs w:val="16"/>
              </w:rPr>
              <w:t>户，国有</w:t>
            </w:r>
            <w:r>
              <w:rPr>
                <w:rFonts w:ascii="Arial" w:eastAsia="仿宋_GB2312;仿宋" w:hAnsi="Arial" w:cs="Arial"/>
                <w:sz w:val="22"/>
                <w:szCs w:val="16"/>
              </w:rPr>
              <w:t>3</w:t>
            </w:r>
            <w:r>
              <w:rPr>
                <w:rFonts w:ascii="Arial" w:eastAsia="仿宋_GB2312;仿宋" w:hAnsi="Arial" w:cs="Arial"/>
                <w:sz w:val="22"/>
                <w:szCs w:val="16"/>
              </w:rPr>
              <w:t>户。</w:t>
            </w:r>
          </w:p>
        </w:tc>
      </w:tr>
      <w:tr w:rsidR="00E70101" w14:paraId="57E27A3F" w14:textId="77777777">
        <w:trPr>
          <w:trHeight w:val="270"/>
          <w:jc w:val="center"/>
        </w:trPr>
        <w:tc>
          <w:tcPr>
            <w:tcW w:w="530" w:type="dxa"/>
            <w:tcBorders>
              <w:top w:val="single" w:sz="4" w:space="0" w:color="000000"/>
              <w:left w:val="single" w:sz="4" w:space="0" w:color="000000"/>
              <w:bottom w:val="single" w:sz="4" w:space="0" w:color="000000"/>
            </w:tcBorders>
            <w:shd w:val="clear" w:color="auto" w:fill="auto"/>
            <w:vAlign w:val="center"/>
          </w:tcPr>
          <w:p w14:paraId="4437644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w:t>
            </w:r>
          </w:p>
        </w:tc>
        <w:tc>
          <w:tcPr>
            <w:tcW w:w="2698" w:type="dxa"/>
            <w:tcBorders>
              <w:top w:val="single" w:sz="4" w:space="0" w:color="000000"/>
              <w:left w:val="single" w:sz="4" w:space="0" w:color="000000"/>
              <w:bottom w:val="single" w:sz="4" w:space="0" w:color="000000"/>
            </w:tcBorders>
            <w:shd w:val="clear" w:color="auto" w:fill="auto"/>
            <w:vAlign w:val="center"/>
          </w:tcPr>
          <w:p w14:paraId="1C0E4C56" w14:textId="77777777" w:rsidR="00E70101" w:rsidRDefault="0060680B">
            <w:pPr>
              <w:widowControl/>
              <w:spacing w:line="240" w:lineRule="auto"/>
              <w:jc w:val="center"/>
              <w:textAlignment w:val="auto"/>
              <w:rPr>
                <w:rFonts w:ascii="Arial" w:eastAsia="仿宋_GB2312;仿宋" w:hAnsi="Arial" w:cs="Arial"/>
                <w:sz w:val="22"/>
                <w:szCs w:val="16"/>
              </w:rPr>
            </w:pPr>
            <w:bookmarkStart w:id="60" w:name="_Hlk142748346"/>
            <w:r>
              <w:rPr>
                <w:rFonts w:ascii="Arial" w:eastAsia="仿宋_GB2312;仿宋" w:hAnsi="Arial" w:cs="Arial"/>
                <w:sz w:val="22"/>
                <w:szCs w:val="16"/>
              </w:rPr>
              <w:t>顺义区后沙峪镇后沙峪村</w:t>
            </w:r>
            <w:r>
              <w:rPr>
                <w:rFonts w:ascii="Arial" w:eastAsia="仿宋_GB2312;仿宋" w:hAnsi="Arial" w:cs="Arial"/>
                <w:sz w:val="22"/>
                <w:szCs w:val="16"/>
              </w:rPr>
              <w:t>A</w:t>
            </w:r>
            <w:r>
              <w:rPr>
                <w:rFonts w:ascii="Arial" w:eastAsia="仿宋_GB2312;仿宋" w:hAnsi="Arial" w:cs="Arial"/>
                <w:sz w:val="22"/>
                <w:szCs w:val="16"/>
              </w:rPr>
              <w:t>地块</w:t>
            </w:r>
            <w:bookmarkEnd w:id="60"/>
          </w:p>
        </w:tc>
        <w:tc>
          <w:tcPr>
            <w:tcW w:w="992" w:type="dxa"/>
            <w:tcBorders>
              <w:top w:val="single" w:sz="4" w:space="0" w:color="000000"/>
              <w:left w:val="single" w:sz="4" w:space="0" w:color="000000"/>
              <w:bottom w:val="single" w:sz="4" w:space="0" w:color="000000"/>
            </w:tcBorders>
            <w:shd w:val="clear" w:color="auto" w:fill="auto"/>
            <w:vAlign w:val="center"/>
          </w:tcPr>
          <w:p w14:paraId="6B934B9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29.09</w:t>
            </w:r>
          </w:p>
        </w:tc>
        <w:tc>
          <w:tcPr>
            <w:tcW w:w="1012" w:type="dxa"/>
            <w:tcBorders>
              <w:top w:val="single" w:sz="4" w:space="0" w:color="000000"/>
              <w:left w:val="single" w:sz="4" w:space="0" w:color="000000"/>
              <w:bottom w:val="single" w:sz="4" w:space="0" w:color="000000"/>
            </w:tcBorders>
            <w:shd w:val="clear" w:color="auto" w:fill="auto"/>
            <w:vAlign w:val="center"/>
          </w:tcPr>
          <w:p w14:paraId="0CC7E39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21.8193</w:t>
            </w:r>
          </w:p>
        </w:tc>
        <w:tc>
          <w:tcPr>
            <w:tcW w:w="1255" w:type="dxa"/>
            <w:tcBorders>
              <w:top w:val="single" w:sz="4" w:space="0" w:color="000000"/>
              <w:left w:val="single" w:sz="4" w:space="0" w:color="000000"/>
              <w:bottom w:val="single" w:sz="4" w:space="0" w:color="000000"/>
            </w:tcBorders>
            <w:shd w:val="clear" w:color="auto" w:fill="auto"/>
            <w:vAlign w:val="center"/>
          </w:tcPr>
          <w:p w14:paraId="6B728B3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12773.36</w:t>
            </w:r>
          </w:p>
        </w:tc>
        <w:tc>
          <w:tcPr>
            <w:tcW w:w="1276" w:type="dxa"/>
            <w:tcBorders>
              <w:top w:val="single" w:sz="4" w:space="0" w:color="000000"/>
              <w:left w:val="single" w:sz="4" w:space="0" w:color="000000"/>
              <w:bottom w:val="single" w:sz="4" w:space="0" w:color="000000"/>
            </w:tcBorders>
            <w:shd w:val="clear" w:color="auto" w:fill="auto"/>
            <w:vAlign w:val="center"/>
          </w:tcPr>
          <w:p w14:paraId="2452BC4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207435.6</w:t>
            </w:r>
          </w:p>
        </w:tc>
        <w:tc>
          <w:tcPr>
            <w:tcW w:w="992" w:type="dxa"/>
            <w:tcBorders>
              <w:top w:val="single" w:sz="4" w:space="0" w:color="000000"/>
              <w:left w:val="single" w:sz="4" w:space="0" w:color="000000"/>
              <w:bottom w:val="single" w:sz="4" w:space="0" w:color="000000"/>
            </w:tcBorders>
            <w:shd w:val="clear" w:color="auto" w:fill="auto"/>
            <w:vAlign w:val="center"/>
          </w:tcPr>
          <w:p w14:paraId="150CE15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7569.9</w:t>
            </w:r>
          </w:p>
        </w:tc>
        <w:tc>
          <w:tcPr>
            <w:tcW w:w="992" w:type="dxa"/>
            <w:tcBorders>
              <w:top w:val="single" w:sz="4" w:space="0" w:color="000000"/>
              <w:left w:val="single" w:sz="4" w:space="0" w:color="000000"/>
              <w:bottom w:val="single" w:sz="4" w:space="0" w:color="000000"/>
            </w:tcBorders>
            <w:shd w:val="clear" w:color="auto" w:fill="auto"/>
            <w:vAlign w:val="center"/>
          </w:tcPr>
          <w:p w14:paraId="2A2E2E6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7656.4</w:t>
            </w:r>
          </w:p>
        </w:tc>
        <w:tc>
          <w:tcPr>
            <w:tcW w:w="851" w:type="dxa"/>
            <w:tcBorders>
              <w:top w:val="single" w:sz="4" w:space="0" w:color="000000"/>
              <w:left w:val="single" w:sz="4" w:space="0" w:color="000000"/>
              <w:bottom w:val="single" w:sz="4" w:space="0" w:color="000000"/>
            </w:tcBorders>
            <w:shd w:val="clear" w:color="auto" w:fill="auto"/>
            <w:vAlign w:val="center"/>
          </w:tcPr>
          <w:p w14:paraId="48B8320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17%</w:t>
            </w:r>
          </w:p>
        </w:tc>
        <w:tc>
          <w:tcPr>
            <w:tcW w:w="567" w:type="dxa"/>
            <w:tcBorders>
              <w:top w:val="single" w:sz="4" w:space="0" w:color="000000"/>
              <w:left w:val="single" w:sz="4" w:space="0" w:color="000000"/>
              <w:bottom w:val="single" w:sz="4" w:space="0" w:color="000000"/>
            </w:tcBorders>
            <w:shd w:val="clear" w:color="auto" w:fill="auto"/>
            <w:vAlign w:val="center"/>
          </w:tcPr>
          <w:p w14:paraId="5D63873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top w:val="single" w:sz="4" w:space="0" w:color="000000"/>
              <w:left w:val="single" w:sz="4" w:space="0" w:color="000000"/>
              <w:bottom w:val="single" w:sz="4" w:space="0" w:color="000000"/>
            </w:tcBorders>
            <w:shd w:val="clear" w:color="auto" w:fill="auto"/>
            <w:vAlign w:val="center"/>
          </w:tcPr>
          <w:p w14:paraId="4E461E1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2023</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C660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w:t>
            </w:r>
            <w:r>
              <w:rPr>
                <w:rFonts w:ascii="Arial" w:eastAsia="仿宋_GB2312;仿宋" w:hAnsi="Arial" w:cs="Arial"/>
                <w:sz w:val="22"/>
                <w:szCs w:val="16"/>
              </w:rPr>
              <w:t>270</w:t>
            </w:r>
            <w:r>
              <w:rPr>
                <w:rFonts w:ascii="Arial" w:eastAsia="仿宋_GB2312;仿宋" w:hAnsi="Arial" w:cs="Arial"/>
                <w:sz w:val="22"/>
                <w:szCs w:val="16"/>
              </w:rPr>
              <w:t>宗宅基地补偿协议、</w:t>
            </w:r>
            <w:r>
              <w:rPr>
                <w:rFonts w:ascii="Arial" w:eastAsia="仿宋_GB2312;仿宋" w:hAnsi="Arial" w:cs="Arial"/>
                <w:sz w:val="22"/>
                <w:szCs w:val="16"/>
              </w:rPr>
              <w:t>16</w:t>
            </w:r>
            <w:r>
              <w:rPr>
                <w:rFonts w:ascii="Arial" w:eastAsia="仿宋_GB2312;仿宋" w:hAnsi="Arial" w:cs="Arial"/>
                <w:sz w:val="22"/>
                <w:szCs w:val="16"/>
              </w:rPr>
              <w:t>家集体非住宅补偿协议。</w:t>
            </w:r>
          </w:p>
        </w:tc>
      </w:tr>
      <w:tr w:rsidR="00E70101" w14:paraId="05A2B3EE" w14:textId="77777777">
        <w:trPr>
          <w:trHeight w:val="270"/>
          <w:jc w:val="center"/>
        </w:trPr>
        <w:tc>
          <w:tcPr>
            <w:tcW w:w="530" w:type="dxa"/>
            <w:tcBorders>
              <w:left w:val="single" w:sz="4" w:space="0" w:color="000000"/>
              <w:bottom w:val="single" w:sz="4" w:space="0" w:color="000000"/>
            </w:tcBorders>
            <w:shd w:val="clear" w:color="auto" w:fill="auto"/>
            <w:vAlign w:val="center"/>
          </w:tcPr>
          <w:p w14:paraId="2678B82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w:t>
            </w:r>
          </w:p>
        </w:tc>
        <w:tc>
          <w:tcPr>
            <w:tcW w:w="2698" w:type="dxa"/>
            <w:tcBorders>
              <w:left w:val="single" w:sz="4" w:space="0" w:color="000000"/>
              <w:bottom w:val="single" w:sz="4" w:space="0" w:color="000000"/>
            </w:tcBorders>
            <w:shd w:val="clear" w:color="auto" w:fill="auto"/>
            <w:vAlign w:val="center"/>
          </w:tcPr>
          <w:p w14:paraId="003D6DEA" w14:textId="77777777" w:rsidR="00E70101" w:rsidRDefault="0060680B">
            <w:pPr>
              <w:widowControl/>
              <w:spacing w:line="240" w:lineRule="auto"/>
              <w:jc w:val="center"/>
              <w:textAlignment w:val="auto"/>
            </w:pPr>
            <w:r>
              <w:rPr>
                <w:rFonts w:ascii="Arial" w:eastAsia="仿宋_GB2312;仿宋" w:hAnsi="Arial" w:cs="Arial"/>
                <w:sz w:val="22"/>
                <w:szCs w:val="16"/>
              </w:rPr>
              <w:t>顺义区中关村临空国际高新技术产业基地工业用地</w:t>
            </w:r>
          </w:p>
        </w:tc>
        <w:tc>
          <w:tcPr>
            <w:tcW w:w="992" w:type="dxa"/>
            <w:tcBorders>
              <w:left w:val="single" w:sz="4" w:space="0" w:color="000000"/>
              <w:bottom w:val="single" w:sz="4" w:space="0" w:color="000000"/>
            </w:tcBorders>
            <w:shd w:val="clear" w:color="auto" w:fill="auto"/>
            <w:vAlign w:val="center"/>
          </w:tcPr>
          <w:p w14:paraId="4FAE50E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113.57</w:t>
            </w:r>
          </w:p>
        </w:tc>
        <w:tc>
          <w:tcPr>
            <w:tcW w:w="1012" w:type="dxa"/>
            <w:tcBorders>
              <w:left w:val="single" w:sz="4" w:space="0" w:color="000000"/>
              <w:bottom w:val="single" w:sz="4" w:space="0" w:color="000000"/>
            </w:tcBorders>
            <w:shd w:val="clear" w:color="auto" w:fill="auto"/>
            <w:vAlign w:val="center"/>
          </w:tcPr>
          <w:p w14:paraId="6D62457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83.53</w:t>
            </w:r>
          </w:p>
        </w:tc>
        <w:tc>
          <w:tcPr>
            <w:tcW w:w="1255" w:type="dxa"/>
            <w:tcBorders>
              <w:left w:val="single" w:sz="4" w:space="0" w:color="000000"/>
              <w:bottom w:val="single" w:sz="4" w:space="0" w:color="000000"/>
            </w:tcBorders>
            <w:shd w:val="clear" w:color="auto" w:fill="auto"/>
            <w:vAlign w:val="center"/>
          </w:tcPr>
          <w:p w14:paraId="6E0F0FF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23802.01</w:t>
            </w:r>
          </w:p>
        </w:tc>
        <w:tc>
          <w:tcPr>
            <w:tcW w:w="1276" w:type="dxa"/>
            <w:tcBorders>
              <w:left w:val="single" w:sz="4" w:space="0" w:color="000000"/>
              <w:bottom w:val="single" w:sz="4" w:space="0" w:color="000000"/>
            </w:tcBorders>
            <w:shd w:val="clear" w:color="auto" w:fill="auto"/>
            <w:vAlign w:val="center"/>
          </w:tcPr>
          <w:p w14:paraId="52E5343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50480.46</w:t>
            </w:r>
          </w:p>
        </w:tc>
        <w:tc>
          <w:tcPr>
            <w:tcW w:w="992" w:type="dxa"/>
            <w:tcBorders>
              <w:top w:val="single" w:sz="4" w:space="0" w:color="000000"/>
              <w:left w:val="single" w:sz="4" w:space="0" w:color="000000"/>
              <w:bottom w:val="single" w:sz="4" w:space="0" w:color="000000"/>
            </w:tcBorders>
            <w:shd w:val="clear" w:color="auto" w:fill="auto"/>
            <w:vAlign w:val="center"/>
          </w:tcPr>
          <w:p w14:paraId="3E1079E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654.1</w:t>
            </w:r>
          </w:p>
        </w:tc>
        <w:tc>
          <w:tcPr>
            <w:tcW w:w="992" w:type="dxa"/>
            <w:tcBorders>
              <w:top w:val="single" w:sz="4" w:space="0" w:color="000000"/>
              <w:left w:val="single" w:sz="4" w:space="0" w:color="000000"/>
              <w:bottom w:val="single" w:sz="4" w:space="0" w:color="000000"/>
            </w:tcBorders>
            <w:shd w:val="clear" w:color="auto" w:fill="auto"/>
            <w:vAlign w:val="center"/>
          </w:tcPr>
          <w:p w14:paraId="1921193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679.9</w:t>
            </w:r>
          </w:p>
        </w:tc>
        <w:tc>
          <w:tcPr>
            <w:tcW w:w="851" w:type="dxa"/>
            <w:tcBorders>
              <w:top w:val="single" w:sz="4" w:space="0" w:color="000000"/>
              <w:left w:val="single" w:sz="4" w:space="0" w:color="000000"/>
              <w:bottom w:val="single" w:sz="4" w:space="0" w:color="000000"/>
            </w:tcBorders>
            <w:shd w:val="clear" w:color="auto" w:fill="auto"/>
            <w:vAlign w:val="center"/>
          </w:tcPr>
          <w:p w14:paraId="25D1105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13%</w:t>
            </w:r>
          </w:p>
        </w:tc>
        <w:tc>
          <w:tcPr>
            <w:tcW w:w="567" w:type="dxa"/>
            <w:tcBorders>
              <w:left w:val="single" w:sz="4" w:space="0" w:color="000000"/>
              <w:bottom w:val="single" w:sz="4" w:space="0" w:color="000000"/>
            </w:tcBorders>
            <w:shd w:val="clear" w:color="auto" w:fill="auto"/>
            <w:vAlign w:val="center"/>
          </w:tcPr>
          <w:p w14:paraId="606CF71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4F50994E"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62161EA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涉及拆迁总量是</w:t>
            </w:r>
            <w:r>
              <w:rPr>
                <w:rFonts w:ascii="Arial" w:eastAsia="仿宋_GB2312;仿宋" w:hAnsi="Arial" w:cs="Arial"/>
                <w:sz w:val="22"/>
                <w:szCs w:val="16"/>
              </w:rPr>
              <w:t>2</w:t>
            </w:r>
            <w:r>
              <w:rPr>
                <w:rFonts w:ascii="Arial" w:eastAsia="仿宋_GB2312;仿宋" w:hAnsi="Arial" w:cs="Arial"/>
                <w:sz w:val="22"/>
                <w:szCs w:val="16"/>
              </w:rPr>
              <w:t>户（北京市良种繁殖场、北京市良种繁殖场文化营村经济合作社）。</w:t>
            </w:r>
          </w:p>
        </w:tc>
      </w:tr>
      <w:tr w:rsidR="00E70101" w14:paraId="34E162D4" w14:textId="77777777">
        <w:trPr>
          <w:trHeight w:val="270"/>
          <w:jc w:val="center"/>
        </w:trPr>
        <w:tc>
          <w:tcPr>
            <w:tcW w:w="530" w:type="dxa"/>
            <w:tcBorders>
              <w:left w:val="single" w:sz="4" w:space="0" w:color="000000"/>
              <w:bottom w:val="single" w:sz="4" w:space="0" w:color="000000"/>
            </w:tcBorders>
            <w:shd w:val="clear" w:color="auto" w:fill="auto"/>
            <w:vAlign w:val="center"/>
          </w:tcPr>
          <w:p w14:paraId="4DDD5AF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w:t>
            </w:r>
          </w:p>
        </w:tc>
        <w:tc>
          <w:tcPr>
            <w:tcW w:w="2698" w:type="dxa"/>
            <w:tcBorders>
              <w:left w:val="single" w:sz="4" w:space="0" w:color="000000"/>
              <w:bottom w:val="single" w:sz="4" w:space="0" w:color="000000"/>
            </w:tcBorders>
            <w:shd w:val="clear" w:color="auto" w:fill="auto"/>
            <w:vAlign w:val="center"/>
          </w:tcPr>
          <w:p w14:paraId="3FF7CE0F" w14:textId="77777777" w:rsidR="00E70101" w:rsidRDefault="0060680B">
            <w:pPr>
              <w:widowControl/>
              <w:spacing w:line="240" w:lineRule="auto"/>
              <w:jc w:val="center"/>
              <w:textAlignment w:val="auto"/>
            </w:pPr>
            <w:r>
              <w:rPr>
                <w:rFonts w:ascii="Arial" w:eastAsia="仿宋_GB2312;仿宋" w:hAnsi="Arial" w:cs="Arial"/>
                <w:sz w:val="22"/>
                <w:szCs w:val="16"/>
              </w:rPr>
              <w:t>顺义区北京市顺义区空港木林高端制造业基地一期工业用地项目</w:t>
            </w:r>
          </w:p>
        </w:tc>
        <w:tc>
          <w:tcPr>
            <w:tcW w:w="992" w:type="dxa"/>
            <w:tcBorders>
              <w:left w:val="single" w:sz="4" w:space="0" w:color="000000"/>
              <w:bottom w:val="single" w:sz="4" w:space="0" w:color="000000"/>
            </w:tcBorders>
            <w:shd w:val="clear" w:color="auto" w:fill="auto"/>
            <w:vAlign w:val="center"/>
          </w:tcPr>
          <w:p w14:paraId="20A8F9D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17.36</w:t>
            </w:r>
          </w:p>
        </w:tc>
        <w:tc>
          <w:tcPr>
            <w:tcW w:w="1012" w:type="dxa"/>
            <w:tcBorders>
              <w:left w:val="single" w:sz="4" w:space="0" w:color="000000"/>
              <w:bottom w:val="single" w:sz="4" w:space="0" w:color="000000"/>
            </w:tcBorders>
            <w:shd w:val="clear" w:color="auto" w:fill="auto"/>
            <w:vAlign w:val="center"/>
          </w:tcPr>
          <w:p w14:paraId="0D86095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13.09</w:t>
            </w:r>
          </w:p>
        </w:tc>
        <w:tc>
          <w:tcPr>
            <w:tcW w:w="1255" w:type="dxa"/>
            <w:tcBorders>
              <w:left w:val="single" w:sz="4" w:space="0" w:color="000000"/>
              <w:bottom w:val="single" w:sz="4" w:space="0" w:color="000000"/>
            </w:tcBorders>
            <w:shd w:val="clear" w:color="auto" w:fill="auto"/>
            <w:vAlign w:val="center"/>
          </w:tcPr>
          <w:p w14:paraId="6A20628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3173.01</w:t>
            </w:r>
          </w:p>
        </w:tc>
        <w:tc>
          <w:tcPr>
            <w:tcW w:w="1276" w:type="dxa"/>
            <w:tcBorders>
              <w:left w:val="single" w:sz="4" w:space="0" w:color="000000"/>
              <w:bottom w:val="single" w:sz="4" w:space="0" w:color="000000"/>
            </w:tcBorders>
            <w:shd w:val="clear" w:color="auto" w:fill="auto"/>
            <w:vAlign w:val="center"/>
          </w:tcPr>
          <w:p w14:paraId="7771E4A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644.98</w:t>
            </w:r>
          </w:p>
        </w:tc>
        <w:tc>
          <w:tcPr>
            <w:tcW w:w="992" w:type="dxa"/>
            <w:tcBorders>
              <w:top w:val="single" w:sz="4" w:space="0" w:color="000000"/>
              <w:left w:val="single" w:sz="4" w:space="0" w:color="000000"/>
              <w:bottom w:val="single" w:sz="4" w:space="0" w:color="000000"/>
            </w:tcBorders>
            <w:shd w:val="clear" w:color="auto" w:fill="auto"/>
            <w:vAlign w:val="center"/>
          </w:tcPr>
          <w:p w14:paraId="675D0F2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219.9</w:t>
            </w:r>
          </w:p>
        </w:tc>
        <w:tc>
          <w:tcPr>
            <w:tcW w:w="992" w:type="dxa"/>
            <w:tcBorders>
              <w:top w:val="single" w:sz="4" w:space="0" w:color="000000"/>
              <w:left w:val="single" w:sz="4" w:space="0" w:color="000000"/>
              <w:bottom w:val="single" w:sz="4" w:space="0" w:color="000000"/>
            </w:tcBorders>
            <w:shd w:val="clear" w:color="auto" w:fill="auto"/>
            <w:vAlign w:val="center"/>
          </w:tcPr>
          <w:p w14:paraId="781AAE5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228.6</w:t>
            </w:r>
          </w:p>
        </w:tc>
        <w:tc>
          <w:tcPr>
            <w:tcW w:w="851" w:type="dxa"/>
            <w:tcBorders>
              <w:top w:val="single" w:sz="4" w:space="0" w:color="000000"/>
              <w:left w:val="single" w:sz="4" w:space="0" w:color="000000"/>
              <w:bottom w:val="single" w:sz="4" w:space="0" w:color="000000"/>
            </w:tcBorders>
            <w:shd w:val="clear" w:color="auto" w:fill="auto"/>
            <w:vAlign w:val="center"/>
          </w:tcPr>
          <w:p w14:paraId="329E5C4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23%</w:t>
            </w:r>
          </w:p>
        </w:tc>
        <w:tc>
          <w:tcPr>
            <w:tcW w:w="567" w:type="dxa"/>
            <w:tcBorders>
              <w:left w:val="single" w:sz="4" w:space="0" w:color="000000"/>
              <w:bottom w:val="single" w:sz="4" w:space="0" w:color="000000"/>
            </w:tcBorders>
            <w:shd w:val="clear" w:color="auto" w:fill="auto"/>
            <w:vAlign w:val="center"/>
          </w:tcPr>
          <w:p w14:paraId="0045E2C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141A033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1</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44F98EA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涉及拆迁项目包括：</w:t>
            </w:r>
            <w:r>
              <w:rPr>
                <w:rFonts w:ascii="Arial" w:eastAsia="仿宋_GB2312;仿宋" w:hAnsi="Arial" w:cs="Arial"/>
                <w:sz w:val="22"/>
                <w:szCs w:val="16"/>
              </w:rPr>
              <w:t>10KV</w:t>
            </w:r>
            <w:proofErr w:type="gramStart"/>
            <w:r>
              <w:rPr>
                <w:rFonts w:ascii="Arial" w:eastAsia="仿宋_GB2312;仿宋" w:hAnsi="Arial" w:cs="Arial"/>
                <w:sz w:val="22"/>
                <w:szCs w:val="16"/>
              </w:rPr>
              <w:t>线路切改工程</w:t>
            </w:r>
            <w:proofErr w:type="gramEnd"/>
            <w:r>
              <w:rPr>
                <w:rFonts w:ascii="Arial" w:eastAsia="仿宋_GB2312;仿宋" w:hAnsi="Arial" w:cs="Arial"/>
                <w:sz w:val="22"/>
                <w:szCs w:val="16"/>
              </w:rPr>
              <w:t>、</w:t>
            </w:r>
            <w:r>
              <w:rPr>
                <w:rFonts w:ascii="Arial" w:eastAsia="仿宋_GB2312;仿宋" w:hAnsi="Arial" w:cs="Arial"/>
                <w:sz w:val="22"/>
                <w:szCs w:val="16"/>
              </w:rPr>
              <w:t>630KVA</w:t>
            </w:r>
            <w:r>
              <w:rPr>
                <w:rFonts w:ascii="Arial" w:eastAsia="仿宋_GB2312;仿宋" w:hAnsi="Arial" w:cs="Arial"/>
                <w:sz w:val="22"/>
                <w:szCs w:val="16"/>
              </w:rPr>
              <w:t>箱边迁改工程、歌华有线迁改工程以及林木补偿。</w:t>
            </w:r>
          </w:p>
        </w:tc>
      </w:tr>
      <w:tr w:rsidR="00E70101" w14:paraId="60A8AD0A" w14:textId="77777777">
        <w:trPr>
          <w:trHeight w:val="270"/>
          <w:jc w:val="center"/>
        </w:trPr>
        <w:tc>
          <w:tcPr>
            <w:tcW w:w="530" w:type="dxa"/>
            <w:tcBorders>
              <w:left w:val="single" w:sz="4" w:space="0" w:color="000000"/>
              <w:bottom w:val="single" w:sz="4" w:space="0" w:color="000000"/>
            </w:tcBorders>
            <w:shd w:val="clear" w:color="auto" w:fill="auto"/>
            <w:vAlign w:val="center"/>
          </w:tcPr>
          <w:p w14:paraId="45992EB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8</w:t>
            </w:r>
          </w:p>
        </w:tc>
        <w:tc>
          <w:tcPr>
            <w:tcW w:w="2698" w:type="dxa"/>
            <w:tcBorders>
              <w:left w:val="single" w:sz="4" w:space="0" w:color="000000"/>
              <w:bottom w:val="single" w:sz="4" w:space="0" w:color="000000"/>
            </w:tcBorders>
            <w:shd w:val="clear" w:color="auto" w:fill="auto"/>
            <w:vAlign w:val="center"/>
          </w:tcPr>
          <w:p w14:paraId="20A2ECB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顺义新城</w:t>
            </w:r>
            <w:r>
              <w:rPr>
                <w:rFonts w:ascii="Arial" w:eastAsia="仿宋_GB2312;仿宋" w:hAnsi="Arial" w:cs="Arial"/>
                <w:sz w:val="22"/>
                <w:szCs w:val="16"/>
              </w:rPr>
              <w:t>30</w:t>
            </w:r>
            <w:r>
              <w:rPr>
                <w:rFonts w:ascii="Arial" w:eastAsia="仿宋_GB2312;仿宋" w:hAnsi="Arial" w:cs="Arial"/>
                <w:sz w:val="22"/>
                <w:szCs w:val="16"/>
              </w:rPr>
              <w:t>街区</w:t>
            </w:r>
            <w:proofErr w:type="gramStart"/>
            <w:r>
              <w:rPr>
                <w:rFonts w:ascii="Arial" w:eastAsia="仿宋_GB2312;仿宋" w:hAnsi="Arial" w:cs="Arial"/>
                <w:sz w:val="22"/>
                <w:szCs w:val="16"/>
              </w:rPr>
              <w:t>控规范围</w:t>
            </w:r>
            <w:proofErr w:type="gramEnd"/>
            <w:r>
              <w:rPr>
                <w:rFonts w:ascii="Arial" w:eastAsia="仿宋_GB2312;仿宋" w:hAnsi="Arial" w:cs="Arial"/>
                <w:sz w:val="22"/>
                <w:szCs w:val="16"/>
              </w:rPr>
              <w:t>内剩余工业用地土地一级开发项目（</w:t>
            </w:r>
            <w:r>
              <w:rPr>
                <w:rFonts w:ascii="Arial" w:eastAsia="仿宋_GB2312;仿宋" w:hAnsi="Arial" w:cs="Arial"/>
                <w:sz w:val="22"/>
                <w:szCs w:val="16"/>
              </w:rPr>
              <w:t>30-27-02</w:t>
            </w:r>
            <w:r>
              <w:rPr>
                <w:rFonts w:ascii="Arial" w:eastAsia="仿宋_GB2312;仿宋" w:hAnsi="Arial" w:cs="Arial"/>
                <w:sz w:val="22"/>
                <w:szCs w:val="16"/>
              </w:rPr>
              <w:t>地块）</w:t>
            </w:r>
          </w:p>
        </w:tc>
        <w:tc>
          <w:tcPr>
            <w:tcW w:w="992" w:type="dxa"/>
            <w:tcBorders>
              <w:left w:val="single" w:sz="4" w:space="0" w:color="000000"/>
              <w:bottom w:val="single" w:sz="4" w:space="0" w:color="000000"/>
            </w:tcBorders>
            <w:shd w:val="clear" w:color="auto" w:fill="auto"/>
            <w:vAlign w:val="center"/>
          </w:tcPr>
          <w:p w14:paraId="255F089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56.75</w:t>
            </w:r>
          </w:p>
        </w:tc>
        <w:tc>
          <w:tcPr>
            <w:tcW w:w="1012" w:type="dxa"/>
            <w:tcBorders>
              <w:left w:val="single" w:sz="4" w:space="0" w:color="000000"/>
              <w:bottom w:val="single" w:sz="4" w:space="0" w:color="000000"/>
            </w:tcBorders>
            <w:shd w:val="clear" w:color="auto" w:fill="auto"/>
            <w:vAlign w:val="center"/>
          </w:tcPr>
          <w:p w14:paraId="49D9248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38.92</w:t>
            </w:r>
          </w:p>
        </w:tc>
        <w:tc>
          <w:tcPr>
            <w:tcW w:w="1255" w:type="dxa"/>
            <w:tcBorders>
              <w:left w:val="single" w:sz="4" w:space="0" w:color="000000"/>
              <w:bottom w:val="single" w:sz="4" w:space="0" w:color="000000"/>
            </w:tcBorders>
            <w:shd w:val="clear" w:color="auto" w:fill="auto"/>
            <w:vAlign w:val="center"/>
          </w:tcPr>
          <w:p w14:paraId="2A5A43AE"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11601.87</w:t>
            </w:r>
          </w:p>
        </w:tc>
        <w:tc>
          <w:tcPr>
            <w:tcW w:w="1276" w:type="dxa"/>
            <w:tcBorders>
              <w:left w:val="single" w:sz="4" w:space="0" w:color="000000"/>
              <w:bottom w:val="single" w:sz="4" w:space="0" w:color="000000"/>
            </w:tcBorders>
            <w:shd w:val="clear" w:color="auto" w:fill="auto"/>
            <w:vAlign w:val="center"/>
          </w:tcPr>
          <w:p w14:paraId="63E3236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4320.93</w:t>
            </w:r>
          </w:p>
        </w:tc>
        <w:tc>
          <w:tcPr>
            <w:tcW w:w="992" w:type="dxa"/>
            <w:tcBorders>
              <w:top w:val="single" w:sz="4" w:space="0" w:color="000000"/>
              <w:left w:val="single" w:sz="4" w:space="0" w:color="000000"/>
              <w:bottom w:val="single" w:sz="4" w:space="0" w:color="000000"/>
            </w:tcBorders>
            <w:shd w:val="clear" w:color="auto" w:fill="auto"/>
            <w:vAlign w:val="center"/>
          </w:tcPr>
          <w:p w14:paraId="1BD130C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280.6</w:t>
            </w:r>
          </w:p>
        </w:tc>
        <w:tc>
          <w:tcPr>
            <w:tcW w:w="992" w:type="dxa"/>
            <w:tcBorders>
              <w:top w:val="single" w:sz="4" w:space="0" w:color="000000"/>
              <w:left w:val="single" w:sz="4" w:space="0" w:color="000000"/>
              <w:bottom w:val="single" w:sz="4" w:space="0" w:color="000000"/>
            </w:tcBorders>
            <w:shd w:val="clear" w:color="auto" w:fill="auto"/>
            <w:vAlign w:val="center"/>
          </w:tcPr>
          <w:p w14:paraId="43493BC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291.7</w:t>
            </w:r>
          </w:p>
        </w:tc>
        <w:tc>
          <w:tcPr>
            <w:tcW w:w="851" w:type="dxa"/>
            <w:tcBorders>
              <w:top w:val="single" w:sz="4" w:space="0" w:color="000000"/>
              <w:left w:val="single" w:sz="4" w:space="0" w:color="000000"/>
              <w:bottom w:val="single" w:sz="4" w:space="0" w:color="000000"/>
            </w:tcBorders>
            <w:shd w:val="clear" w:color="auto" w:fill="auto"/>
            <w:vAlign w:val="center"/>
          </w:tcPr>
          <w:p w14:paraId="6B861F7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w:t>
            </w:r>
          </w:p>
        </w:tc>
        <w:tc>
          <w:tcPr>
            <w:tcW w:w="567" w:type="dxa"/>
            <w:tcBorders>
              <w:left w:val="single" w:sz="4" w:space="0" w:color="000000"/>
              <w:bottom w:val="single" w:sz="4" w:space="0" w:color="000000"/>
            </w:tcBorders>
            <w:shd w:val="clear" w:color="auto" w:fill="auto"/>
            <w:vAlign w:val="center"/>
          </w:tcPr>
          <w:p w14:paraId="13714B6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7C678DE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2BBBDA0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w:t>
            </w:r>
            <w:r>
              <w:rPr>
                <w:rFonts w:ascii="Arial" w:eastAsia="仿宋_GB2312;仿宋" w:hAnsi="Arial" w:cs="Arial"/>
                <w:sz w:val="22"/>
                <w:szCs w:val="16"/>
              </w:rPr>
              <w:t>19</w:t>
            </w:r>
            <w:r>
              <w:rPr>
                <w:rFonts w:ascii="Arial" w:eastAsia="仿宋_GB2312;仿宋" w:hAnsi="Arial" w:cs="Arial"/>
                <w:sz w:val="22"/>
                <w:szCs w:val="16"/>
              </w:rPr>
              <w:t>家非住宅拆迁。</w:t>
            </w:r>
          </w:p>
        </w:tc>
      </w:tr>
    </w:tbl>
    <w:p w14:paraId="420338B1" w14:textId="77777777" w:rsidR="00E70101" w:rsidRDefault="00E70101">
      <w:pPr>
        <w:sectPr w:rsidR="00E70101">
          <w:headerReference w:type="default" r:id="rId71"/>
          <w:footerReference w:type="default" r:id="rId72"/>
          <w:pgSz w:w="16838" w:h="11906" w:orient="landscape"/>
          <w:pgMar w:top="1803" w:right="1440" w:bottom="1440" w:left="1440" w:header="851" w:footer="1134" w:gutter="0"/>
          <w:cols w:space="720"/>
          <w:formProt w:val="0"/>
          <w:docGrid w:linePitch="326"/>
        </w:sectPr>
      </w:pPr>
    </w:p>
    <w:p w14:paraId="10A2B2E6" w14:textId="77777777" w:rsidR="00E70101" w:rsidRDefault="0060680B">
      <w:pPr>
        <w:tabs>
          <w:tab w:val="left" w:pos="7644"/>
        </w:tabs>
        <w:spacing w:line="360" w:lineRule="auto"/>
        <w:ind w:firstLine="565"/>
        <w:jc w:val="both"/>
        <w:rPr>
          <w:rFonts w:ascii="仿宋" w:eastAsia="仿宋" w:hAnsi="仿宋" w:cs="仿宋"/>
          <w:b/>
          <w:bCs/>
          <w:sz w:val="28"/>
          <w:szCs w:val="28"/>
        </w:rPr>
      </w:pPr>
      <w:r>
        <w:rPr>
          <w:rFonts w:ascii="仿宋" w:eastAsia="仿宋" w:hAnsi="仿宋" w:cs="仿宋"/>
          <w:b/>
          <w:bCs/>
          <w:sz w:val="28"/>
          <w:szCs w:val="28"/>
        </w:rPr>
        <w:t>（4）比较实例的分析</w:t>
      </w:r>
      <w:r>
        <w:rPr>
          <w:rFonts w:ascii="仿宋" w:eastAsia="仿宋" w:hAnsi="仿宋" w:cs="仿宋"/>
          <w:b/>
          <w:bCs/>
          <w:sz w:val="28"/>
          <w:szCs w:val="28"/>
        </w:rPr>
        <w:tab/>
      </w:r>
    </w:p>
    <w:p w14:paraId="4CB5D7CD"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根据上表，实例均位于昌平区，均为</w:t>
      </w:r>
      <w:proofErr w:type="gramStart"/>
      <w:r>
        <w:rPr>
          <w:rFonts w:ascii="Arial" w:eastAsia="仿宋_GB2312;仿宋" w:hAnsi="Arial" w:cs="Arial"/>
          <w:sz w:val="28"/>
        </w:rPr>
        <w:t>距价值</w:t>
      </w:r>
      <w:proofErr w:type="gramEnd"/>
      <w:r>
        <w:rPr>
          <w:rFonts w:ascii="Arial" w:eastAsia="仿宋_GB2312;仿宋" w:hAnsi="Arial" w:cs="Arial"/>
          <w:sz w:val="28"/>
        </w:rPr>
        <w:t>时点三年内的</w:t>
      </w:r>
      <w:proofErr w:type="gramStart"/>
      <w:r>
        <w:rPr>
          <w:rFonts w:ascii="Arial" w:eastAsia="仿宋_GB2312;仿宋" w:hAnsi="Arial" w:cs="Arial"/>
          <w:sz w:val="28"/>
        </w:rPr>
        <w:t>的</w:t>
      </w:r>
      <w:proofErr w:type="gramEnd"/>
      <w:r>
        <w:rPr>
          <w:rFonts w:ascii="Arial" w:eastAsia="仿宋_GB2312;仿宋" w:hAnsi="Arial" w:cs="Arial"/>
          <w:sz w:val="28"/>
        </w:rPr>
        <w:t>经审定后的土地一级开发项目。位置与咨询对象位置示意图如下：</w:t>
      </w:r>
    </w:p>
    <w:p w14:paraId="7724C0CA" w14:textId="77777777" w:rsidR="00E70101" w:rsidRDefault="0060680B">
      <w:pPr>
        <w:spacing w:line="360" w:lineRule="auto"/>
        <w:jc w:val="center"/>
        <w:rPr>
          <w:rFonts w:ascii="Arial" w:eastAsia="仿宋_GB2312;仿宋" w:hAnsi="Arial" w:cs="Arial"/>
          <w:sz w:val="28"/>
        </w:rPr>
      </w:pPr>
      <w:r>
        <w:rPr>
          <w:noProof/>
        </w:rPr>
        <w:drawing>
          <wp:inline distT="0" distB="0" distL="0" distR="0" wp14:anchorId="08B7B5FB" wp14:editId="0ACD03F3">
            <wp:extent cx="5906770" cy="3756025"/>
            <wp:effectExtent l="0" t="0" r="0" b="0"/>
            <wp:docPr id="37" name="图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像10"/>
                    <pic:cNvPicPr>
                      <a:picLocks noChangeAspect="1" noChangeArrowheads="1"/>
                    </pic:cNvPicPr>
                  </pic:nvPicPr>
                  <pic:blipFill>
                    <a:blip r:embed="rId73"/>
                    <a:srcRect l="-5" t="-9" r="-5" b="-9"/>
                    <a:stretch>
                      <a:fillRect/>
                    </a:stretch>
                  </pic:blipFill>
                  <pic:spPr bwMode="auto">
                    <a:xfrm>
                      <a:off x="0" y="0"/>
                      <a:ext cx="5906770" cy="3756025"/>
                    </a:xfrm>
                    <a:prstGeom prst="rect">
                      <a:avLst/>
                    </a:prstGeom>
                  </pic:spPr>
                </pic:pic>
              </a:graphicData>
            </a:graphic>
          </wp:inline>
        </w:drawing>
      </w:r>
    </w:p>
    <w:p w14:paraId="5805061C" w14:textId="77777777" w:rsidR="00E70101" w:rsidRDefault="0060680B">
      <w:pPr>
        <w:spacing w:line="360" w:lineRule="auto"/>
        <w:ind w:firstLine="565"/>
        <w:rPr>
          <w:rFonts w:ascii="Arial" w:eastAsia="仿宋_GB2312;仿宋" w:hAnsi="Arial" w:cs="Arial"/>
          <w:b/>
          <w:sz w:val="28"/>
        </w:rPr>
      </w:pPr>
      <w:r>
        <w:rPr>
          <w:rFonts w:ascii="Arial" w:eastAsia="仿宋_GB2312;仿宋" w:hAnsi="Arial" w:cs="Arial"/>
          <w:b/>
          <w:sz w:val="28"/>
        </w:rPr>
        <w:t>项目的基本情况如下：</w:t>
      </w:r>
    </w:p>
    <w:p w14:paraId="53C83C68" w14:textId="77777777" w:rsidR="00E70101" w:rsidRDefault="0060680B">
      <w:pPr>
        <w:spacing w:line="360" w:lineRule="auto"/>
        <w:ind w:firstLine="565"/>
        <w:rPr>
          <w:rFonts w:ascii="Arial" w:eastAsia="仿宋_GB2312;仿宋" w:hAnsi="Arial" w:cs="Arial"/>
          <w:b/>
          <w:sz w:val="28"/>
        </w:rPr>
      </w:pPr>
      <w:r>
        <w:rPr>
          <w:rFonts w:ascii="Arial" w:eastAsia="仿宋_GB2312;仿宋" w:hAnsi="Arial" w:cs="Arial"/>
          <w:b/>
          <w:sz w:val="28"/>
        </w:rPr>
        <w:t>序号</w:t>
      </w:r>
      <w:r>
        <w:rPr>
          <w:rFonts w:ascii="Arial" w:eastAsia="仿宋_GB2312;仿宋" w:hAnsi="Arial" w:cs="Arial"/>
          <w:b/>
          <w:sz w:val="28"/>
        </w:rPr>
        <w:t>1</w:t>
      </w:r>
      <w:r>
        <w:rPr>
          <w:rFonts w:ascii="Arial" w:eastAsia="仿宋_GB2312;仿宋" w:hAnsi="Arial" w:cs="Arial"/>
          <w:b/>
          <w:sz w:val="28"/>
        </w:rPr>
        <w:t>：顺义区国展预留地剩余地块</w:t>
      </w:r>
    </w:p>
    <w:p w14:paraId="43C252A0"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该项目位于顺义区后沙峪镇，环线位置为东北六环以西南侧，项目类型为土地一级开发项目，审定时间为</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10</w:t>
      </w:r>
      <w:r>
        <w:rPr>
          <w:rFonts w:ascii="Arial" w:eastAsia="仿宋_GB2312;仿宋" w:hAnsi="Arial" w:cs="Arial"/>
          <w:sz w:val="28"/>
        </w:rPr>
        <w:t>月，土地级别为七级，所处区域目前已拥有较完善的基础设施配套保障，总用地面积</w:t>
      </w:r>
      <w:r>
        <w:rPr>
          <w:rFonts w:ascii="Arial" w:eastAsia="仿宋_GB2312;仿宋" w:hAnsi="Arial" w:cs="Arial"/>
          <w:sz w:val="28"/>
        </w:rPr>
        <w:t>12.9</w:t>
      </w:r>
      <w:r>
        <w:rPr>
          <w:rFonts w:ascii="Arial" w:eastAsia="仿宋_GB2312;仿宋" w:hAnsi="Arial" w:cs="Arial"/>
          <w:sz w:val="28"/>
        </w:rPr>
        <w:t>公顷。该项目审定的征地补偿及相关税费为</w:t>
      </w:r>
      <w:r>
        <w:rPr>
          <w:rFonts w:ascii="Arial" w:eastAsia="仿宋_GB2312;仿宋" w:hAnsi="Arial" w:cs="Arial"/>
          <w:sz w:val="28"/>
        </w:rPr>
        <w:t>5061.88</w:t>
      </w:r>
      <w:r>
        <w:rPr>
          <w:rFonts w:ascii="Arial" w:eastAsia="仿宋_GB2312;仿宋" w:hAnsi="Arial" w:cs="Arial"/>
          <w:sz w:val="28"/>
        </w:rPr>
        <w:t>万元，拆迁补偿费及相关税费为</w:t>
      </w:r>
      <w:r>
        <w:rPr>
          <w:rFonts w:ascii="Arial" w:eastAsia="仿宋_GB2312;仿宋" w:hAnsi="Arial" w:cs="Arial"/>
          <w:sz w:val="28"/>
        </w:rPr>
        <w:t>31557.84</w:t>
      </w:r>
      <w:r>
        <w:rPr>
          <w:rFonts w:ascii="Arial" w:eastAsia="仿宋_GB2312;仿宋" w:hAnsi="Arial" w:cs="Arial"/>
          <w:sz w:val="28"/>
        </w:rPr>
        <w:t>万元，无实物补偿。</w:t>
      </w:r>
    </w:p>
    <w:p w14:paraId="10E88CBC"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故该实例在审定时间</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10</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5061.88+31557.84</w:t>
      </w:r>
      <w:r>
        <w:rPr>
          <w:rFonts w:ascii="Arial" w:eastAsia="仿宋_GB2312;仿宋" w:hAnsi="Arial" w:cs="Arial"/>
          <w:sz w:val="28"/>
        </w:rPr>
        <w:t>）</w:t>
      </w:r>
      <w:r>
        <w:rPr>
          <w:rFonts w:ascii="Arial" w:eastAsia="仿宋_GB2312;仿宋" w:hAnsi="Arial" w:cs="Arial"/>
          <w:sz w:val="28"/>
        </w:rPr>
        <w:t>÷12.9=2838.7</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446BBC26" w14:textId="77777777" w:rsidR="00E70101" w:rsidRDefault="0060680B">
      <w:pPr>
        <w:spacing w:line="360" w:lineRule="auto"/>
        <w:ind w:firstLine="565"/>
        <w:rPr>
          <w:rFonts w:ascii="Arial" w:eastAsia="仿宋_GB2312;仿宋" w:hAnsi="Arial" w:cs="Arial"/>
          <w:b/>
          <w:sz w:val="28"/>
        </w:rPr>
      </w:pPr>
      <w:r>
        <w:rPr>
          <w:rFonts w:ascii="Arial" w:hAnsi="Arial" w:cs="Arial"/>
          <w:b/>
          <w:sz w:val="28"/>
        </w:rPr>
        <w:t>序号</w:t>
      </w:r>
      <w:r>
        <w:rPr>
          <w:rFonts w:ascii="Arial" w:hAnsi="Arial" w:cs="Arial"/>
          <w:b/>
          <w:sz w:val="28"/>
        </w:rPr>
        <w:t>2</w:t>
      </w:r>
      <w:r>
        <w:rPr>
          <w:rFonts w:ascii="Arial" w:hAnsi="Arial" w:cs="Arial"/>
          <w:b/>
          <w:sz w:val="28"/>
        </w:rPr>
        <w:t>：</w:t>
      </w:r>
      <w:r>
        <w:rPr>
          <w:rFonts w:ascii="Arial" w:eastAsia="仿宋_GB2312;仿宋" w:hAnsi="Arial" w:cs="Arial"/>
          <w:b/>
          <w:sz w:val="28"/>
        </w:rPr>
        <w:t>顺义区仁和镇平各庄村</w:t>
      </w:r>
      <w:r>
        <w:rPr>
          <w:rFonts w:ascii="Arial" w:eastAsia="仿宋_GB2312;仿宋" w:hAnsi="Arial" w:cs="Arial"/>
          <w:b/>
          <w:sz w:val="28"/>
        </w:rPr>
        <w:t>B</w:t>
      </w:r>
      <w:r>
        <w:rPr>
          <w:rFonts w:ascii="Arial" w:eastAsia="仿宋_GB2312;仿宋" w:hAnsi="Arial" w:cs="Arial"/>
          <w:b/>
          <w:sz w:val="28"/>
        </w:rPr>
        <w:t>地块</w:t>
      </w:r>
    </w:p>
    <w:p w14:paraId="741DCBF4"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该项目位于顺义区仁和镇，环线位置为东北六环以东，项目类型为土地一级开发项目，审定时间为</w:t>
      </w:r>
      <w:r>
        <w:rPr>
          <w:rFonts w:ascii="Arial" w:eastAsia="仿宋_GB2312;仿宋" w:hAnsi="Arial" w:cs="Arial"/>
          <w:sz w:val="28"/>
        </w:rPr>
        <w:t>2022</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月，土地级别为七级，所处区域目前已拥有较完善的基础设施配套保障，总用地面积</w:t>
      </w:r>
      <w:r>
        <w:rPr>
          <w:rFonts w:ascii="Arial" w:eastAsia="仿宋_GB2312;仿宋" w:hAnsi="Arial" w:cs="Arial"/>
          <w:sz w:val="28"/>
        </w:rPr>
        <w:t>36.15</w:t>
      </w:r>
      <w:r>
        <w:rPr>
          <w:rFonts w:ascii="Arial" w:eastAsia="仿宋_GB2312;仿宋" w:hAnsi="Arial" w:cs="Arial"/>
          <w:sz w:val="28"/>
        </w:rPr>
        <w:t>公顷。该项目审定的征地补偿及相关税费为</w:t>
      </w:r>
      <w:r>
        <w:rPr>
          <w:rFonts w:ascii="Arial" w:eastAsia="仿宋_GB2312;仿宋" w:hAnsi="Arial" w:cs="Arial"/>
          <w:sz w:val="28"/>
        </w:rPr>
        <w:t>41086.4</w:t>
      </w:r>
      <w:r>
        <w:rPr>
          <w:rFonts w:ascii="Arial" w:eastAsia="仿宋_GB2312;仿宋" w:hAnsi="Arial" w:cs="Arial"/>
          <w:sz w:val="28"/>
        </w:rPr>
        <w:t>万元，拆迁补偿费及相关税费为</w:t>
      </w:r>
      <w:r>
        <w:rPr>
          <w:rFonts w:ascii="Arial" w:eastAsia="仿宋_GB2312;仿宋" w:hAnsi="Arial" w:cs="Arial"/>
          <w:sz w:val="28"/>
        </w:rPr>
        <w:t>47612.92</w:t>
      </w:r>
      <w:r>
        <w:rPr>
          <w:rFonts w:ascii="Arial" w:eastAsia="仿宋_GB2312;仿宋" w:hAnsi="Arial" w:cs="Arial"/>
          <w:sz w:val="28"/>
        </w:rPr>
        <w:t>万元，无实物补偿。</w:t>
      </w:r>
    </w:p>
    <w:p w14:paraId="36263ACA" w14:textId="77777777" w:rsidR="00E70101" w:rsidRDefault="0060680B">
      <w:pPr>
        <w:spacing w:line="360" w:lineRule="auto"/>
        <w:ind w:firstLine="563"/>
      </w:pPr>
      <w:r>
        <w:rPr>
          <w:rFonts w:ascii="Arial" w:eastAsia="仿宋_GB2312;仿宋" w:hAnsi="Arial" w:cs="Arial"/>
          <w:sz w:val="28"/>
        </w:rPr>
        <w:t>故该实例在审定时间</w:t>
      </w:r>
      <w:r>
        <w:rPr>
          <w:rFonts w:ascii="Arial" w:eastAsia="仿宋_GB2312;仿宋" w:hAnsi="Arial" w:cs="Arial"/>
          <w:sz w:val="28"/>
        </w:rPr>
        <w:t>2022</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41086.4+47612.92</w:t>
      </w:r>
      <w:r>
        <w:rPr>
          <w:rFonts w:ascii="Arial" w:eastAsia="仿宋_GB2312;仿宋" w:hAnsi="Arial" w:cs="Arial"/>
          <w:sz w:val="28"/>
        </w:rPr>
        <w:t>）</w:t>
      </w:r>
      <w:r>
        <w:rPr>
          <w:rFonts w:ascii="Arial" w:eastAsia="仿宋_GB2312;仿宋" w:hAnsi="Arial" w:cs="Arial"/>
          <w:sz w:val="28"/>
        </w:rPr>
        <w:t>÷36.15=2453.6</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73AA27A1" w14:textId="77777777" w:rsidR="00E70101" w:rsidRDefault="0060680B">
      <w:pPr>
        <w:spacing w:line="360" w:lineRule="auto"/>
        <w:ind w:firstLine="565"/>
        <w:rPr>
          <w:rFonts w:ascii="Arial" w:eastAsia="仿宋_GB2312;仿宋" w:hAnsi="Arial" w:cs="Arial"/>
          <w:b/>
          <w:sz w:val="28"/>
        </w:rPr>
      </w:pPr>
      <w:r>
        <w:rPr>
          <w:rFonts w:ascii="Arial" w:hAnsi="Arial" w:cs="Arial"/>
          <w:b/>
          <w:sz w:val="28"/>
        </w:rPr>
        <w:t>序号</w:t>
      </w:r>
      <w:r>
        <w:rPr>
          <w:rFonts w:ascii="Arial" w:hAnsi="Arial" w:cs="Arial"/>
          <w:b/>
          <w:sz w:val="28"/>
        </w:rPr>
        <w:t>4</w:t>
      </w:r>
      <w:r>
        <w:rPr>
          <w:rFonts w:ascii="Arial" w:hAnsi="Arial" w:cs="Arial"/>
          <w:b/>
          <w:sz w:val="28"/>
        </w:rPr>
        <w:t>：</w:t>
      </w:r>
      <w:r>
        <w:rPr>
          <w:rFonts w:ascii="Arial" w:eastAsia="仿宋_GB2312;仿宋" w:hAnsi="Arial" w:cs="Arial"/>
          <w:b/>
          <w:sz w:val="28"/>
        </w:rPr>
        <w:t>顺义区</w:t>
      </w:r>
      <w:r>
        <w:rPr>
          <w:rFonts w:ascii="Arial" w:eastAsia="仿宋_GB2312;仿宋" w:hAnsi="Arial" w:cs="Arial"/>
          <w:b/>
          <w:sz w:val="28"/>
        </w:rPr>
        <w:t>M15</w:t>
      </w:r>
      <w:r>
        <w:rPr>
          <w:rFonts w:ascii="Arial" w:eastAsia="仿宋_GB2312;仿宋" w:hAnsi="Arial" w:cs="Arial"/>
          <w:b/>
          <w:sz w:val="28"/>
        </w:rPr>
        <w:t>号线后</w:t>
      </w:r>
      <w:proofErr w:type="gramStart"/>
      <w:r>
        <w:rPr>
          <w:rFonts w:ascii="Arial" w:eastAsia="仿宋_GB2312;仿宋" w:hAnsi="Arial" w:cs="Arial"/>
          <w:b/>
          <w:sz w:val="28"/>
        </w:rPr>
        <w:t>沙峪站</w:t>
      </w:r>
      <w:proofErr w:type="gramEnd"/>
      <w:r>
        <w:rPr>
          <w:rFonts w:ascii="Arial" w:eastAsia="仿宋_GB2312;仿宋" w:hAnsi="Arial" w:cs="Arial"/>
          <w:b/>
          <w:sz w:val="28"/>
        </w:rPr>
        <w:t>ABC</w:t>
      </w:r>
      <w:r>
        <w:rPr>
          <w:rFonts w:ascii="Arial" w:eastAsia="仿宋_GB2312;仿宋" w:hAnsi="Arial" w:cs="Arial"/>
          <w:b/>
          <w:sz w:val="28"/>
        </w:rPr>
        <w:t>地块</w:t>
      </w:r>
    </w:p>
    <w:p w14:paraId="61BF39EE"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该项目位于顺义区后沙峪镇，环线位置为东北六环以西南侧，项目类型为土地一级开发项目，审定时间为</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月，土地级别为六级，所处区域目前已拥有完善的基础设施配套保障，总用地面积</w:t>
      </w:r>
      <w:r>
        <w:rPr>
          <w:rFonts w:ascii="Arial" w:eastAsia="仿宋_GB2312;仿宋" w:hAnsi="Arial" w:cs="Arial"/>
          <w:sz w:val="28"/>
        </w:rPr>
        <w:t>84.72</w:t>
      </w:r>
      <w:r>
        <w:rPr>
          <w:rFonts w:ascii="Arial" w:eastAsia="仿宋_GB2312;仿宋" w:hAnsi="Arial" w:cs="Arial"/>
          <w:sz w:val="28"/>
        </w:rPr>
        <w:t>公顷。该项目审定的征地补偿及相关税费为</w:t>
      </w:r>
      <w:r>
        <w:rPr>
          <w:rFonts w:ascii="Arial" w:eastAsia="仿宋_GB2312;仿宋" w:hAnsi="Arial" w:cs="Arial"/>
          <w:sz w:val="28"/>
        </w:rPr>
        <w:t>36436.78</w:t>
      </w:r>
      <w:r>
        <w:rPr>
          <w:rFonts w:ascii="Arial" w:eastAsia="仿宋_GB2312;仿宋" w:hAnsi="Arial" w:cs="Arial"/>
          <w:sz w:val="28"/>
        </w:rPr>
        <w:t>万元，拆迁补偿费及相关税费为</w:t>
      </w:r>
      <w:r>
        <w:rPr>
          <w:rFonts w:ascii="Arial" w:eastAsia="仿宋_GB2312;仿宋" w:hAnsi="Arial" w:cs="Arial"/>
          <w:sz w:val="28"/>
        </w:rPr>
        <w:t>98258.5</w:t>
      </w:r>
      <w:r>
        <w:rPr>
          <w:rFonts w:ascii="Arial" w:eastAsia="仿宋_GB2312;仿宋" w:hAnsi="Arial" w:cs="Arial"/>
          <w:sz w:val="28"/>
        </w:rPr>
        <w:t>万元，无实物补偿。</w:t>
      </w:r>
    </w:p>
    <w:p w14:paraId="001E55C7"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故该实例在审定时间</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36436.78+98258.5</w:t>
      </w:r>
      <w:r>
        <w:rPr>
          <w:rFonts w:ascii="Arial" w:eastAsia="仿宋_GB2312;仿宋" w:hAnsi="Arial" w:cs="Arial"/>
          <w:sz w:val="28"/>
        </w:rPr>
        <w:t>）</w:t>
      </w:r>
      <w:r>
        <w:rPr>
          <w:rFonts w:ascii="Arial" w:eastAsia="仿宋_GB2312;仿宋" w:hAnsi="Arial" w:cs="Arial"/>
          <w:sz w:val="28"/>
        </w:rPr>
        <w:t>÷84.72=1589.9</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26CD5F81" w14:textId="77777777" w:rsidR="00E70101" w:rsidRDefault="00E70101">
      <w:pPr>
        <w:spacing w:line="360" w:lineRule="auto"/>
        <w:ind w:firstLine="560"/>
        <w:jc w:val="both"/>
        <w:rPr>
          <w:rFonts w:ascii="Arial" w:eastAsia="仿宋_GB2312;仿宋" w:hAnsi="Arial" w:cs="Arial"/>
          <w:sz w:val="28"/>
        </w:rPr>
      </w:pPr>
    </w:p>
    <w:p w14:paraId="2FD591C9" w14:textId="77777777" w:rsidR="00E70101" w:rsidRDefault="00E70101">
      <w:pPr>
        <w:spacing w:line="360" w:lineRule="auto"/>
        <w:ind w:firstLine="560"/>
        <w:jc w:val="both"/>
        <w:rPr>
          <w:rFonts w:ascii="Arial" w:eastAsia="仿宋_GB2312;仿宋" w:hAnsi="Arial" w:cs="Arial"/>
          <w:sz w:val="28"/>
        </w:rPr>
      </w:pPr>
    </w:p>
    <w:p w14:paraId="2F469D8B" w14:textId="77777777" w:rsidR="00E70101" w:rsidRDefault="00E70101">
      <w:pPr>
        <w:spacing w:line="360" w:lineRule="auto"/>
        <w:ind w:firstLine="560"/>
        <w:jc w:val="both"/>
        <w:rPr>
          <w:rFonts w:ascii="Arial" w:eastAsia="仿宋_GB2312;仿宋" w:hAnsi="Arial" w:cs="Arial"/>
          <w:sz w:val="28"/>
        </w:rPr>
      </w:pPr>
    </w:p>
    <w:p w14:paraId="4316A8F3" w14:textId="77777777" w:rsidR="00E70101" w:rsidRDefault="00E70101">
      <w:pPr>
        <w:spacing w:line="360" w:lineRule="auto"/>
        <w:ind w:firstLine="560"/>
        <w:jc w:val="both"/>
        <w:rPr>
          <w:rFonts w:ascii="Arial" w:eastAsia="仿宋_GB2312;仿宋" w:hAnsi="Arial" w:cs="Arial"/>
          <w:sz w:val="28"/>
        </w:rPr>
      </w:pPr>
    </w:p>
    <w:p w14:paraId="575C48BE" w14:textId="77777777" w:rsidR="00E70101" w:rsidRDefault="0060680B">
      <w:pPr>
        <w:spacing w:line="360" w:lineRule="auto"/>
        <w:ind w:firstLine="560"/>
        <w:jc w:val="both"/>
        <w:rPr>
          <w:rFonts w:ascii="Arial" w:eastAsia="仿宋_GB2312;仿宋" w:hAnsi="Arial" w:cs="Arial"/>
          <w:sz w:val="28"/>
        </w:rPr>
      </w:pPr>
      <w:r>
        <w:br w:type="page"/>
      </w:r>
    </w:p>
    <w:p w14:paraId="0A5F926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根据替代原则，对上述案例进行修正：</w:t>
      </w:r>
    </w:p>
    <w:p w14:paraId="0F7FD95A" w14:textId="77777777" w:rsidR="00E70101" w:rsidRDefault="0060680B">
      <w:pPr>
        <w:spacing w:line="360" w:lineRule="auto"/>
        <w:ind w:firstLine="482"/>
        <w:jc w:val="center"/>
        <w:rPr>
          <w:rFonts w:cs="Arial"/>
        </w:rPr>
      </w:pPr>
      <w:r>
        <w:rPr>
          <w:rFonts w:ascii="Arial" w:eastAsia="仿宋_GB2312;仿宋" w:hAnsi="Arial" w:cs="Arial"/>
          <w:b/>
          <w:bCs/>
          <w:sz w:val="28"/>
          <w:szCs w:val="24"/>
        </w:rPr>
        <w:t>比较因素条件说明及指数表</w:t>
      </w:r>
    </w:p>
    <w:tbl>
      <w:tblPr>
        <w:tblW w:w="5000" w:type="pct"/>
        <w:jc w:val="center"/>
        <w:tblCellMar>
          <w:top w:w="28" w:type="dxa"/>
          <w:left w:w="28" w:type="dxa"/>
          <w:bottom w:w="28" w:type="dxa"/>
          <w:right w:w="28" w:type="dxa"/>
        </w:tblCellMar>
        <w:tblLook w:val="0000" w:firstRow="0" w:lastRow="0" w:firstColumn="0" w:lastColumn="0" w:noHBand="0" w:noVBand="0"/>
      </w:tblPr>
      <w:tblGrid>
        <w:gridCol w:w="767"/>
        <w:gridCol w:w="1506"/>
        <w:gridCol w:w="1309"/>
        <w:gridCol w:w="417"/>
        <w:gridCol w:w="1291"/>
        <w:gridCol w:w="506"/>
        <w:gridCol w:w="1272"/>
        <w:gridCol w:w="506"/>
        <w:gridCol w:w="1210"/>
        <w:gridCol w:w="508"/>
      </w:tblGrid>
      <w:tr w:rsidR="00E70101" w14:paraId="0F698E65" w14:textId="77777777">
        <w:trPr>
          <w:cantSplit/>
          <w:jc w:val="center"/>
        </w:trPr>
        <w:tc>
          <w:tcPr>
            <w:tcW w:w="2279" w:type="dxa"/>
            <w:gridSpan w:val="2"/>
            <w:vMerge w:val="restart"/>
            <w:tcBorders>
              <w:top w:val="single" w:sz="2" w:space="0" w:color="404040"/>
              <w:left w:val="single" w:sz="2" w:space="0" w:color="404040"/>
              <w:bottom w:val="single" w:sz="2" w:space="0" w:color="404040"/>
            </w:tcBorders>
            <w:shd w:val="clear" w:color="auto" w:fill="auto"/>
            <w:vAlign w:val="center"/>
          </w:tcPr>
          <w:p w14:paraId="36C20F10"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比较因素</w:t>
            </w:r>
          </w:p>
        </w:tc>
        <w:tc>
          <w:tcPr>
            <w:tcW w:w="1727" w:type="dxa"/>
            <w:gridSpan w:val="2"/>
            <w:tcBorders>
              <w:top w:val="single" w:sz="2" w:space="0" w:color="404040"/>
              <w:left w:val="single" w:sz="2" w:space="0" w:color="404040"/>
              <w:bottom w:val="single" w:sz="2" w:space="0" w:color="404040"/>
            </w:tcBorders>
            <w:shd w:val="clear" w:color="auto" w:fill="auto"/>
            <w:vAlign w:val="center"/>
          </w:tcPr>
          <w:p w14:paraId="4DC8A99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估价对象</w:t>
            </w:r>
          </w:p>
        </w:tc>
        <w:tc>
          <w:tcPr>
            <w:tcW w:w="1795" w:type="dxa"/>
            <w:gridSpan w:val="2"/>
            <w:tcBorders>
              <w:top w:val="single" w:sz="2" w:space="0" w:color="404040"/>
              <w:left w:val="single" w:sz="2" w:space="0" w:color="404040"/>
              <w:bottom w:val="single" w:sz="2" w:space="0" w:color="404040"/>
            </w:tcBorders>
            <w:shd w:val="clear" w:color="auto" w:fill="auto"/>
            <w:vAlign w:val="center"/>
          </w:tcPr>
          <w:p w14:paraId="261EB1F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实例：D</w:t>
            </w:r>
          </w:p>
        </w:tc>
        <w:tc>
          <w:tcPr>
            <w:tcW w:w="1777" w:type="dxa"/>
            <w:gridSpan w:val="2"/>
            <w:tcBorders>
              <w:top w:val="single" w:sz="2" w:space="0" w:color="404040"/>
              <w:left w:val="single" w:sz="2" w:space="0" w:color="404040"/>
              <w:bottom w:val="single" w:sz="2" w:space="0" w:color="404040"/>
            </w:tcBorders>
            <w:shd w:val="clear" w:color="auto" w:fill="auto"/>
            <w:vAlign w:val="center"/>
          </w:tcPr>
          <w:p w14:paraId="029F103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实例：E</w:t>
            </w:r>
          </w:p>
        </w:tc>
        <w:tc>
          <w:tcPr>
            <w:tcW w:w="1720"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2B3E485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实例：F</w:t>
            </w:r>
          </w:p>
        </w:tc>
      </w:tr>
      <w:tr w:rsidR="00E70101" w14:paraId="0D43B020" w14:textId="77777777">
        <w:trPr>
          <w:cantSplit/>
          <w:trHeight w:val="964"/>
          <w:jc w:val="center"/>
        </w:trPr>
        <w:tc>
          <w:tcPr>
            <w:tcW w:w="2279" w:type="dxa"/>
            <w:gridSpan w:val="2"/>
            <w:vMerge/>
            <w:tcBorders>
              <w:top w:val="single" w:sz="2" w:space="0" w:color="404040"/>
              <w:left w:val="single" w:sz="2" w:space="0" w:color="404040"/>
              <w:bottom w:val="single" w:sz="2" w:space="0" w:color="404040"/>
            </w:tcBorders>
            <w:shd w:val="clear" w:color="auto" w:fill="auto"/>
            <w:vAlign w:val="center"/>
          </w:tcPr>
          <w:p w14:paraId="5F8874EF" w14:textId="77777777" w:rsidR="00E70101" w:rsidRDefault="00E70101">
            <w:pPr>
              <w:widowControl/>
              <w:snapToGrid w:val="0"/>
              <w:rPr>
                <w:rFonts w:ascii="仿宋" w:eastAsia="仿宋" w:hAnsi="仿宋" w:cs="Arial"/>
                <w:kern w:val="2"/>
                <w:sz w:val="18"/>
                <w:szCs w:val="18"/>
              </w:rPr>
            </w:pPr>
          </w:p>
        </w:tc>
        <w:tc>
          <w:tcPr>
            <w:tcW w:w="1310" w:type="dxa"/>
            <w:tcBorders>
              <w:top w:val="single" w:sz="2" w:space="0" w:color="808080"/>
              <w:left w:val="single" w:sz="2" w:space="0" w:color="808080"/>
              <w:bottom w:val="single" w:sz="2" w:space="0" w:color="404040"/>
            </w:tcBorders>
            <w:shd w:val="clear" w:color="auto" w:fill="auto"/>
            <w:vAlign w:val="center"/>
          </w:tcPr>
          <w:p w14:paraId="10FAD02A"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北京市昌平区北七家镇八仙庄村仓储用地</w:t>
            </w:r>
          </w:p>
        </w:tc>
        <w:tc>
          <w:tcPr>
            <w:tcW w:w="417" w:type="dxa"/>
            <w:tcBorders>
              <w:top w:val="single" w:sz="2" w:space="0" w:color="808080"/>
              <w:left w:val="single" w:sz="2" w:space="0" w:color="808080"/>
              <w:bottom w:val="single" w:sz="2" w:space="0" w:color="808080"/>
            </w:tcBorders>
            <w:shd w:val="clear" w:color="auto" w:fill="auto"/>
            <w:vAlign w:val="center"/>
          </w:tcPr>
          <w:p w14:paraId="01109ED9"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系数</w:t>
            </w:r>
          </w:p>
        </w:tc>
        <w:tc>
          <w:tcPr>
            <w:tcW w:w="1293" w:type="dxa"/>
            <w:tcBorders>
              <w:top w:val="single" w:sz="2" w:space="0" w:color="808080"/>
              <w:left w:val="single" w:sz="2" w:space="0" w:color="808080"/>
              <w:bottom w:val="single" w:sz="2" w:space="0" w:color="404040"/>
            </w:tcBorders>
            <w:shd w:val="clear" w:color="auto" w:fill="auto"/>
            <w:vAlign w:val="center"/>
          </w:tcPr>
          <w:p w14:paraId="75AA9829"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北京市顺义区国展预留地剩余地块土地一级开发项目</w:t>
            </w:r>
          </w:p>
        </w:tc>
        <w:tc>
          <w:tcPr>
            <w:tcW w:w="502" w:type="dxa"/>
            <w:tcBorders>
              <w:top w:val="single" w:sz="2" w:space="0" w:color="808080"/>
              <w:left w:val="single" w:sz="2" w:space="0" w:color="808080"/>
              <w:bottom w:val="single" w:sz="2" w:space="0" w:color="808080"/>
            </w:tcBorders>
            <w:shd w:val="clear" w:color="auto" w:fill="auto"/>
            <w:vAlign w:val="center"/>
          </w:tcPr>
          <w:p w14:paraId="2C9C58FA"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系数</w:t>
            </w:r>
          </w:p>
        </w:tc>
        <w:tc>
          <w:tcPr>
            <w:tcW w:w="1274" w:type="dxa"/>
            <w:tcBorders>
              <w:top w:val="single" w:sz="2" w:space="0" w:color="808080"/>
              <w:left w:val="single" w:sz="2" w:space="0" w:color="808080"/>
              <w:bottom w:val="single" w:sz="2" w:space="0" w:color="404040"/>
            </w:tcBorders>
            <w:shd w:val="clear" w:color="auto" w:fill="auto"/>
            <w:vAlign w:val="center"/>
          </w:tcPr>
          <w:p w14:paraId="050E4C69" w14:textId="77777777" w:rsidR="00E70101" w:rsidRDefault="0060680B">
            <w:pPr>
              <w:widowControl/>
              <w:spacing w:line="240" w:lineRule="auto"/>
              <w:jc w:val="both"/>
              <w:textAlignment w:val="auto"/>
              <w:rPr>
                <w:rFonts w:ascii="仿宋" w:eastAsia="仿宋" w:hAnsi="仿宋" w:cs="Arial"/>
                <w:sz w:val="18"/>
                <w:szCs w:val="18"/>
              </w:rPr>
            </w:pPr>
            <w:r>
              <w:rPr>
                <w:rFonts w:ascii="仿宋" w:eastAsia="仿宋" w:hAnsi="仿宋" w:cs="Arial"/>
                <w:sz w:val="18"/>
                <w:szCs w:val="18"/>
              </w:rPr>
              <w:t>北京市顺义区仁和镇平各庄村B地块土地一级开发项目</w:t>
            </w:r>
          </w:p>
        </w:tc>
        <w:tc>
          <w:tcPr>
            <w:tcW w:w="503" w:type="dxa"/>
            <w:tcBorders>
              <w:top w:val="single" w:sz="2" w:space="0" w:color="808080"/>
              <w:left w:val="single" w:sz="2" w:space="0" w:color="808080"/>
              <w:bottom w:val="single" w:sz="2" w:space="0" w:color="808080"/>
            </w:tcBorders>
            <w:shd w:val="clear" w:color="auto" w:fill="auto"/>
            <w:vAlign w:val="center"/>
          </w:tcPr>
          <w:p w14:paraId="1096069A" w14:textId="77777777" w:rsidR="00E70101" w:rsidRDefault="0060680B">
            <w:pPr>
              <w:spacing w:line="240" w:lineRule="auto"/>
              <w:jc w:val="both"/>
              <w:rPr>
                <w:rFonts w:ascii="仿宋" w:eastAsia="仿宋" w:hAnsi="仿宋" w:cs="Arial"/>
                <w:sz w:val="18"/>
                <w:szCs w:val="18"/>
              </w:rPr>
            </w:pPr>
            <w:r>
              <w:rPr>
                <w:rFonts w:ascii="仿宋" w:eastAsia="仿宋" w:hAnsi="仿宋" w:cs="Arial"/>
                <w:sz w:val="18"/>
                <w:szCs w:val="18"/>
              </w:rPr>
              <w:t>系数</w:t>
            </w:r>
          </w:p>
        </w:tc>
        <w:tc>
          <w:tcPr>
            <w:tcW w:w="1212" w:type="dxa"/>
            <w:tcBorders>
              <w:top w:val="single" w:sz="2" w:space="0" w:color="808080"/>
              <w:left w:val="single" w:sz="2" w:space="0" w:color="808080"/>
              <w:bottom w:val="single" w:sz="2" w:space="0" w:color="404040"/>
            </w:tcBorders>
            <w:shd w:val="clear" w:color="auto" w:fill="auto"/>
            <w:vAlign w:val="center"/>
          </w:tcPr>
          <w:p w14:paraId="66880D19" w14:textId="77777777" w:rsidR="00E70101" w:rsidRDefault="0060680B">
            <w:pPr>
              <w:widowControl/>
              <w:spacing w:line="240" w:lineRule="auto"/>
              <w:jc w:val="both"/>
              <w:textAlignment w:val="auto"/>
            </w:pPr>
            <w:r>
              <w:rPr>
                <w:rFonts w:ascii="仿宋" w:eastAsia="仿宋" w:hAnsi="仿宋" w:cs="Arial"/>
                <w:sz w:val="18"/>
                <w:szCs w:val="18"/>
              </w:rPr>
              <w:t>北京市顺义区M15号线后</w:t>
            </w:r>
            <w:proofErr w:type="gramStart"/>
            <w:r>
              <w:rPr>
                <w:rFonts w:ascii="仿宋" w:eastAsia="仿宋" w:hAnsi="仿宋" w:cs="Arial"/>
                <w:sz w:val="18"/>
                <w:szCs w:val="18"/>
              </w:rPr>
              <w:t>沙峪站</w:t>
            </w:r>
            <w:proofErr w:type="gramEnd"/>
            <w:r>
              <w:rPr>
                <w:rFonts w:ascii="仿宋" w:eastAsia="仿宋" w:hAnsi="仿宋" w:cs="Arial"/>
                <w:sz w:val="18"/>
                <w:szCs w:val="18"/>
              </w:rPr>
              <w:t>ABC地块</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0C6B590B"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系数</w:t>
            </w:r>
          </w:p>
        </w:tc>
      </w:tr>
      <w:tr w:rsidR="00E70101" w14:paraId="4C59C844" w14:textId="77777777">
        <w:trPr>
          <w:cantSplit/>
          <w:jc w:val="center"/>
        </w:trPr>
        <w:tc>
          <w:tcPr>
            <w:tcW w:w="2279" w:type="dxa"/>
            <w:gridSpan w:val="2"/>
            <w:tcBorders>
              <w:top w:val="single" w:sz="2" w:space="0" w:color="808080"/>
              <w:left w:val="single" w:sz="2" w:space="0" w:color="808080"/>
              <w:bottom w:val="single" w:sz="2" w:space="0" w:color="808080"/>
            </w:tcBorders>
            <w:shd w:val="clear" w:color="auto" w:fill="auto"/>
            <w:vAlign w:val="center"/>
          </w:tcPr>
          <w:p w14:paraId="78C866C8"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交易时间</w:t>
            </w:r>
          </w:p>
        </w:tc>
        <w:tc>
          <w:tcPr>
            <w:tcW w:w="1310" w:type="dxa"/>
            <w:tcBorders>
              <w:top w:val="single" w:sz="2" w:space="0" w:color="808080"/>
              <w:left w:val="single" w:sz="2" w:space="0" w:color="808080"/>
              <w:bottom w:val="single" w:sz="2" w:space="0" w:color="808080"/>
            </w:tcBorders>
            <w:shd w:val="clear" w:color="auto" w:fill="auto"/>
            <w:vAlign w:val="center"/>
          </w:tcPr>
          <w:p w14:paraId="3B1BF87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2024年3月31日</w:t>
            </w:r>
          </w:p>
        </w:tc>
        <w:tc>
          <w:tcPr>
            <w:tcW w:w="417" w:type="dxa"/>
            <w:tcBorders>
              <w:top w:val="single" w:sz="2" w:space="0" w:color="808080"/>
              <w:left w:val="single" w:sz="2" w:space="0" w:color="808080"/>
              <w:bottom w:val="single" w:sz="2" w:space="0" w:color="808080"/>
            </w:tcBorders>
            <w:shd w:val="clear" w:color="auto" w:fill="auto"/>
            <w:vAlign w:val="center"/>
          </w:tcPr>
          <w:p w14:paraId="3B18108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253DD07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2020年10月</w:t>
            </w:r>
          </w:p>
        </w:tc>
        <w:tc>
          <w:tcPr>
            <w:tcW w:w="502" w:type="dxa"/>
            <w:tcBorders>
              <w:top w:val="single" w:sz="2" w:space="0" w:color="808080"/>
              <w:left w:val="single" w:sz="2" w:space="0" w:color="808080"/>
              <w:bottom w:val="single" w:sz="2" w:space="0" w:color="808080"/>
            </w:tcBorders>
            <w:shd w:val="clear" w:color="auto" w:fill="auto"/>
            <w:vAlign w:val="center"/>
          </w:tcPr>
          <w:p w14:paraId="4F7380D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91.48</w:t>
            </w:r>
          </w:p>
        </w:tc>
        <w:tc>
          <w:tcPr>
            <w:tcW w:w="1274" w:type="dxa"/>
            <w:tcBorders>
              <w:top w:val="single" w:sz="2" w:space="0" w:color="808080"/>
              <w:left w:val="single" w:sz="2" w:space="0" w:color="808080"/>
              <w:bottom w:val="single" w:sz="2" w:space="0" w:color="808080"/>
            </w:tcBorders>
            <w:shd w:val="clear" w:color="auto" w:fill="auto"/>
            <w:vAlign w:val="center"/>
          </w:tcPr>
          <w:p w14:paraId="1D2335A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2022年4月</w:t>
            </w:r>
          </w:p>
        </w:tc>
        <w:tc>
          <w:tcPr>
            <w:tcW w:w="503" w:type="dxa"/>
            <w:tcBorders>
              <w:top w:val="single" w:sz="2" w:space="0" w:color="808080"/>
              <w:left w:val="single" w:sz="2" w:space="0" w:color="808080"/>
              <w:bottom w:val="single" w:sz="2" w:space="0" w:color="808080"/>
            </w:tcBorders>
            <w:shd w:val="clear" w:color="auto" w:fill="auto"/>
            <w:vAlign w:val="center"/>
          </w:tcPr>
          <w:p w14:paraId="6ACE880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95.01</w:t>
            </w:r>
          </w:p>
        </w:tc>
        <w:tc>
          <w:tcPr>
            <w:tcW w:w="1212" w:type="dxa"/>
            <w:tcBorders>
              <w:top w:val="single" w:sz="2" w:space="0" w:color="808080"/>
              <w:left w:val="single" w:sz="2" w:space="0" w:color="808080"/>
              <w:bottom w:val="single" w:sz="2" w:space="0" w:color="808080"/>
            </w:tcBorders>
            <w:shd w:val="clear" w:color="auto" w:fill="auto"/>
            <w:vAlign w:val="center"/>
          </w:tcPr>
          <w:p w14:paraId="104498FC" w14:textId="77777777" w:rsidR="00E70101" w:rsidRDefault="0060680B">
            <w:pPr>
              <w:spacing w:line="240" w:lineRule="exact"/>
            </w:pPr>
            <w:r>
              <w:rPr>
                <w:rFonts w:ascii="仿宋" w:eastAsia="仿宋" w:hAnsi="仿宋" w:cs="Arial"/>
                <w:sz w:val="18"/>
                <w:szCs w:val="18"/>
              </w:rPr>
              <w:t>2023年3月</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2ADB08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97.26</w:t>
            </w:r>
          </w:p>
        </w:tc>
      </w:tr>
      <w:tr w:rsidR="00E70101" w14:paraId="39BE62EF" w14:textId="77777777">
        <w:trPr>
          <w:cantSplit/>
          <w:jc w:val="center"/>
        </w:trPr>
        <w:tc>
          <w:tcPr>
            <w:tcW w:w="2279" w:type="dxa"/>
            <w:gridSpan w:val="2"/>
            <w:tcBorders>
              <w:top w:val="single" w:sz="2" w:space="0" w:color="808080"/>
              <w:left w:val="single" w:sz="2" w:space="0" w:color="808080"/>
              <w:bottom w:val="single" w:sz="2" w:space="0" w:color="808080"/>
            </w:tcBorders>
            <w:shd w:val="clear" w:color="auto" w:fill="auto"/>
            <w:vAlign w:val="center"/>
          </w:tcPr>
          <w:p w14:paraId="2B64AC66"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市场状况</w:t>
            </w:r>
          </w:p>
        </w:tc>
        <w:tc>
          <w:tcPr>
            <w:tcW w:w="1310" w:type="dxa"/>
            <w:tcBorders>
              <w:top w:val="single" w:sz="2" w:space="0" w:color="808080"/>
              <w:left w:val="single" w:sz="2" w:space="0" w:color="808080"/>
              <w:bottom w:val="single" w:sz="2" w:space="0" w:color="808080"/>
            </w:tcBorders>
            <w:shd w:val="clear" w:color="auto" w:fill="auto"/>
            <w:vAlign w:val="center"/>
          </w:tcPr>
          <w:p w14:paraId="50369AC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417" w:type="dxa"/>
            <w:tcBorders>
              <w:top w:val="single" w:sz="2" w:space="0" w:color="808080"/>
              <w:left w:val="single" w:sz="2" w:space="0" w:color="808080"/>
              <w:bottom w:val="single" w:sz="2" w:space="0" w:color="808080"/>
            </w:tcBorders>
            <w:shd w:val="clear" w:color="auto" w:fill="auto"/>
            <w:vAlign w:val="center"/>
          </w:tcPr>
          <w:p w14:paraId="59DC6FF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78C09FA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502" w:type="dxa"/>
            <w:tcBorders>
              <w:top w:val="single" w:sz="2" w:space="0" w:color="808080"/>
              <w:left w:val="single" w:sz="2" w:space="0" w:color="808080"/>
              <w:bottom w:val="single" w:sz="2" w:space="0" w:color="808080"/>
            </w:tcBorders>
            <w:shd w:val="clear" w:color="auto" w:fill="auto"/>
            <w:vAlign w:val="center"/>
          </w:tcPr>
          <w:p w14:paraId="10BB02E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716BE56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503" w:type="dxa"/>
            <w:tcBorders>
              <w:top w:val="single" w:sz="2" w:space="0" w:color="808080"/>
              <w:left w:val="single" w:sz="2" w:space="0" w:color="808080"/>
              <w:bottom w:val="single" w:sz="2" w:space="0" w:color="808080"/>
            </w:tcBorders>
            <w:shd w:val="clear" w:color="auto" w:fill="auto"/>
            <w:vAlign w:val="center"/>
          </w:tcPr>
          <w:p w14:paraId="534DBB0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680CBE0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BE20A9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4D92005B" w14:textId="77777777">
        <w:trPr>
          <w:cantSplit/>
          <w:jc w:val="center"/>
        </w:trPr>
        <w:tc>
          <w:tcPr>
            <w:tcW w:w="770" w:type="dxa"/>
            <w:vMerge w:val="restart"/>
            <w:tcBorders>
              <w:top w:val="single" w:sz="2" w:space="0" w:color="808080"/>
              <w:left w:val="single" w:sz="2" w:space="0" w:color="808080"/>
              <w:bottom w:val="single" w:sz="2" w:space="0" w:color="404040"/>
            </w:tcBorders>
            <w:shd w:val="clear" w:color="auto" w:fill="auto"/>
            <w:vAlign w:val="center"/>
          </w:tcPr>
          <w:p w14:paraId="57E63740"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区域因素</w:t>
            </w:r>
          </w:p>
        </w:tc>
        <w:tc>
          <w:tcPr>
            <w:tcW w:w="1509" w:type="dxa"/>
            <w:tcBorders>
              <w:top w:val="single" w:sz="2" w:space="0" w:color="808080"/>
              <w:left w:val="single" w:sz="2" w:space="0" w:color="808080"/>
              <w:bottom w:val="single" w:sz="2" w:space="0" w:color="808080"/>
            </w:tcBorders>
            <w:shd w:val="clear" w:color="auto" w:fill="auto"/>
            <w:vAlign w:val="center"/>
          </w:tcPr>
          <w:p w14:paraId="35E27694"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产业集聚程度</w:t>
            </w:r>
          </w:p>
        </w:tc>
        <w:tc>
          <w:tcPr>
            <w:tcW w:w="1310" w:type="dxa"/>
            <w:tcBorders>
              <w:top w:val="single" w:sz="2" w:space="0" w:color="808080"/>
              <w:left w:val="single" w:sz="2" w:space="0" w:color="808080"/>
              <w:bottom w:val="single" w:sz="2" w:space="0" w:color="808080"/>
            </w:tcBorders>
            <w:shd w:val="clear" w:color="auto" w:fill="auto"/>
            <w:vAlign w:val="center"/>
          </w:tcPr>
          <w:p w14:paraId="4BEBEDE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35134EA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40BC2C7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0E01962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DE9813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320E5C1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6BF0B59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0C73B27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1ED096FA"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75247254"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12430777"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交通便捷度</w:t>
            </w:r>
          </w:p>
        </w:tc>
        <w:tc>
          <w:tcPr>
            <w:tcW w:w="1310" w:type="dxa"/>
            <w:tcBorders>
              <w:top w:val="single" w:sz="2" w:space="0" w:color="808080"/>
              <w:left w:val="single" w:sz="2" w:space="0" w:color="808080"/>
              <w:bottom w:val="single" w:sz="2" w:space="0" w:color="808080"/>
            </w:tcBorders>
            <w:shd w:val="clear" w:color="auto" w:fill="auto"/>
            <w:vAlign w:val="center"/>
          </w:tcPr>
          <w:p w14:paraId="308218F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417" w:type="dxa"/>
            <w:tcBorders>
              <w:top w:val="single" w:sz="2" w:space="0" w:color="808080"/>
              <w:left w:val="single" w:sz="2" w:space="0" w:color="808080"/>
              <w:bottom w:val="single" w:sz="2" w:space="0" w:color="808080"/>
            </w:tcBorders>
            <w:shd w:val="clear" w:color="auto" w:fill="auto"/>
            <w:vAlign w:val="center"/>
          </w:tcPr>
          <w:p w14:paraId="0A040F6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58CE9B5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502" w:type="dxa"/>
            <w:tcBorders>
              <w:top w:val="single" w:sz="2" w:space="0" w:color="808080"/>
              <w:left w:val="single" w:sz="2" w:space="0" w:color="808080"/>
              <w:bottom w:val="single" w:sz="2" w:space="0" w:color="808080"/>
            </w:tcBorders>
            <w:shd w:val="clear" w:color="auto" w:fill="auto"/>
            <w:vAlign w:val="center"/>
          </w:tcPr>
          <w:p w14:paraId="0929F45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298F1C4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503" w:type="dxa"/>
            <w:tcBorders>
              <w:top w:val="single" w:sz="2" w:space="0" w:color="808080"/>
              <w:left w:val="single" w:sz="2" w:space="0" w:color="808080"/>
              <w:bottom w:val="single" w:sz="2" w:space="0" w:color="808080"/>
            </w:tcBorders>
            <w:shd w:val="clear" w:color="auto" w:fill="auto"/>
            <w:vAlign w:val="center"/>
          </w:tcPr>
          <w:p w14:paraId="723D6B0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393F8FB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679EEF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20C4D9E4"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433CBF39"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0C80D5B6"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区域土地利用方向</w:t>
            </w:r>
          </w:p>
        </w:tc>
        <w:tc>
          <w:tcPr>
            <w:tcW w:w="1310" w:type="dxa"/>
            <w:tcBorders>
              <w:top w:val="single" w:sz="2" w:space="0" w:color="808080"/>
              <w:left w:val="single" w:sz="2" w:space="0" w:color="808080"/>
              <w:bottom w:val="single" w:sz="2" w:space="0" w:color="808080"/>
            </w:tcBorders>
            <w:shd w:val="clear" w:color="auto" w:fill="auto"/>
            <w:vAlign w:val="center"/>
          </w:tcPr>
          <w:p w14:paraId="45935F1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41B3C32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2851B7A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61FF8CB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23C6E6E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2096221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3AA76A5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3A80B4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5942CFA8" w14:textId="77777777">
        <w:trPr>
          <w:cantSplit/>
          <w:trHeight w:val="93"/>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3AE7BD6B"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675A978C"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环境状况</w:t>
            </w:r>
          </w:p>
        </w:tc>
        <w:tc>
          <w:tcPr>
            <w:tcW w:w="1310" w:type="dxa"/>
            <w:tcBorders>
              <w:top w:val="single" w:sz="2" w:space="0" w:color="808080"/>
              <w:left w:val="single" w:sz="2" w:space="0" w:color="808080"/>
              <w:bottom w:val="single" w:sz="2" w:space="0" w:color="808080"/>
            </w:tcBorders>
            <w:shd w:val="clear" w:color="auto" w:fill="auto"/>
            <w:vAlign w:val="center"/>
          </w:tcPr>
          <w:p w14:paraId="1974C25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2F50F78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5033A63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687B849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59A3FB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698B256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1A27873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97A05F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7BBAAF0F"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73254974"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787FD6C8"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公共配套设施</w:t>
            </w:r>
          </w:p>
        </w:tc>
        <w:tc>
          <w:tcPr>
            <w:tcW w:w="1310" w:type="dxa"/>
            <w:tcBorders>
              <w:top w:val="single" w:sz="2" w:space="0" w:color="808080"/>
              <w:left w:val="single" w:sz="2" w:space="0" w:color="808080"/>
              <w:bottom w:val="single" w:sz="2" w:space="0" w:color="808080"/>
            </w:tcBorders>
            <w:shd w:val="clear" w:color="auto" w:fill="auto"/>
            <w:vAlign w:val="center"/>
          </w:tcPr>
          <w:p w14:paraId="5B5FA95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417" w:type="dxa"/>
            <w:tcBorders>
              <w:top w:val="single" w:sz="2" w:space="0" w:color="808080"/>
              <w:left w:val="single" w:sz="2" w:space="0" w:color="808080"/>
              <w:bottom w:val="single" w:sz="2" w:space="0" w:color="808080"/>
            </w:tcBorders>
            <w:shd w:val="clear" w:color="auto" w:fill="auto"/>
            <w:vAlign w:val="center"/>
          </w:tcPr>
          <w:p w14:paraId="7FF17EF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6E9FF72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502" w:type="dxa"/>
            <w:tcBorders>
              <w:top w:val="single" w:sz="2" w:space="0" w:color="808080"/>
              <w:left w:val="single" w:sz="2" w:space="0" w:color="808080"/>
              <w:bottom w:val="single" w:sz="2" w:space="0" w:color="808080"/>
            </w:tcBorders>
            <w:shd w:val="clear" w:color="auto" w:fill="auto"/>
            <w:vAlign w:val="center"/>
          </w:tcPr>
          <w:p w14:paraId="09D9B37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7FC5BDE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503" w:type="dxa"/>
            <w:tcBorders>
              <w:top w:val="single" w:sz="2" w:space="0" w:color="808080"/>
              <w:left w:val="single" w:sz="2" w:space="0" w:color="808080"/>
              <w:bottom w:val="single" w:sz="2" w:space="0" w:color="808080"/>
            </w:tcBorders>
            <w:shd w:val="clear" w:color="auto" w:fill="auto"/>
            <w:vAlign w:val="center"/>
          </w:tcPr>
          <w:p w14:paraId="60134E8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5FB8D54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0DAFA2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35C5AE0A"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43DAC1F1"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3A4F1F2E"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基础设施水平</w:t>
            </w:r>
          </w:p>
        </w:tc>
        <w:tc>
          <w:tcPr>
            <w:tcW w:w="1310" w:type="dxa"/>
            <w:tcBorders>
              <w:top w:val="single" w:sz="2" w:space="0" w:color="808080"/>
              <w:left w:val="single" w:sz="2" w:space="0" w:color="808080"/>
              <w:bottom w:val="single" w:sz="2" w:space="0" w:color="808080"/>
            </w:tcBorders>
            <w:shd w:val="clear" w:color="auto" w:fill="auto"/>
            <w:vAlign w:val="center"/>
          </w:tcPr>
          <w:p w14:paraId="086BFF6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417" w:type="dxa"/>
            <w:tcBorders>
              <w:top w:val="single" w:sz="2" w:space="0" w:color="808080"/>
              <w:left w:val="single" w:sz="2" w:space="0" w:color="808080"/>
              <w:bottom w:val="single" w:sz="2" w:space="0" w:color="808080"/>
            </w:tcBorders>
            <w:shd w:val="clear" w:color="auto" w:fill="auto"/>
            <w:vAlign w:val="center"/>
          </w:tcPr>
          <w:p w14:paraId="3230F3A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1AFFDEC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2" w:type="dxa"/>
            <w:tcBorders>
              <w:top w:val="single" w:sz="2" w:space="0" w:color="808080"/>
              <w:left w:val="single" w:sz="2" w:space="0" w:color="808080"/>
              <w:bottom w:val="single" w:sz="2" w:space="0" w:color="808080"/>
            </w:tcBorders>
            <w:shd w:val="clear" w:color="auto" w:fill="auto"/>
            <w:vAlign w:val="center"/>
          </w:tcPr>
          <w:p w14:paraId="6511557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508E81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3" w:type="dxa"/>
            <w:tcBorders>
              <w:top w:val="single" w:sz="2" w:space="0" w:color="808080"/>
              <w:left w:val="single" w:sz="2" w:space="0" w:color="808080"/>
              <w:bottom w:val="single" w:sz="2" w:space="0" w:color="808080"/>
            </w:tcBorders>
            <w:shd w:val="clear" w:color="auto" w:fill="auto"/>
            <w:vAlign w:val="center"/>
          </w:tcPr>
          <w:p w14:paraId="21BD5C4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7888FA8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A003A3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2A325A3F" w14:textId="77777777">
        <w:trPr>
          <w:cantSplit/>
          <w:jc w:val="center"/>
        </w:trPr>
        <w:tc>
          <w:tcPr>
            <w:tcW w:w="770" w:type="dxa"/>
            <w:vMerge w:val="restart"/>
            <w:tcBorders>
              <w:top w:val="single" w:sz="2" w:space="0" w:color="808080"/>
              <w:left w:val="single" w:sz="2" w:space="0" w:color="808080"/>
              <w:bottom w:val="single" w:sz="2" w:space="0" w:color="808080"/>
            </w:tcBorders>
            <w:shd w:val="clear" w:color="auto" w:fill="auto"/>
            <w:vAlign w:val="center"/>
          </w:tcPr>
          <w:p w14:paraId="7BB2849B"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个别因素</w:t>
            </w:r>
          </w:p>
        </w:tc>
        <w:tc>
          <w:tcPr>
            <w:tcW w:w="1509" w:type="dxa"/>
            <w:tcBorders>
              <w:top w:val="single" w:sz="2" w:space="0" w:color="808080"/>
              <w:left w:val="single" w:sz="2" w:space="0" w:color="808080"/>
              <w:bottom w:val="single" w:sz="2" w:space="0" w:color="808080"/>
            </w:tcBorders>
            <w:shd w:val="clear" w:color="auto" w:fill="auto"/>
            <w:vAlign w:val="center"/>
          </w:tcPr>
          <w:p w14:paraId="0A961962"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宗地面积（平方米）</w:t>
            </w:r>
          </w:p>
        </w:tc>
        <w:tc>
          <w:tcPr>
            <w:tcW w:w="1310" w:type="dxa"/>
            <w:tcBorders>
              <w:top w:val="single" w:sz="2" w:space="0" w:color="808080"/>
              <w:left w:val="single" w:sz="2" w:space="0" w:color="808080"/>
              <w:bottom w:val="single" w:sz="2" w:space="0" w:color="808080"/>
            </w:tcBorders>
            <w:shd w:val="clear" w:color="auto" w:fill="auto"/>
            <w:vAlign w:val="center"/>
          </w:tcPr>
          <w:p w14:paraId="3B588DC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370379.14</w:t>
            </w:r>
          </w:p>
        </w:tc>
        <w:tc>
          <w:tcPr>
            <w:tcW w:w="417" w:type="dxa"/>
            <w:tcBorders>
              <w:top w:val="single" w:sz="2" w:space="0" w:color="808080"/>
              <w:left w:val="single" w:sz="2" w:space="0" w:color="808080"/>
              <w:bottom w:val="single" w:sz="2" w:space="0" w:color="808080"/>
            </w:tcBorders>
            <w:shd w:val="clear" w:color="auto" w:fill="auto"/>
            <w:vAlign w:val="center"/>
          </w:tcPr>
          <w:p w14:paraId="4F45036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25A18CD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129000</w:t>
            </w:r>
          </w:p>
        </w:tc>
        <w:tc>
          <w:tcPr>
            <w:tcW w:w="502" w:type="dxa"/>
            <w:tcBorders>
              <w:top w:val="single" w:sz="2" w:space="0" w:color="808080"/>
              <w:left w:val="single" w:sz="2" w:space="0" w:color="808080"/>
              <w:bottom w:val="single" w:sz="2" w:space="0" w:color="808080"/>
            </w:tcBorders>
            <w:shd w:val="clear" w:color="auto" w:fill="auto"/>
            <w:vAlign w:val="center"/>
          </w:tcPr>
          <w:p w14:paraId="41A60EC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102</w:t>
            </w:r>
          </w:p>
        </w:tc>
        <w:tc>
          <w:tcPr>
            <w:tcW w:w="1274" w:type="dxa"/>
            <w:tcBorders>
              <w:top w:val="single" w:sz="2" w:space="0" w:color="808080"/>
              <w:left w:val="single" w:sz="2" w:space="0" w:color="808080"/>
              <w:bottom w:val="single" w:sz="2" w:space="0" w:color="808080"/>
            </w:tcBorders>
            <w:shd w:val="clear" w:color="auto" w:fill="auto"/>
            <w:vAlign w:val="center"/>
          </w:tcPr>
          <w:p w14:paraId="1A925C0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361500</w:t>
            </w:r>
          </w:p>
        </w:tc>
        <w:tc>
          <w:tcPr>
            <w:tcW w:w="503" w:type="dxa"/>
            <w:tcBorders>
              <w:top w:val="single" w:sz="2" w:space="0" w:color="808080"/>
              <w:left w:val="single" w:sz="2" w:space="0" w:color="808080"/>
              <w:bottom w:val="single" w:sz="2" w:space="0" w:color="808080"/>
            </w:tcBorders>
            <w:shd w:val="clear" w:color="auto" w:fill="auto"/>
            <w:vAlign w:val="center"/>
          </w:tcPr>
          <w:p w14:paraId="7BE19A6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18ECAEF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847200</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B0216D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95</w:t>
            </w:r>
          </w:p>
        </w:tc>
      </w:tr>
      <w:tr w:rsidR="00E70101" w14:paraId="35F5F948" w14:textId="77777777">
        <w:trPr>
          <w:cantSplit/>
          <w:jc w:val="center"/>
        </w:trPr>
        <w:tc>
          <w:tcPr>
            <w:tcW w:w="770" w:type="dxa"/>
            <w:vMerge/>
            <w:tcBorders>
              <w:top w:val="single" w:sz="2" w:space="0" w:color="808080"/>
              <w:left w:val="single" w:sz="2" w:space="0" w:color="808080"/>
              <w:bottom w:val="single" w:sz="2" w:space="0" w:color="808080"/>
            </w:tcBorders>
            <w:shd w:val="clear" w:color="auto" w:fill="auto"/>
            <w:vAlign w:val="center"/>
          </w:tcPr>
          <w:p w14:paraId="68BCE233"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313EAB06"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宗地形状</w:t>
            </w:r>
          </w:p>
        </w:tc>
        <w:tc>
          <w:tcPr>
            <w:tcW w:w="1310" w:type="dxa"/>
            <w:tcBorders>
              <w:top w:val="single" w:sz="2" w:space="0" w:color="808080"/>
              <w:left w:val="single" w:sz="2" w:space="0" w:color="808080"/>
              <w:bottom w:val="single" w:sz="2" w:space="0" w:color="808080"/>
            </w:tcBorders>
            <w:shd w:val="clear" w:color="auto" w:fill="auto"/>
            <w:vAlign w:val="center"/>
          </w:tcPr>
          <w:p w14:paraId="4C33DF9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417" w:type="dxa"/>
            <w:tcBorders>
              <w:top w:val="single" w:sz="2" w:space="0" w:color="808080"/>
              <w:left w:val="single" w:sz="2" w:space="0" w:color="808080"/>
              <w:bottom w:val="single" w:sz="2" w:space="0" w:color="808080"/>
            </w:tcBorders>
            <w:shd w:val="clear" w:color="auto" w:fill="auto"/>
            <w:vAlign w:val="center"/>
          </w:tcPr>
          <w:p w14:paraId="7D16937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6623A7E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502" w:type="dxa"/>
            <w:tcBorders>
              <w:top w:val="single" w:sz="2" w:space="0" w:color="808080"/>
              <w:left w:val="single" w:sz="2" w:space="0" w:color="808080"/>
              <w:bottom w:val="single" w:sz="2" w:space="0" w:color="808080"/>
            </w:tcBorders>
            <w:shd w:val="clear" w:color="auto" w:fill="auto"/>
            <w:vAlign w:val="center"/>
          </w:tcPr>
          <w:p w14:paraId="00EE006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4591FF9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503" w:type="dxa"/>
            <w:tcBorders>
              <w:top w:val="single" w:sz="2" w:space="0" w:color="808080"/>
              <w:left w:val="single" w:sz="2" w:space="0" w:color="808080"/>
              <w:bottom w:val="single" w:sz="2" w:space="0" w:color="808080"/>
            </w:tcBorders>
            <w:shd w:val="clear" w:color="auto" w:fill="auto"/>
            <w:vAlign w:val="center"/>
          </w:tcPr>
          <w:p w14:paraId="0D0799C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77A33CA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C5A0EC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304D2222" w14:textId="77777777">
        <w:trPr>
          <w:cantSplit/>
          <w:jc w:val="center"/>
        </w:trPr>
        <w:tc>
          <w:tcPr>
            <w:tcW w:w="770" w:type="dxa"/>
            <w:vMerge/>
            <w:tcBorders>
              <w:top w:val="single" w:sz="2" w:space="0" w:color="808080"/>
              <w:left w:val="single" w:sz="2" w:space="0" w:color="808080"/>
              <w:bottom w:val="single" w:sz="2" w:space="0" w:color="808080"/>
            </w:tcBorders>
            <w:shd w:val="clear" w:color="auto" w:fill="auto"/>
            <w:vAlign w:val="center"/>
          </w:tcPr>
          <w:p w14:paraId="386904D7"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2FEB8319"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宗地开发程度</w:t>
            </w:r>
          </w:p>
        </w:tc>
        <w:tc>
          <w:tcPr>
            <w:tcW w:w="1310" w:type="dxa"/>
            <w:tcBorders>
              <w:top w:val="single" w:sz="2" w:space="0" w:color="808080"/>
              <w:left w:val="single" w:sz="2" w:space="0" w:color="808080"/>
              <w:bottom w:val="single" w:sz="2" w:space="0" w:color="808080"/>
            </w:tcBorders>
            <w:shd w:val="clear" w:color="auto" w:fill="auto"/>
            <w:vAlign w:val="center"/>
          </w:tcPr>
          <w:p w14:paraId="79112B7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417" w:type="dxa"/>
            <w:tcBorders>
              <w:top w:val="single" w:sz="2" w:space="0" w:color="808080"/>
              <w:left w:val="single" w:sz="2" w:space="0" w:color="808080"/>
              <w:bottom w:val="single" w:sz="2" w:space="0" w:color="808080"/>
            </w:tcBorders>
            <w:shd w:val="clear" w:color="auto" w:fill="auto"/>
            <w:vAlign w:val="center"/>
          </w:tcPr>
          <w:p w14:paraId="22BEAA0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078E01B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2" w:type="dxa"/>
            <w:tcBorders>
              <w:top w:val="single" w:sz="2" w:space="0" w:color="808080"/>
              <w:left w:val="single" w:sz="2" w:space="0" w:color="808080"/>
              <w:bottom w:val="single" w:sz="2" w:space="0" w:color="808080"/>
            </w:tcBorders>
            <w:shd w:val="clear" w:color="auto" w:fill="auto"/>
            <w:vAlign w:val="center"/>
          </w:tcPr>
          <w:p w14:paraId="6DE3EF1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5C59297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3" w:type="dxa"/>
            <w:tcBorders>
              <w:top w:val="single" w:sz="2" w:space="0" w:color="808080"/>
              <w:left w:val="single" w:sz="2" w:space="0" w:color="808080"/>
              <w:bottom w:val="single" w:sz="2" w:space="0" w:color="808080"/>
            </w:tcBorders>
            <w:shd w:val="clear" w:color="auto" w:fill="auto"/>
            <w:vAlign w:val="center"/>
          </w:tcPr>
          <w:p w14:paraId="6399874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13E7E46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232C21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1DB6D824" w14:textId="77777777">
        <w:trPr>
          <w:cantSplit/>
          <w:jc w:val="center"/>
        </w:trPr>
        <w:tc>
          <w:tcPr>
            <w:tcW w:w="770" w:type="dxa"/>
            <w:vMerge/>
            <w:tcBorders>
              <w:top w:val="single" w:sz="2" w:space="0" w:color="808080"/>
              <w:left w:val="single" w:sz="2" w:space="0" w:color="808080"/>
              <w:bottom w:val="single" w:sz="2" w:space="0" w:color="808080"/>
            </w:tcBorders>
            <w:shd w:val="clear" w:color="auto" w:fill="auto"/>
            <w:vAlign w:val="center"/>
          </w:tcPr>
          <w:p w14:paraId="1A233F28"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553A9BF9"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工程地质条件</w:t>
            </w:r>
          </w:p>
        </w:tc>
        <w:tc>
          <w:tcPr>
            <w:tcW w:w="1310" w:type="dxa"/>
            <w:tcBorders>
              <w:top w:val="single" w:sz="2" w:space="0" w:color="808080"/>
              <w:left w:val="single" w:sz="2" w:space="0" w:color="808080"/>
              <w:bottom w:val="single" w:sz="2" w:space="0" w:color="808080"/>
            </w:tcBorders>
            <w:shd w:val="clear" w:color="auto" w:fill="auto"/>
            <w:vAlign w:val="center"/>
          </w:tcPr>
          <w:p w14:paraId="447E935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46E87D4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601AD77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00CA00A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087AE2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503103C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036BE1E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CC5721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5265901A" w14:textId="77777777">
        <w:trPr>
          <w:cantSplit/>
          <w:jc w:val="center"/>
        </w:trPr>
        <w:tc>
          <w:tcPr>
            <w:tcW w:w="2279" w:type="dxa"/>
            <w:gridSpan w:val="2"/>
            <w:tcBorders>
              <w:top w:val="single" w:sz="2" w:space="0" w:color="404040"/>
              <w:left w:val="single" w:sz="2" w:space="0" w:color="404040"/>
              <w:bottom w:val="single" w:sz="2" w:space="0" w:color="404040"/>
            </w:tcBorders>
            <w:shd w:val="clear" w:color="auto" w:fill="auto"/>
            <w:vAlign w:val="center"/>
          </w:tcPr>
          <w:p w14:paraId="0A8E9341"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成交单价</w:t>
            </w:r>
          </w:p>
        </w:tc>
        <w:tc>
          <w:tcPr>
            <w:tcW w:w="1727" w:type="dxa"/>
            <w:gridSpan w:val="2"/>
            <w:tcBorders>
              <w:top w:val="single" w:sz="2" w:space="0" w:color="404040"/>
              <w:left w:val="single" w:sz="2" w:space="0" w:color="404040"/>
              <w:bottom w:val="single" w:sz="2" w:space="0" w:color="404040"/>
            </w:tcBorders>
            <w:shd w:val="clear" w:color="auto" w:fill="auto"/>
            <w:vAlign w:val="center"/>
          </w:tcPr>
          <w:p w14:paraId="1AB3E49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w:t>
            </w:r>
          </w:p>
        </w:tc>
        <w:tc>
          <w:tcPr>
            <w:tcW w:w="1795" w:type="dxa"/>
            <w:gridSpan w:val="2"/>
            <w:tcBorders>
              <w:top w:val="single" w:sz="2" w:space="0" w:color="404040"/>
              <w:left w:val="single" w:sz="2" w:space="0" w:color="404040"/>
              <w:bottom w:val="single" w:sz="2" w:space="0" w:color="404040"/>
            </w:tcBorders>
            <w:shd w:val="clear" w:color="auto" w:fill="auto"/>
            <w:vAlign w:val="center"/>
          </w:tcPr>
          <w:p w14:paraId="0255C66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2838.7</w:t>
            </w:r>
          </w:p>
        </w:tc>
        <w:tc>
          <w:tcPr>
            <w:tcW w:w="1777" w:type="dxa"/>
            <w:gridSpan w:val="2"/>
            <w:tcBorders>
              <w:top w:val="single" w:sz="2" w:space="0" w:color="404040"/>
              <w:left w:val="single" w:sz="2" w:space="0" w:color="404040"/>
              <w:bottom w:val="single" w:sz="2" w:space="0" w:color="404040"/>
            </w:tcBorders>
            <w:shd w:val="clear" w:color="auto" w:fill="auto"/>
            <w:vAlign w:val="center"/>
          </w:tcPr>
          <w:p w14:paraId="2FAA45A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2453.6</w:t>
            </w:r>
          </w:p>
        </w:tc>
        <w:tc>
          <w:tcPr>
            <w:tcW w:w="1720"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323FBDE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1589.9</w:t>
            </w:r>
          </w:p>
        </w:tc>
      </w:tr>
      <w:tr w:rsidR="00E70101" w14:paraId="718E40B6" w14:textId="77777777">
        <w:trPr>
          <w:cantSplit/>
          <w:jc w:val="center"/>
        </w:trPr>
        <w:tc>
          <w:tcPr>
            <w:tcW w:w="2279" w:type="dxa"/>
            <w:gridSpan w:val="2"/>
            <w:tcBorders>
              <w:top w:val="single" w:sz="2" w:space="0" w:color="404040"/>
              <w:left w:val="single" w:sz="2" w:space="0" w:color="404040"/>
              <w:bottom w:val="single" w:sz="2" w:space="0" w:color="404040"/>
            </w:tcBorders>
            <w:shd w:val="clear" w:color="auto" w:fill="auto"/>
            <w:vAlign w:val="center"/>
          </w:tcPr>
          <w:p w14:paraId="1D5603F9"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比较价格</w:t>
            </w:r>
          </w:p>
        </w:tc>
        <w:tc>
          <w:tcPr>
            <w:tcW w:w="1727" w:type="dxa"/>
            <w:gridSpan w:val="2"/>
            <w:tcBorders>
              <w:top w:val="single" w:sz="2" w:space="0" w:color="404040"/>
              <w:left w:val="single" w:sz="2" w:space="0" w:color="404040"/>
              <w:bottom w:val="single" w:sz="2" w:space="0" w:color="404040"/>
            </w:tcBorders>
            <w:shd w:val="clear" w:color="auto" w:fill="auto"/>
            <w:vAlign w:val="center"/>
          </w:tcPr>
          <w:p w14:paraId="07E328B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2448</w:t>
            </w:r>
          </w:p>
        </w:tc>
        <w:tc>
          <w:tcPr>
            <w:tcW w:w="1795" w:type="dxa"/>
            <w:gridSpan w:val="2"/>
            <w:tcBorders>
              <w:top w:val="single" w:sz="2" w:space="0" w:color="404040"/>
              <w:left w:val="single" w:sz="2" w:space="0" w:color="404040"/>
              <w:bottom w:val="single" w:sz="2" w:space="0" w:color="404040"/>
            </w:tcBorders>
            <w:shd w:val="clear" w:color="auto" w:fill="auto"/>
            <w:vAlign w:val="center"/>
          </w:tcPr>
          <w:p w14:paraId="309DFCB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3042</w:t>
            </w:r>
          </w:p>
        </w:tc>
        <w:tc>
          <w:tcPr>
            <w:tcW w:w="1777" w:type="dxa"/>
            <w:gridSpan w:val="2"/>
            <w:tcBorders>
              <w:top w:val="single" w:sz="2" w:space="0" w:color="404040"/>
              <w:left w:val="single" w:sz="2" w:space="0" w:color="404040"/>
              <w:bottom w:val="single" w:sz="2" w:space="0" w:color="404040"/>
            </w:tcBorders>
            <w:shd w:val="clear" w:color="auto" w:fill="auto"/>
            <w:vAlign w:val="center"/>
          </w:tcPr>
          <w:p w14:paraId="37F4416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2582</w:t>
            </w:r>
          </w:p>
        </w:tc>
        <w:tc>
          <w:tcPr>
            <w:tcW w:w="1720"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307E1F9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1721</w:t>
            </w:r>
          </w:p>
        </w:tc>
      </w:tr>
    </w:tbl>
    <w:p w14:paraId="79557F0C" w14:textId="77777777" w:rsidR="00E70101" w:rsidRDefault="0060680B">
      <w:pPr>
        <w:spacing w:line="360" w:lineRule="auto"/>
        <w:jc w:val="center"/>
        <w:rPr>
          <w:rFonts w:cs="Arial"/>
        </w:rPr>
      </w:pPr>
      <w:r>
        <w:rPr>
          <w:rFonts w:ascii="Arial" w:eastAsia="仿宋" w:hAnsi="Arial" w:cs="Arial"/>
          <w:b/>
          <w:bCs/>
          <w:szCs w:val="24"/>
        </w:rPr>
        <w:t>因素修正及调整系数表</w:t>
      </w:r>
    </w:p>
    <w:tbl>
      <w:tblPr>
        <w:tblW w:w="9305" w:type="dxa"/>
        <w:jc w:val="center"/>
        <w:tblCellMar>
          <w:top w:w="57" w:type="dxa"/>
          <w:left w:w="28" w:type="dxa"/>
          <w:bottom w:w="57" w:type="dxa"/>
          <w:right w:w="28" w:type="dxa"/>
        </w:tblCellMar>
        <w:tblLook w:val="0000" w:firstRow="0" w:lastRow="0" w:firstColumn="0" w:lastColumn="0" w:noHBand="0" w:noVBand="0"/>
      </w:tblPr>
      <w:tblGrid>
        <w:gridCol w:w="1136"/>
        <w:gridCol w:w="2386"/>
        <w:gridCol w:w="524"/>
        <w:gridCol w:w="1456"/>
        <w:gridCol w:w="596"/>
        <w:gridCol w:w="1316"/>
        <w:gridCol w:w="526"/>
        <w:gridCol w:w="1365"/>
      </w:tblGrid>
      <w:tr w:rsidR="00E70101" w14:paraId="3FB82BEF"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5FF7F627"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比较因素</w:t>
            </w:r>
          </w:p>
        </w:tc>
        <w:tc>
          <w:tcPr>
            <w:tcW w:w="1980" w:type="dxa"/>
            <w:gridSpan w:val="2"/>
            <w:tcBorders>
              <w:top w:val="single" w:sz="2" w:space="0" w:color="404040"/>
              <w:left w:val="single" w:sz="2" w:space="0" w:color="404040"/>
              <w:bottom w:val="single" w:sz="2" w:space="0" w:color="404040"/>
            </w:tcBorders>
            <w:shd w:val="clear" w:color="auto" w:fill="auto"/>
            <w:vAlign w:val="center"/>
          </w:tcPr>
          <w:p w14:paraId="46AB2DA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序号</w:t>
            </w:r>
            <w:r>
              <w:rPr>
                <w:rFonts w:ascii="Arial" w:eastAsia="仿宋_GB2312;仿宋" w:hAnsi="Arial" w:cs="Arial"/>
                <w:sz w:val="18"/>
                <w:szCs w:val="13"/>
              </w:rPr>
              <w:t>1</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30043B3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序号</w:t>
            </w:r>
            <w:r>
              <w:rPr>
                <w:rFonts w:ascii="Arial" w:eastAsia="仿宋_GB2312;仿宋" w:hAnsi="Arial" w:cs="Arial"/>
                <w:sz w:val="18"/>
                <w:szCs w:val="13"/>
              </w:rPr>
              <w:t>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2D5F6526"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序号</w:t>
            </w:r>
            <w:r>
              <w:rPr>
                <w:rFonts w:ascii="Arial" w:eastAsia="仿宋_GB2312;仿宋" w:hAnsi="Arial" w:cs="Arial"/>
                <w:sz w:val="18"/>
                <w:szCs w:val="13"/>
              </w:rPr>
              <w:t>4</w:t>
            </w:r>
          </w:p>
        </w:tc>
      </w:tr>
      <w:tr w:rsidR="00E70101" w14:paraId="4B84F347"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177A5475"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交易情况</w:t>
            </w:r>
          </w:p>
        </w:tc>
        <w:tc>
          <w:tcPr>
            <w:tcW w:w="524" w:type="dxa"/>
            <w:tcBorders>
              <w:top w:val="single" w:sz="2" w:space="0" w:color="404040"/>
              <w:left w:val="single" w:sz="2" w:space="0" w:color="404040"/>
              <w:bottom w:val="single" w:sz="2" w:space="0" w:color="404040"/>
            </w:tcBorders>
            <w:shd w:val="clear" w:color="auto" w:fill="auto"/>
            <w:vAlign w:val="center"/>
          </w:tcPr>
          <w:p w14:paraId="4B06BDC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5CAC759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91.48</w:t>
            </w:r>
          </w:p>
        </w:tc>
        <w:tc>
          <w:tcPr>
            <w:tcW w:w="596" w:type="dxa"/>
            <w:tcBorders>
              <w:top w:val="single" w:sz="2" w:space="0" w:color="404040"/>
              <w:left w:val="single" w:sz="2" w:space="0" w:color="404040"/>
              <w:bottom w:val="single" w:sz="2" w:space="0" w:color="404040"/>
            </w:tcBorders>
            <w:shd w:val="clear" w:color="auto" w:fill="auto"/>
            <w:vAlign w:val="center"/>
          </w:tcPr>
          <w:p w14:paraId="5F28991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3386FDA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95.01</w:t>
            </w:r>
          </w:p>
        </w:tc>
        <w:tc>
          <w:tcPr>
            <w:tcW w:w="526" w:type="dxa"/>
            <w:tcBorders>
              <w:top w:val="single" w:sz="2" w:space="0" w:color="404040"/>
              <w:left w:val="single" w:sz="2" w:space="0" w:color="404040"/>
              <w:bottom w:val="single" w:sz="2" w:space="0" w:color="404040"/>
            </w:tcBorders>
            <w:shd w:val="clear" w:color="auto" w:fill="auto"/>
            <w:vAlign w:val="center"/>
          </w:tcPr>
          <w:p w14:paraId="5CBCA1E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B9C701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97.26</w:t>
            </w:r>
          </w:p>
        </w:tc>
      </w:tr>
      <w:tr w:rsidR="00E70101" w14:paraId="09AABDEE"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4675CB3A"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市场状况</w:t>
            </w:r>
          </w:p>
        </w:tc>
        <w:tc>
          <w:tcPr>
            <w:tcW w:w="524" w:type="dxa"/>
            <w:tcBorders>
              <w:top w:val="single" w:sz="2" w:space="0" w:color="404040"/>
              <w:left w:val="single" w:sz="2" w:space="0" w:color="404040"/>
              <w:bottom w:val="single" w:sz="2" w:space="0" w:color="404040"/>
            </w:tcBorders>
            <w:shd w:val="clear" w:color="auto" w:fill="auto"/>
            <w:vAlign w:val="center"/>
          </w:tcPr>
          <w:p w14:paraId="30024125"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189F07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03DA349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65210D6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400CF6C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C62E9A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656AA772" w14:textId="77777777">
        <w:trPr>
          <w:jc w:val="center"/>
        </w:trPr>
        <w:tc>
          <w:tcPr>
            <w:tcW w:w="1136" w:type="dxa"/>
            <w:vMerge w:val="restart"/>
            <w:tcBorders>
              <w:top w:val="single" w:sz="2" w:space="0" w:color="404040"/>
              <w:left w:val="single" w:sz="2" w:space="0" w:color="404040"/>
              <w:bottom w:val="single" w:sz="2" w:space="0" w:color="404040"/>
            </w:tcBorders>
            <w:shd w:val="clear" w:color="auto" w:fill="auto"/>
            <w:vAlign w:val="center"/>
          </w:tcPr>
          <w:p w14:paraId="76451C8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区域因素</w:t>
            </w:r>
          </w:p>
        </w:tc>
        <w:tc>
          <w:tcPr>
            <w:tcW w:w="2386" w:type="dxa"/>
            <w:tcBorders>
              <w:top w:val="single" w:sz="2" w:space="0" w:color="404040"/>
              <w:left w:val="single" w:sz="2" w:space="0" w:color="404040"/>
              <w:bottom w:val="single" w:sz="2" w:space="0" w:color="404040"/>
            </w:tcBorders>
            <w:shd w:val="clear" w:color="auto" w:fill="auto"/>
            <w:vAlign w:val="center"/>
          </w:tcPr>
          <w:p w14:paraId="5463D19D" w14:textId="77777777" w:rsidR="00E70101" w:rsidRDefault="0060680B">
            <w:pPr>
              <w:widowControl/>
              <w:spacing w:line="240" w:lineRule="exact"/>
              <w:rPr>
                <w:rFonts w:ascii="Arial" w:eastAsia="仿宋_GB2312;仿宋" w:hAnsi="Arial" w:cs="Arial"/>
                <w:sz w:val="18"/>
                <w:szCs w:val="13"/>
              </w:rPr>
            </w:pPr>
            <w:r>
              <w:rPr>
                <w:rFonts w:ascii="仿宋" w:eastAsia="仿宋" w:hAnsi="仿宋" w:cs="Arial"/>
                <w:sz w:val="18"/>
                <w:szCs w:val="18"/>
              </w:rPr>
              <w:t>产业集聚程度</w:t>
            </w:r>
          </w:p>
        </w:tc>
        <w:tc>
          <w:tcPr>
            <w:tcW w:w="524" w:type="dxa"/>
            <w:tcBorders>
              <w:top w:val="single" w:sz="2" w:space="0" w:color="404040"/>
              <w:left w:val="single" w:sz="2" w:space="0" w:color="404040"/>
              <w:bottom w:val="single" w:sz="2" w:space="0" w:color="404040"/>
            </w:tcBorders>
            <w:shd w:val="clear" w:color="auto" w:fill="auto"/>
            <w:vAlign w:val="center"/>
          </w:tcPr>
          <w:p w14:paraId="146D4FF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40A1D86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1BF8A6B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2D1F86A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2D7D90E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52CDEC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09621C4C"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47A69AA1"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5D86E0A3"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交通便捷度</w:t>
            </w:r>
          </w:p>
        </w:tc>
        <w:tc>
          <w:tcPr>
            <w:tcW w:w="524" w:type="dxa"/>
            <w:tcBorders>
              <w:top w:val="single" w:sz="2" w:space="0" w:color="808080"/>
              <w:left w:val="single" w:sz="2" w:space="0" w:color="808080"/>
              <w:bottom w:val="single" w:sz="2" w:space="0" w:color="808080"/>
            </w:tcBorders>
            <w:shd w:val="clear" w:color="auto" w:fill="auto"/>
            <w:vAlign w:val="center"/>
          </w:tcPr>
          <w:p w14:paraId="1A64B85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250197E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492C999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4F0DCDB6"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98</w:t>
            </w:r>
          </w:p>
        </w:tc>
        <w:tc>
          <w:tcPr>
            <w:tcW w:w="526" w:type="dxa"/>
            <w:tcBorders>
              <w:top w:val="single" w:sz="2" w:space="0" w:color="808080"/>
              <w:left w:val="single" w:sz="2" w:space="0" w:color="808080"/>
              <w:bottom w:val="single" w:sz="2" w:space="0" w:color="808080"/>
            </w:tcBorders>
            <w:shd w:val="clear" w:color="auto" w:fill="auto"/>
            <w:vAlign w:val="center"/>
          </w:tcPr>
          <w:p w14:paraId="5F99A95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2503445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075E1E3F"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13E43CCB"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35FCFF87"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区域土地利用方向</w:t>
            </w:r>
          </w:p>
        </w:tc>
        <w:tc>
          <w:tcPr>
            <w:tcW w:w="524" w:type="dxa"/>
            <w:tcBorders>
              <w:top w:val="single" w:sz="2" w:space="0" w:color="808080"/>
              <w:left w:val="single" w:sz="2" w:space="0" w:color="808080"/>
              <w:bottom w:val="single" w:sz="2" w:space="0" w:color="808080"/>
            </w:tcBorders>
            <w:shd w:val="clear" w:color="auto" w:fill="auto"/>
            <w:vAlign w:val="center"/>
          </w:tcPr>
          <w:p w14:paraId="45E3B855"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4C2369FF"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05A642A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5658443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133E686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5C38BAA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1455F72A"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40BB0E7C"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63277C58"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环境状况</w:t>
            </w:r>
          </w:p>
        </w:tc>
        <w:tc>
          <w:tcPr>
            <w:tcW w:w="524" w:type="dxa"/>
            <w:tcBorders>
              <w:top w:val="single" w:sz="2" w:space="0" w:color="808080"/>
              <w:left w:val="single" w:sz="2" w:space="0" w:color="808080"/>
              <w:bottom w:val="single" w:sz="2" w:space="0" w:color="808080"/>
            </w:tcBorders>
            <w:shd w:val="clear" w:color="auto" w:fill="auto"/>
            <w:vAlign w:val="center"/>
          </w:tcPr>
          <w:p w14:paraId="7CDA18E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55F9529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58E174F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5C5218D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548F4DB6"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18A5310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AE5B14C"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40F7CD24"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404040"/>
              <w:left w:val="single" w:sz="2" w:space="0" w:color="404040"/>
              <w:bottom w:val="single" w:sz="2" w:space="0" w:color="404040"/>
            </w:tcBorders>
            <w:shd w:val="clear" w:color="auto" w:fill="auto"/>
            <w:vAlign w:val="bottom"/>
          </w:tcPr>
          <w:p w14:paraId="7D85B178" w14:textId="77777777" w:rsidR="00E70101" w:rsidRDefault="0060680B">
            <w:pPr>
              <w:widowControl/>
              <w:spacing w:line="240" w:lineRule="exact"/>
              <w:rPr>
                <w:rFonts w:ascii="Arial" w:eastAsia="仿宋_GB2312;仿宋" w:hAnsi="Arial" w:cs="Arial"/>
                <w:sz w:val="18"/>
                <w:szCs w:val="13"/>
              </w:rPr>
            </w:pPr>
            <w:r>
              <w:rPr>
                <w:rFonts w:ascii="仿宋" w:eastAsia="仿宋" w:hAnsi="仿宋" w:cs="Arial"/>
                <w:sz w:val="18"/>
                <w:szCs w:val="18"/>
              </w:rPr>
              <w:t>公共配套设施</w:t>
            </w:r>
          </w:p>
        </w:tc>
        <w:tc>
          <w:tcPr>
            <w:tcW w:w="524" w:type="dxa"/>
            <w:tcBorders>
              <w:top w:val="single" w:sz="2" w:space="0" w:color="404040"/>
              <w:left w:val="single" w:sz="2" w:space="0" w:color="404040"/>
              <w:bottom w:val="single" w:sz="2" w:space="0" w:color="404040"/>
            </w:tcBorders>
            <w:shd w:val="clear" w:color="auto" w:fill="auto"/>
            <w:vAlign w:val="center"/>
          </w:tcPr>
          <w:p w14:paraId="0CF64F2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047E0C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408779C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2856A8D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1F97539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0B6F60E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EBE672F"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68CF849A"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bottom"/>
          </w:tcPr>
          <w:p w14:paraId="7C1EF989"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基础设施水平</w:t>
            </w:r>
          </w:p>
        </w:tc>
        <w:tc>
          <w:tcPr>
            <w:tcW w:w="524" w:type="dxa"/>
            <w:tcBorders>
              <w:top w:val="single" w:sz="2" w:space="0" w:color="808080"/>
              <w:left w:val="single" w:sz="2" w:space="0" w:color="808080"/>
              <w:bottom w:val="single" w:sz="2" w:space="0" w:color="808080"/>
            </w:tcBorders>
            <w:shd w:val="clear" w:color="auto" w:fill="auto"/>
            <w:vAlign w:val="center"/>
          </w:tcPr>
          <w:p w14:paraId="4B57E4B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05ED581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7D59DCA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7B739CA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1D4DC1B5"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4B0D0D2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E9788DD" w14:textId="77777777">
        <w:trPr>
          <w:jc w:val="center"/>
        </w:trPr>
        <w:tc>
          <w:tcPr>
            <w:tcW w:w="1136" w:type="dxa"/>
            <w:vMerge w:val="restart"/>
            <w:tcBorders>
              <w:top w:val="single" w:sz="2" w:space="0" w:color="808080"/>
              <w:left w:val="single" w:sz="2" w:space="0" w:color="808080"/>
              <w:bottom w:val="single" w:sz="2" w:space="0" w:color="404040"/>
            </w:tcBorders>
            <w:shd w:val="clear" w:color="auto" w:fill="auto"/>
            <w:vAlign w:val="center"/>
          </w:tcPr>
          <w:p w14:paraId="798963FE"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个别因素</w:t>
            </w:r>
          </w:p>
        </w:tc>
        <w:tc>
          <w:tcPr>
            <w:tcW w:w="2386" w:type="dxa"/>
            <w:tcBorders>
              <w:top w:val="single" w:sz="2" w:space="0" w:color="808080"/>
              <w:left w:val="single" w:sz="2" w:space="0" w:color="808080"/>
              <w:bottom w:val="single" w:sz="2" w:space="0" w:color="808080"/>
            </w:tcBorders>
            <w:shd w:val="clear" w:color="auto" w:fill="auto"/>
            <w:vAlign w:val="center"/>
          </w:tcPr>
          <w:p w14:paraId="26CDF306"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宗地面积</w:t>
            </w:r>
          </w:p>
        </w:tc>
        <w:tc>
          <w:tcPr>
            <w:tcW w:w="524" w:type="dxa"/>
            <w:tcBorders>
              <w:top w:val="single" w:sz="2" w:space="0" w:color="808080"/>
              <w:left w:val="single" w:sz="2" w:space="0" w:color="808080"/>
              <w:bottom w:val="single" w:sz="2" w:space="0" w:color="808080"/>
            </w:tcBorders>
            <w:shd w:val="clear" w:color="auto" w:fill="auto"/>
            <w:vAlign w:val="center"/>
          </w:tcPr>
          <w:p w14:paraId="45F0E87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4612514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102</w:t>
            </w:r>
          </w:p>
        </w:tc>
        <w:tc>
          <w:tcPr>
            <w:tcW w:w="596" w:type="dxa"/>
            <w:tcBorders>
              <w:top w:val="single" w:sz="2" w:space="0" w:color="808080"/>
              <w:left w:val="single" w:sz="2" w:space="0" w:color="808080"/>
              <w:bottom w:val="single" w:sz="2" w:space="0" w:color="808080"/>
            </w:tcBorders>
            <w:shd w:val="clear" w:color="auto" w:fill="auto"/>
            <w:vAlign w:val="center"/>
          </w:tcPr>
          <w:p w14:paraId="47C3FD6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44DD73F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7EB6CE3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46127EC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95</w:t>
            </w:r>
          </w:p>
        </w:tc>
      </w:tr>
      <w:tr w:rsidR="00E70101" w14:paraId="0CE53F0C"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266A72EF"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bottom"/>
          </w:tcPr>
          <w:p w14:paraId="5CC7FCD6"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宗地形状</w:t>
            </w:r>
          </w:p>
        </w:tc>
        <w:tc>
          <w:tcPr>
            <w:tcW w:w="524" w:type="dxa"/>
            <w:tcBorders>
              <w:top w:val="single" w:sz="2" w:space="0" w:color="808080"/>
              <w:left w:val="single" w:sz="2" w:space="0" w:color="808080"/>
              <w:bottom w:val="single" w:sz="2" w:space="0" w:color="808080"/>
            </w:tcBorders>
            <w:shd w:val="clear" w:color="auto" w:fill="auto"/>
            <w:vAlign w:val="center"/>
          </w:tcPr>
          <w:p w14:paraId="7F3B788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278CBF1F"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5D8CD284"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7E74EC0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668F3C0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1FFECC0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CE30FEE"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51B06C6D"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404040"/>
              <w:left w:val="single" w:sz="2" w:space="0" w:color="404040"/>
              <w:bottom w:val="single" w:sz="2" w:space="0" w:color="404040"/>
            </w:tcBorders>
            <w:shd w:val="clear" w:color="auto" w:fill="auto"/>
            <w:vAlign w:val="center"/>
          </w:tcPr>
          <w:p w14:paraId="783C6CDB"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宗地开发程度</w:t>
            </w:r>
          </w:p>
        </w:tc>
        <w:tc>
          <w:tcPr>
            <w:tcW w:w="524" w:type="dxa"/>
            <w:tcBorders>
              <w:top w:val="single" w:sz="2" w:space="0" w:color="404040"/>
              <w:left w:val="single" w:sz="2" w:space="0" w:color="404040"/>
              <w:bottom w:val="single" w:sz="2" w:space="0" w:color="404040"/>
            </w:tcBorders>
            <w:shd w:val="clear" w:color="auto" w:fill="auto"/>
            <w:vAlign w:val="center"/>
          </w:tcPr>
          <w:p w14:paraId="412916E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06073CF"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6F47A88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2B187B0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6534F33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3B62805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539341CF"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3DE6F461"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404040"/>
              <w:left w:val="single" w:sz="2" w:space="0" w:color="404040"/>
              <w:bottom w:val="single" w:sz="2" w:space="0" w:color="404040"/>
            </w:tcBorders>
            <w:shd w:val="clear" w:color="auto" w:fill="auto"/>
            <w:vAlign w:val="center"/>
          </w:tcPr>
          <w:p w14:paraId="6039FBB0"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工程地质条件</w:t>
            </w:r>
          </w:p>
        </w:tc>
        <w:tc>
          <w:tcPr>
            <w:tcW w:w="524" w:type="dxa"/>
            <w:tcBorders>
              <w:top w:val="single" w:sz="2" w:space="0" w:color="404040"/>
              <w:left w:val="single" w:sz="2" w:space="0" w:color="404040"/>
              <w:bottom w:val="single" w:sz="2" w:space="0" w:color="404040"/>
            </w:tcBorders>
            <w:shd w:val="clear" w:color="auto" w:fill="auto"/>
            <w:vAlign w:val="center"/>
          </w:tcPr>
          <w:p w14:paraId="2B796F9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CBB003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5D03602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658D41F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772778B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04FE1B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23C837E4"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5350869A"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成交价格（元</w:t>
            </w:r>
            <w:r>
              <w:rPr>
                <w:rFonts w:ascii="Arial" w:eastAsia="仿宋_GB2312;仿宋" w:hAnsi="Arial" w:cs="Arial"/>
                <w:sz w:val="18"/>
                <w:szCs w:val="13"/>
              </w:rPr>
              <w:t>/</w:t>
            </w:r>
            <w:r>
              <w:rPr>
                <w:rFonts w:ascii="Arial" w:eastAsia="仿宋_GB2312;仿宋" w:hAnsi="Arial" w:cs="Arial"/>
                <w:sz w:val="18"/>
                <w:szCs w:val="13"/>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5348AB12" w14:textId="77777777" w:rsidR="00E70101" w:rsidRDefault="0060680B">
            <w:pPr>
              <w:widowControl/>
              <w:spacing w:line="240" w:lineRule="exact"/>
            </w:pPr>
            <w:r>
              <w:rPr>
                <w:rFonts w:ascii="Arial" w:eastAsia="仿宋_GB2312;仿宋" w:hAnsi="Arial" w:cs="Arial"/>
                <w:sz w:val="18"/>
                <w:szCs w:val="13"/>
              </w:rPr>
              <w:t>2838.7</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25D7A550" w14:textId="77777777" w:rsidR="00E70101" w:rsidRDefault="0060680B">
            <w:pPr>
              <w:widowControl/>
              <w:spacing w:line="240" w:lineRule="exact"/>
            </w:pPr>
            <w:r>
              <w:rPr>
                <w:rFonts w:ascii="Arial" w:eastAsia="仿宋_GB2312;仿宋" w:hAnsi="Arial" w:cs="Arial"/>
                <w:sz w:val="18"/>
                <w:szCs w:val="13"/>
              </w:rPr>
              <w:t>2453.6</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5CEDA462"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1589.9</w:t>
            </w:r>
          </w:p>
        </w:tc>
      </w:tr>
      <w:tr w:rsidR="00E70101" w14:paraId="7C0E7497"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5314FC12"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比较价格（元</w:t>
            </w:r>
            <w:r>
              <w:rPr>
                <w:rFonts w:ascii="Arial" w:eastAsia="仿宋_GB2312;仿宋" w:hAnsi="Arial" w:cs="Arial"/>
                <w:sz w:val="18"/>
                <w:szCs w:val="13"/>
              </w:rPr>
              <w:t>/</w:t>
            </w:r>
            <w:r>
              <w:rPr>
                <w:rFonts w:ascii="Arial" w:eastAsia="仿宋_GB2312;仿宋" w:hAnsi="Arial" w:cs="Arial"/>
                <w:sz w:val="18"/>
                <w:szCs w:val="13"/>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67171B00"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3042</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7C73AE61"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2582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7CF5C834"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1721</w:t>
            </w:r>
          </w:p>
        </w:tc>
      </w:tr>
    </w:tbl>
    <w:p w14:paraId="519BAEE1" w14:textId="77777777" w:rsidR="00E70101" w:rsidRDefault="0060680B">
      <w:pPr>
        <w:spacing w:line="360" w:lineRule="auto"/>
        <w:ind w:firstLine="560"/>
        <w:rPr>
          <w:rFonts w:ascii="Arial" w:eastAsia="仿宋" w:hAnsi="Arial" w:cs="Arial"/>
          <w:color w:val="000000"/>
          <w:sz w:val="28"/>
          <w:szCs w:val="28"/>
        </w:rPr>
      </w:pPr>
      <w:r>
        <w:rPr>
          <w:rFonts w:ascii="Arial" w:eastAsia="仿宋" w:hAnsi="Arial" w:cs="Arial"/>
          <w:color w:val="000000"/>
          <w:sz w:val="28"/>
          <w:szCs w:val="28"/>
        </w:rPr>
        <w:t>因此，本次评估取三个比较价值的简单算术平均值作为咨询对象的最终结果。</w:t>
      </w:r>
    </w:p>
    <w:p w14:paraId="5C90C87A" w14:textId="77777777" w:rsidR="00E70101" w:rsidRDefault="0060680B">
      <w:pPr>
        <w:overflowPunct w:val="0"/>
        <w:spacing w:line="360" w:lineRule="auto"/>
        <w:ind w:firstLine="560"/>
        <w:jc w:val="both"/>
        <w:rPr>
          <w:rFonts w:ascii="Arial" w:eastAsia="仿宋" w:hAnsi="Arial" w:cs="Arial"/>
          <w:color w:val="000000"/>
          <w:sz w:val="28"/>
          <w:szCs w:val="28"/>
        </w:rPr>
      </w:pPr>
      <w:r>
        <w:rPr>
          <w:rFonts w:ascii="Arial" w:eastAsia="仿宋" w:hAnsi="Arial" w:cs="Arial"/>
          <w:color w:val="000000"/>
          <w:sz w:val="28"/>
          <w:szCs w:val="28"/>
        </w:rPr>
        <w:t>单</w:t>
      </w:r>
      <w:r>
        <w:rPr>
          <w:rFonts w:ascii="Arial" w:eastAsia="仿宋" w:hAnsi="Arial" w:cs="Arial"/>
          <w:sz w:val="28"/>
          <w:szCs w:val="28"/>
        </w:rPr>
        <w:t>价＝（</w:t>
      </w:r>
      <w:r>
        <w:rPr>
          <w:rFonts w:ascii="Arial" w:eastAsia="仿宋" w:hAnsi="Arial" w:cs="Arial"/>
          <w:sz w:val="28"/>
          <w:szCs w:val="28"/>
        </w:rPr>
        <w:t>3042</w:t>
      </w:r>
      <w:r>
        <w:rPr>
          <w:rFonts w:ascii="Arial" w:eastAsia="仿宋" w:hAnsi="Arial" w:cs="Arial"/>
          <w:sz w:val="28"/>
          <w:szCs w:val="28"/>
        </w:rPr>
        <w:t>＋</w:t>
      </w:r>
      <w:r>
        <w:rPr>
          <w:rFonts w:ascii="Arial" w:eastAsia="仿宋" w:hAnsi="Arial" w:cs="Arial"/>
          <w:sz w:val="28"/>
          <w:szCs w:val="28"/>
        </w:rPr>
        <w:t>2582</w:t>
      </w:r>
      <w:r>
        <w:rPr>
          <w:rFonts w:ascii="Arial" w:eastAsia="仿宋" w:hAnsi="Arial" w:cs="Arial"/>
          <w:sz w:val="28"/>
          <w:szCs w:val="28"/>
        </w:rPr>
        <w:t>＋</w:t>
      </w:r>
      <w:r>
        <w:rPr>
          <w:rFonts w:ascii="Arial" w:eastAsia="仿宋" w:hAnsi="Arial" w:cs="Arial"/>
          <w:sz w:val="28"/>
          <w:szCs w:val="28"/>
        </w:rPr>
        <w:t>1721</w:t>
      </w: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w:t>
      </w:r>
      <w:r>
        <w:rPr>
          <w:rFonts w:ascii="Arial" w:eastAsia="仿宋" w:hAnsi="Arial" w:cs="Arial"/>
          <w:sz w:val="28"/>
          <w:szCs w:val="28"/>
        </w:rPr>
        <w:t>2448</w:t>
      </w:r>
      <w:r>
        <w:rPr>
          <w:rFonts w:ascii="Arial" w:eastAsia="仿宋" w:hAnsi="Arial" w:cs="Arial"/>
          <w:sz w:val="28"/>
          <w:szCs w:val="28"/>
        </w:rPr>
        <w:t>（元</w:t>
      </w:r>
      <w:r>
        <w:rPr>
          <w:rFonts w:ascii="Arial" w:eastAsia="仿宋" w:hAnsi="Arial" w:cs="Arial"/>
          <w:sz w:val="28"/>
          <w:szCs w:val="28"/>
        </w:rPr>
        <w:t>/</w:t>
      </w:r>
      <w:r>
        <w:rPr>
          <w:rFonts w:ascii="Arial" w:eastAsia="仿宋" w:hAnsi="Arial" w:cs="Arial"/>
          <w:color w:val="000000"/>
          <w:sz w:val="28"/>
          <w:szCs w:val="28"/>
        </w:rPr>
        <w:t>平方米）</w:t>
      </w:r>
    </w:p>
    <w:p w14:paraId="3967C8E3" w14:textId="77777777" w:rsidR="00E70101" w:rsidRDefault="0060680B">
      <w:pPr>
        <w:spacing w:before="120" w:line="360" w:lineRule="auto"/>
        <w:ind w:firstLine="560"/>
        <w:jc w:val="both"/>
      </w:pPr>
      <w:r>
        <w:rPr>
          <w:rFonts w:ascii="Arial" w:eastAsia="仿宋_GB2312;仿宋" w:hAnsi="Arial" w:cs="Arial"/>
          <w:sz w:val="28"/>
          <w:szCs w:val="28"/>
        </w:rPr>
        <w:t>咨询对象土地面积为</w:t>
      </w:r>
      <w:r>
        <w:rPr>
          <w:rFonts w:ascii="Arial" w:eastAsia="仿宋_GB2312;仿宋" w:hAnsi="Arial" w:cs="Arial"/>
          <w:sz w:val="28"/>
          <w:szCs w:val="28"/>
        </w:rPr>
        <w:t>370379.14</w:t>
      </w:r>
      <w:r>
        <w:rPr>
          <w:rFonts w:ascii="Arial" w:eastAsia="仿宋_GB2312;仿宋" w:hAnsi="Arial" w:cs="Arial"/>
          <w:sz w:val="28"/>
          <w:szCs w:val="28"/>
        </w:rPr>
        <w:t>平方米。则有：</w:t>
      </w:r>
    </w:p>
    <w:p w14:paraId="5D927AC3" w14:textId="77777777" w:rsidR="00E70101" w:rsidRDefault="0060680B">
      <w:pPr>
        <w:spacing w:before="120" w:line="360" w:lineRule="auto"/>
        <w:ind w:firstLine="560"/>
        <w:jc w:val="both"/>
        <w:rPr>
          <w:rFonts w:ascii="Arial" w:hAnsi="Arial" w:cs="Arial"/>
          <w:sz w:val="28"/>
        </w:rPr>
      </w:pPr>
      <w:r>
        <w:rPr>
          <w:rFonts w:ascii="Arial" w:eastAsia="仿宋_GB2312;仿宋" w:hAnsi="Arial" w:cs="Arial"/>
          <w:sz w:val="28"/>
          <w:szCs w:val="28"/>
        </w:rPr>
        <w:t>土地取得费及相关税费</w:t>
      </w:r>
      <w:r>
        <w:rPr>
          <w:rFonts w:ascii="Arial" w:eastAsia="仿宋_GB2312;仿宋" w:hAnsi="Arial" w:cs="Arial"/>
          <w:sz w:val="28"/>
          <w:szCs w:val="28"/>
        </w:rPr>
        <w:t>=2448×370379.14÷10000=90669</w:t>
      </w:r>
      <w:r>
        <w:rPr>
          <w:rFonts w:ascii="Arial" w:eastAsia="仿宋_GB2312;仿宋" w:hAnsi="Arial" w:cs="Arial"/>
          <w:sz w:val="28"/>
          <w:szCs w:val="28"/>
        </w:rPr>
        <w:t>（万元）</w:t>
      </w:r>
      <w:r>
        <w:rPr>
          <w:rFonts w:ascii="Arial" w:eastAsia="Arial" w:hAnsi="Arial" w:cs="Arial"/>
          <w:sz w:val="28"/>
        </w:rPr>
        <w:t xml:space="preserve"> </w:t>
      </w:r>
    </w:p>
    <w:p w14:paraId="577C83EC" w14:textId="77777777" w:rsidR="00E70101" w:rsidRDefault="0060680B">
      <w:pPr>
        <w:spacing w:line="360" w:lineRule="auto"/>
        <w:ind w:firstLine="565"/>
      </w:pPr>
      <w:r>
        <w:rPr>
          <w:rFonts w:ascii="Arial" w:eastAsia="仿宋_GB2312;仿宋" w:hAnsi="Arial" w:cs="Arial"/>
          <w:b/>
          <w:sz w:val="28"/>
        </w:rPr>
        <w:t>2.</w:t>
      </w:r>
      <w:r>
        <w:rPr>
          <w:rFonts w:ascii="Arial" w:eastAsia="仿宋_GB2312;仿宋" w:hAnsi="Arial" w:cs="Arial"/>
          <w:b/>
          <w:sz w:val="28"/>
        </w:rPr>
        <w:t>土地开发费</w:t>
      </w:r>
    </w:p>
    <w:p w14:paraId="5EDDE2F4"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咨询对象位于北京市基准地价工业用途七级地价区</w:t>
      </w:r>
      <w:r>
        <w:rPr>
          <w:rFonts w:ascii="Arial" w:eastAsia="仿宋_GB2312;仿宋" w:hAnsi="Arial" w:cs="Arial"/>
          <w:sz w:val="28"/>
          <w:szCs w:val="28"/>
        </w:rPr>
        <w:t>，参考《北京市人民政府关于更新出让国有建设用地使用权基准地价的通知》</w:t>
      </w:r>
      <w:r>
        <w:rPr>
          <w:rFonts w:ascii="Arial" w:eastAsia="仿宋_GB2312;仿宋" w:hAnsi="Arial" w:cs="Arial"/>
          <w:sz w:val="28"/>
          <w:szCs w:val="28"/>
        </w:rPr>
        <w:t>[</w:t>
      </w:r>
      <w:r>
        <w:rPr>
          <w:rFonts w:ascii="Arial" w:eastAsia="仿宋_GB2312;仿宋" w:hAnsi="Arial" w:cs="Arial"/>
          <w:sz w:val="28"/>
          <w:szCs w:val="28"/>
        </w:rPr>
        <w:t>京政发（</w:t>
      </w:r>
      <w:r>
        <w:rPr>
          <w:rFonts w:ascii="Arial" w:eastAsia="仿宋_GB2312;仿宋" w:hAnsi="Arial" w:cs="Arial"/>
          <w:sz w:val="28"/>
          <w:szCs w:val="28"/>
        </w:rPr>
        <w:t>2022</w:t>
      </w:r>
      <w:r>
        <w:rPr>
          <w:rFonts w:ascii="Arial" w:eastAsia="仿宋_GB2312;仿宋" w:hAnsi="Arial" w:cs="Arial"/>
          <w:sz w:val="28"/>
          <w:szCs w:val="28"/>
        </w:rPr>
        <w:t>）</w:t>
      </w:r>
      <w:r>
        <w:rPr>
          <w:rFonts w:ascii="Arial" w:eastAsia="仿宋_GB2312;仿宋" w:hAnsi="Arial" w:cs="Arial"/>
          <w:sz w:val="28"/>
          <w:szCs w:val="28"/>
        </w:rPr>
        <w:t>12</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的规定，</w:t>
      </w:r>
      <w:r>
        <w:rPr>
          <w:rFonts w:ascii="Arial" w:eastAsia="仿宋_GB2312;仿宋" w:hAnsi="Arial" w:cs="Arial"/>
          <w:sz w:val="28"/>
        </w:rPr>
        <w:t>该项目宗地外土地开发程度为</w:t>
      </w:r>
      <w:r>
        <w:rPr>
          <w:rFonts w:ascii="Arial" w:eastAsia="仿宋_GB2312;仿宋" w:hAnsi="Arial" w:cs="Arial"/>
          <w:sz w:val="28"/>
        </w:rPr>
        <w:t>“</w:t>
      </w:r>
      <w:r>
        <w:rPr>
          <w:rFonts w:ascii="Arial" w:eastAsia="仿宋_GB2312;仿宋" w:hAnsi="Arial" w:cs="Arial"/>
          <w:sz w:val="28"/>
        </w:rPr>
        <w:t>七通一平</w:t>
      </w:r>
      <w:r>
        <w:rPr>
          <w:rFonts w:ascii="Arial" w:eastAsia="仿宋_GB2312;仿宋" w:hAnsi="Arial" w:cs="Arial"/>
          <w:sz w:val="28"/>
        </w:rPr>
        <w:t>”</w:t>
      </w:r>
      <w:r>
        <w:rPr>
          <w:rFonts w:ascii="Arial" w:eastAsia="仿宋_GB2312;仿宋" w:hAnsi="Arial" w:cs="Arial"/>
          <w:sz w:val="28"/>
        </w:rPr>
        <w:t>，参照北京市基准地价取值标准，土地开发费按</w:t>
      </w:r>
      <w:r>
        <w:rPr>
          <w:rFonts w:ascii="Arial" w:eastAsia="仿宋_GB2312;仿宋" w:hAnsi="Arial" w:cs="Arial"/>
          <w:sz w:val="28"/>
        </w:rPr>
        <w:t>185</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土地平方米记取。</w:t>
      </w:r>
    </w:p>
    <w:p w14:paraId="01588BE7"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土地开发费</w:t>
      </w:r>
      <w:r>
        <w:rPr>
          <w:rFonts w:ascii="Arial" w:eastAsia="仿宋_GB2312;仿宋" w:hAnsi="Arial" w:cs="Arial"/>
          <w:sz w:val="28"/>
        </w:rPr>
        <w:t>=185×370379.14÷10000</w:t>
      </w:r>
    </w:p>
    <w:p w14:paraId="3CFBC78D" w14:textId="77777777" w:rsidR="00E70101" w:rsidRDefault="0060680B">
      <w:pPr>
        <w:spacing w:line="360" w:lineRule="auto"/>
        <w:ind w:firstLine="1963"/>
      </w:pPr>
      <w:r>
        <w:rPr>
          <w:rFonts w:ascii="Arial" w:eastAsia="仿宋_GB2312;仿宋" w:hAnsi="Arial" w:cs="Arial"/>
          <w:sz w:val="28"/>
        </w:rPr>
        <w:t>=6852</w:t>
      </w:r>
      <w:r>
        <w:rPr>
          <w:rFonts w:ascii="Arial" w:eastAsia="仿宋_GB2312;仿宋" w:hAnsi="Arial" w:cs="Arial"/>
          <w:sz w:val="28"/>
        </w:rPr>
        <w:t>（万元）</w:t>
      </w:r>
    </w:p>
    <w:p w14:paraId="222353A1" w14:textId="77777777" w:rsidR="00E70101" w:rsidRDefault="0060680B">
      <w:pPr>
        <w:spacing w:line="360" w:lineRule="auto"/>
        <w:ind w:firstLine="565"/>
      </w:pPr>
      <w:r>
        <w:rPr>
          <w:rFonts w:ascii="Arial" w:eastAsia="仿宋_GB2312;仿宋" w:hAnsi="Arial" w:cs="Arial"/>
          <w:b/>
          <w:sz w:val="28"/>
        </w:rPr>
        <w:t>3.</w:t>
      </w:r>
      <w:r>
        <w:rPr>
          <w:rFonts w:ascii="Arial" w:eastAsia="仿宋_GB2312;仿宋" w:hAnsi="Arial" w:cs="Arial"/>
          <w:b/>
          <w:sz w:val="28"/>
        </w:rPr>
        <w:t>投资利息</w:t>
      </w:r>
    </w:p>
    <w:p w14:paraId="404BF98A" w14:textId="77777777" w:rsidR="00E70101" w:rsidRDefault="0060680B">
      <w:pPr>
        <w:spacing w:line="360" w:lineRule="auto"/>
        <w:ind w:firstLine="563"/>
        <w:jc w:val="both"/>
      </w:pPr>
      <w:proofErr w:type="gramStart"/>
      <w:r>
        <w:rPr>
          <w:rFonts w:ascii="Arial" w:eastAsia="仿宋_GB2312;仿宋" w:hAnsi="Arial" w:cs="Arial"/>
          <w:sz w:val="28"/>
        </w:rPr>
        <w:t>根据待估宗地</w:t>
      </w:r>
      <w:proofErr w:type="gramEnd"/>
      <w:r>
        <w:rPr>
          <w:rFonts w:ascii="Arial" w:eastAsia="仿宋_GB2312;仿宋" w:hAnsi="Arial" w:cs="Arial"/>
          <w:sz w:val="28"/>
        </w:rPr>
        <w:t>的实际开发程度，设定土地开发周期为</w:t>
      </w:r>
      <w:r>
        <w:rPr>
          <w:rFonts w:ascii="Arial" w:eastAsia="仿宋_GB2312;仿宋" w:hAnsi="Arial" w:cs="Arial"/>
          <w:sz w:val="28"/>
        </w:rPr>
        <w:t>1</w:t>
      </w:r>
      <w:r>
        <w:rPr>
          <w:rFonts w:ascii="Arial" w:eastAsia="仿宋_GB2312;仿宋" w:hAnsi="Arial" w:cs="Arial"/>
          <w:sz w:val="28"/>
        </w:rPr>
        <w:t>年，投资利息率</w:t>
      </w:r>
      <w:proofErr w:type="gramStart"/>
      <w:r>
        <w:rPr>
          <w:rFonts w:ascii="Arial" w:eastAsia="仿宋_GB2312;仿宋" w:hAnsi="Arial" w:cs="Arial"/>
          <w:sz w:val="28"/>
        </w:rPr>
        <w:t>按咨询</w:t>
      </w:r>
      <w:proofErr w:type="gramEnd"/>
      <w:r>
        <w:rPr>
          <w:rFonts w:ascii="Arial" w:eastAsia="仿宋_GB2312;仿宋" w:hAnsi="Arial" w:cs="Arial"/>
          <w:sz w:val="28"/>
        </w:rPr>
        <w:t>期日中国人民银行公布的</w:t>
      </w:r>
      <w:r>
        <w:rPr>
          <w:rFonts w:ascii="Arial" w:eastAsia="仿宋_GB2312;仿宋" w:hAnsi="Arial" w:cs="Arial"/>
          <w:sz w:val="28"/>
        </w:rPr>
        <w:t>1</w:t>
      </w:r>
      <w:r>
        <w:rPr>
          <w:rFonts w:ascii="Arial" w:eastAsia="仿宋_GB2312;仿宋" w:hAnsi="Arial" w:cs="Arial"/>
          <w:sz w:val="28"/>
        </w:rPr>
        <w:t>年</w:t>
      </w:r>
      <w:proofErr w:type="gramStart"/>
      <w:r>
        <w:rPr>
          <w:rFonts w:ascii="Arial" w:eastAsia="仿宋_GB2312;仿宋" w:hAnsi="Arial" w:cs="Arial"/>
          <w:sz w:val="28"/>
        </w:rPr>
        <w:t>期贷</w:t>
      </w:r>
      <w:proofErr w:type="gramEnd"/>
      <w:r>
        <w:rPr>
          <w:rFonts w:ascii="Arial" w:eastAsia="仿宋_GB2312;仿宋" w:hAnsi="Arial" w:cs="Arial"/>
          <w:sz w:val="28"/>
        </w:rPr>
        <w:t>款利息率</w:t>
      </w:r>
      <w:commentRangeStart w:id="61"/>
      <w:r>
        <w:rPr>
          <w:rFonts w:ascii="Arial" w:eastAsia="仿宋_GB2312;仿宋" w:hAnsi="Arial" w:cs="Arial"/>
          <w:sz w:val="28"/>
        </w:rPr>
        <w:t>3.45%</w:t>
      </w:r>
      <w:commentRangeEnd w:id="61"/>
      <w:r>
        <w:commentReference w:id="61"/>
      </w:r>
      <w:r>
        <w:rPr>
          <w:rFonts w:ascii="Arial" w:eastAsia="仿宋_GB2312;仿宋" w:hAnsi="Arial" w:cs="Arial"/>
          <w:sz w:val="28"/>
        </w:rPr>
        <w:t>计，假设土地取得费在土地开发初始时一次性投入，土地开发费在开发周期内均匀投入，按照复利计息，则：</w:t>
      </w:r>
    </w:p>
    <w:p w14:paraId="3DB109DC" w14:textId="32E809B5"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投资利息＝</w:t>
      </w:r>
      <w:r>
        <w:rPr>
          <w:rFonts w:ascii="Arial" w:eastAsia="仿宋_GB2312;仿宋" w:hAnsi="Arial" w:cs="Arial"/>
          <w:sz w:val="28"/>
        </w:rPr>
        <w:t>90669×[</w:t>
      </w:r>
      <w:r>
        <w:rPr>
          <w:rFonts w:ascii="Arial" w:eastAsia="仿宋_GB2312;仿宋" w:hAnsi="Arial" w:cs="Arial"/>
          <w:sz w:val="28"/>
        </w:rPr>
        <w:t>（</w:t>
      </w:r>
      <w:r>
        <w:rPr>
          <w:rFonts w:ascii="Arial" w:eastAsia="仿宋_GB2312;仿宋" w:hAnsi="Arial" w:cs="Arial"/>
          <w:sz w:val="28"/>
        </w:rPr>
        <w:t>1+</w:t>
      </w:r>
      <w:r w:rsidR="00693E9D">
        <w:rPr>
          <w:rFonts w:ascii="Arial" w:eastAsia="仿宋_GB2312;仿宋" w:hAnsi="Arial" w:cs="Arial"/>
          <w:sz w:val="28"/>
        </w:rPr>
        <w:t>3.45</w:t>
      </w:r>
      <w:commentRangeStart w:id="62"/>
      <w:r>
        <w:rPr>
          <w:rFonts w:ascii="Arial" w:eastAsia="仿宋_GB2312;仿宋" w:hAnsi="Arial" w:cs="Arial"/>
          <w:sz w:val="28"/>
        </w:rPr>
        <w:t>%</w:t>
      </w:r>
      <w:commentRangeEnd w:id="62"/>
      <w:r>
        <w:commentReference w:id="62"/>
      </w:r>
      <w:r>
        <w:rPr>
          <w:rFonts w:ascii="Arial" w:eastAsia="仿宋_GB2312;仿宋" w:hAnsi="Arial" w:cs="Arial"/>
          <w:sz w:val="28"/>
        </w:rPr>
        <w:t>）</w:t>
      </w:r>
      <w:r>
        <w:rPr>
          <w:rFonts w:ascii="Arial" w:eastAsia="仿宋_GB2312;仿宋" w:hAnsi="Arial" w:cs="Arial"/>
          <w:sz w:val="28"/>
          <w:vertAlign w:val="superscript"/>
        </w:rPr>
        <w:t>1</w:t>
      </w:r>
      <w:r>
        <w:rPr>
          <w:rFonts w:ascii="Arial" w:eastAsia="仿宋_GB2312;仿宋" w:hAnsi="Arial" w:cs="Arial"/>
          <w:sz w:val="28"/>
        </w:rPr>
        <w:t>-1]</w:t>
      </w:r>
      <w:r>
        <w:rPr>
          <w:rFonts w:ascii="Arial" w:eastAsia="仿宋_GB2312;仿宋" w:hAnsi="Arial" w:cs="Arial"/>
          <w:sz w:val="28"/>
        </w:rPr>
        <w:t>＋</w:t>
      </w:r>
      <w:r>
        <w:rPr>
          <w:rFonts w:ascii="Arial" w:eastAsia="仿宋_GB2312;仿宋" w:hAnsi="Arial" w:cs="Arial"/>
          <w:sz w:val="28"/>
        </w:rPr>
        <w:t>6852×[</w:t>
      </w:r>
      <w:r>
        <w:rPr>
          <w:rFonts w:ascii="Arial" w:eastAsia="仿宋_GB2312;仿宋" w:hAnsi="Arial" w:cs="Arial"/>
          <w:sz w:val="28"/>
        </w:rPr>
        <w:t>（</w:t>
      </w:r>
      <w:r w:rsidR="00693E9D">
        <w:rPr>
          <w:rFonts w:ascii="Arial" w:eastAsia="仿宋_GB2312;仿宋" w:hAnsi="Arial" w:cs="Arial"/>
          <w:sz w:val="28"/>
        </w:rPr>
        <w:t>1+3.45</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vertAlign w:val="superscript"/>
        </w:rPr>
        <w:t>1/2</w:t>
      </w:r>
      <w:r>
        <w:rPr>
          <w:rFonts w:ascii="Arial" w:eastAsia="仿宋_GB2312;仿宋" w:hAnsi="Arial" w:cs="Arial"/>
          <w:sz w:val="28"/>
        </w:rPr>
        <w:t>-1]</w:t>
      </w:r>
      <w:r>
        <w:rPr>
          <w:rFonts w:ascii="Arial" w:eastAsia="仿宋_GB2312;仿宋" w:hAnsi="Arial" w:cs="Arial"/>
          <w:sz w:val="28"/>
          <w:szCs w:val="28"/>
        </w:rPr>
        <w:t xml:space="preserve"> </w:t>
      </w:r>
    </w:p>
    <w:p w14:paraId="4BD417E2" w14:textId="77777777" w:rsidR="00E70101" w:rsidRDefault="0060680B">
      <w:pPr>
        <w:spacing w:line="360" w:lineRule="auto"/>
        <w:ind w:firstLine="168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3246</w:t>
      </w:r>
      <w:r>
        <w:rPr>
          <w:rFonts w:ascii="Arial" w:eastAsia="仿宋_GB2312;仿宋" w:hAnsi="Arial" w:cs="Arial"/>
          <w:sz w:val="28"/>
        </w:rPr>
        <w:t>（万元）</w:t>
      </w:r>
    </w:p>
    <w:p w14:paraId="22A52693" w14:textId="77777777" w:rsidR="00E70101" w:rsidRDefault="0060680B">
      <w:pPr>
        <w:spacing w:line="360" w:lineRule="auto"/>
        <w:ind w:firstLine="565"/>
      </w:pPr>
      <w:r>
        <w:rPr>
          <w:rFonts w:ascii="Arial" w:eastAsia="仿宋_GB2312;仿宋" w:hAnsi="Arial" w:cs="Arial"/>
          <w:b/>
          <w:sz w:val="28"/>
        </w:rPr>
        <w:t>4.</w:t>
      </w:r>
      <w:r>
        <w:rPr>
          <w:rFonts w:ascii="Arial" w:eastAsia="仿宋_GB2312;仿宋" w:hAnsi="Arial" w:cs="Arial"/>
          <w:b/>
          <w:sz w:val="28"/>
        </w:rPr>
        <w:t>投资利润</w:t>
      </w:r>
    </w:p>
    <w:p w14:paraId="34C59757" w14:textId="77777777" w:rsidR="00E70101" w:rsidRDefault="0060680B">
      <w:pPr>
        <w:spacing w:line="360" w:lineRule="auto"/>
        <w:ind w:firstLine="563"/>
        <w:jc w:val="both"/>
        <w:rPr>
          <w:rFonts w:eastAsia="仿宋_GB2312;仿宋"/>
        </w:rPr>
      </w:pPr>
      <w:r>
        <w:rPr>
          <w:rFonts w:ascii="Arial" w:eastAsia="仿宋_GB2312;仿宋" w:hAnsi="Arial" w:cs="Arial"/>
          <w:sz w:val="28"/>
        </w:rPr>
        <w:t>根据《关于进一步规范土地一级开发项目管理费和利润管理的通知》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，该意见规定，开发时间</w:t>
      </w:r>
      <w:r>
        <w:rPr>
          <w:rFonts w:ascii="Arial" w:eastAsia="仿宋_GB2312;仿宋" w:hAnsi="Arial" w:cs="Arial"/>
          <w:sz w:val="28"/>
        </w:rPr>
        <w:t>1</w:t>
      </w:r>
      <w:r>
        <w:rPr>
          <w:rFonts w:ascii="Arial" w:eastAsia="仿宋_GB2312;仿宋" w:hAnsi="Arial" w:cs="Arial"/>
          <w:sz w:val="28"/>
        </w:rPr>
        <w:t>年期的利润率为</w:t>
      </w:r>
      <w:r>
        <w:rPr>
          <w:rFonts w:ascii="Arial" w:eastAsia="仿宋_GB2312;仿宋" w:hAnsi="Arial" w:cs="Arial"/>
          <w:sz w:val="28"/>
        </w:rPr>
        <w:t>15%</w:t>
      </w:r>
      <w:r>
        <w:rPr>
          <w:rFonts w:ascii="Arial" w:eastAsia="仿宋_GB2312;仿宋" w:hAnsi="Arial" w:cs="Arial"/>
          <w:sz w:val="28"/>
        </w:rPr>
        <w:t>，本次估算参考该规定确定土地开发投资利润率取</w:t>
      </w:r>
      <w:r>
        <w:rPr>
          <w:rFonts w:ascii="Arial" w:eastAsia="仿宋_GB2312;仿宋" w:hAnsi="Arial" w:cs="Arial"/>
          <w:sz w:val="28"/>
        </w:rPr>
        <w:t>15%</w:t>
      </w:r>
      <w:r>
        <w:rPr>
          <w:rFonts w:ascii="Arial" w:eastAsia="仿宋_GB2312;仿宋" w:hAnsi="Arial" w:cs="Arial"/>
          <w:sz w:val="28"/>
        </w:rPr>
        <w:t>，则：</w:t>
      </w:r>
      <w:r>
        <w:rPr>
          <w:rFonts w:ascii="Arial" w:eastAsia="Arial" w:hAnsi="Arial" w:cs="Arial"/>
          <w:sz w:val="28"/>
        </w:rPr>
        <w:t xml:space="preserve"> </w:t>
      </w:r>
    </w:p>
    <w:p w14:paraId="1B4BB874" w14:textId="77777777" w:rsidR="00E70101" w:rsidRDefault="0060680B">
      <w:pPr>
        <w:spacing w:line="360" w:lineRule="auto"/>
        <w:ind w:firstLine="563"/>
      </w:pPr>
      <w:r>
        <w:rPr>
          <w:rFonts w:ascii="Arial" w:eastAsia="仿宋_GB2312;仿宋" w:hAnsi="Arial" w:cs="Arial"/>
          <w:sz w:val="28"/>
        </w:rPr>
        <w:t>投资利润＝（土地取得费</w:t>
      </w:r>
      <w:r>
        <w:rPr>
          <w:rFonts w:ascii="Arial" w:eastAsia="仿宋_GB2312;仿宋" w:hAnsi="Arial" w:cs="Arial"/>
          <w:sz w:val="28"/>
        </w:rPr>
        <w:t>+</w:t>
      </w:r>
      <w:r>
        <w:rPr>
          <w:rFonts w:ascii="Arial" w:eastAsia="仿宋_GB2312;仿宋" w:hAnsi="Arial" w:cs="Arial"/>
          <w:sz w:val="28"/>
        </w:rPr>
        <w:t>土地开发费）</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投资利润率</w:t>
      </w:r>
    </w:p>
    <w:p w14:paraId="42EFF76F" w14:textId="77777777" w:rsidR="00E70101" w:rsidRDefault="0060680B">
      <w:pPr>
        <w:spacing w:line="360" w:lineRule="auto"/>
        <w:ind w:firstLine="1683"/>
      </w:pPr>
      <w:r>
        <w:rPr>
          <w:rFonts w:ascii="Arial" w:eastAsia="仿宋_GB2312;仿宋" w:hAnsi="Arial" w:cs="Arial"/>
          <w:sz w:val="28"/>
        </w:rPr>
        <w:t>＝（</w:t>
      </w:r>
      <w:r>
        <w:rPr>
          <w:rFonts w:ascii="Arial" w:eastAsia="仿宋_GB2312;仿宋" w:hAnsi="Arial" w:cs="Arial"/>
          <w:sz w:val="28"/>
        </w:rPr>
        <w:t>90669+6852</w:t>
      </w:r>
      <w:r>
        <w:rPr>
          <w:rFonts w:ascii="Arial" w:eastAsia="仿宋_GB2312;仿宋" w:hAnsi="Arial" w:cs="Arial"/>
          <w:sz w:val="28"/>
        </w:rPr>
        <w:t>）</w:t>
      </w:r>
      <w:r>
        <w:rPr>
          <w:rFonts w:ascii="Arial" w:eastAsia="仿宋_GB2312;仿宋" w:hAnsi="Arial" w:cs="Arial"/>
          <w:sz w:val="28"/>
        </w:rPr>
        <w:t>×15%</w:t>
      </w:r>
    </w:p>
    <w:p w14:paraId="0AF42722" w14:textId="77777777" w:rsidR="00E70101" w:rsidRDefault="0060680B">
      <w:pPr>
        <w:spacing w:line="360" w:lineRule="auto"/>
        <w:ind w:firstLine="168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14628</w:t>
      </w:r>
      <w:r>
        <w:rPr>
          <w:rFonts w:ascii="Arial" w:eastAsia="仿宋_GB2312;仿宋" w:hAnsi="Arial" w:cs="Arial"/>
          <w:sz w:val="28"/>
        </w:rPr>
        <w:t>（万元）</w:t>
      </w:r>
    </w:p>
    <w:p w14:paraId="538DF39B" w14:textId="77777777" w:rsidR="00E70101" w:rsidRDefault="0060680B">
      <w:pPr>
        <w:spacing w:line="360" w:lineRule="auto"/>
        <w:ind w:firstLine="565"/>
      </w:pPr>
      <w:r>
        <w:rPr>
          <w:rFonts w:ascii="Arial" w:eastAsia="仿宋_GB2312;仿宋" w:hAnsi="Arial" w:cs="Arial"/>
          <w:b/>
          <w:sz w:val="28"/>
        </w:rPr>
        <w:t>5.</w:t>
      </w:r>
      <w:r>
        <w:rPr>
          <w:rFonts w:ascii="Arial" w:eastAsia="仿宋_GB2312;仿宋" w:hAnsi="Arial" w:cs="Arial"/>
          <w:b/>
          <w:sz w:val="28"/>
        </w:rPr>
        <w:t>土地增值</w:t>
      </w:r>
    </w:p>
    <w:p w14:paraId="07C75A41" w14:textId="77777777" w:rsidR="00E70101" w:rsidRDefault="0060680B">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t>土地增值按该区域土地内，因用途等土地使用条件改变或进行土地开发而产生的价值增值额或比例测算。咨询对象为划拨用地，故本次评估未考虑土地增值收益的影响。</w:t>
      </w:r>
    </w:p>
    <w:p w14:paraId="05DE1408" w14:textId="77777777" w:rsidR="00E70101" w:rsidRDefault="0060680B">
      <w:pPr>
        <w:spacing w:line="360" w:lineRule="auto"/>
        <w:ind w:firstLine="565"/>
      </w:pPr>
      <w:r>
        <w:rPr>
          <w:rFonts w:ascii="Arial" w:eastAsia="仿宋_GB2312;仿宋" w:hAnsi="Arial" w:cs="Arial"/>
          <w:b/>
          <w:sz w:val="28"/>
        </w:rPr>
        <w:t>6.</w:t>
      </w:r>
      <w:r>
        <w:rPr>
          <w:rFonts w:ascii="Arial" w:eastAsia="仿宋_GB2312;仿宋" w:hAnsi="Arial" w:cs="Arial"/>
          <w:b/>
          <w:sz w:val="28"/>
        </w:rPr>
        <w:t>无年期限制下土地使用权价格</w:t>
      </w:r>
    </w:p>
    <w:p w14:paraId="33B33506" w14:textId="77777777" w:rsidR="00E70101" w:rsidRDefault="0060680B">
      <w:pPr>
        <w:spacing w:line="360" w:lineRule="auto"/>
        <w:ind w:firstLine="560"/>
        <w:jc w:val="both"/>
        <w:outlineLvl w:val="0"/>
      </w:pPr>
      <w:r>
        <w:rPr>
          <w:rFonts w:ascii="Arial" w:eastAsia="仿宋_GB2312;仿宋" w:hAnsi="Arial" w:cs="Arial"/>
          <w:sz w:val="28"/>
          <w:szCs w:val="28"/>
        </w:rPr>
        <w:t>咨询对象为划拨用地，为无年期限制的土地使用权价格</w:t>
      </w:r>
      <w:proofErr w:type="gramStart"/>
      <w:r>
        <w:rPr>
          <w:rFonts w:ascii="Arial" w:eastAsia="仿宋_GB2312;仿宋" w:hAnsi="Arial" w:cs="Arial"/>
          <w:sz w:val="28"/>
          <w:szCs w:val="28"/>
        </w:rPr>
        <w:t>价格</w:t>
      </w:r>
      <w:proofErr w:type="gramEnd"/>
      <w:r>
        <w:rPr>
          <w:rFonts w:ascii="Arial" w:eastAsia="仿宋_GB2312;仿宋" w:hAnsi="Arial" w:cs="Arial"/>
          <w:sz w:val="28"/>
          <w:szCs w:val="28"/>
        </w:rPr>
        <w:t>，故不进行年期修正。</w:t>
      </w:r>
    </w:p>
    <w:p w14:paraId="7D05F0E8" w14:textId="77777777" w:rsidR="00E70101" w:rsidRDefault="0060680B">
      <w:pPr>
        <w:spacing w:line="360" w:lineRule="auto"/>
        <w:ind w:firstLine="563"/>
        <w:rPr>
          <w:rFonts w:ascii="Arial" w:eastAsia="仿宋_GB2312;仿宋" w:hAnsi="Arial" w:cs="Arial"/>
          <w:sz w:val="28"/>
          <w:szCs w:val="28"/>
        </w:rPr>
      </w:pPr>
      <w:r>
        <w:rPr>
          <w:rFonts w:ascii="Arial" w:eastAsia="仿宋_GB2312;仿宋" w:hAnsi="Arial" w:cs="Arial"/>
          <w:sz w:val="28"/>
          <w:szCs w:val="28"/>
        </w:rPr>
        <w:t>承上，本次评估采用成本逼近法测算宗地地价的结果为：</w:t>
      </w:r>
      <w:r>
        <w:rPr>
          <w:rFonts w:ascii="Arial" w:eastAsia="Arial" w:hAnsi="Arial" w:cs="Arial"/>
          <w:sz w:val="28"/>
          <w:szCs w:val="28"/>
        </w:rPr>
        <w:t xml:space="preserve"> </w:t>
      </w:r>
    </w:p>
    <w:p w14:paraId="67F7EA4B" w14:textId="77777777" w:rsidR="00E70101" w:rsidRDefault="0060680B">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t>土地价格</w:t>
      </w:r>
      <w:r>
        <w:rPr>
          <w:rFonts w:ascii="Arial" w:eastAsia="仿宋_GB2312;仿宋" w:hAnsi="Arial" w:cs="Arial"/>
          <w:sz w:val="28"/>
          <w:szCs w:val="28"/>
        </w:rPr>
        <w:t>=</w:t>
      </w:r>
      <w:r>
        <w:rPr>
          <w:rFonts w:ascii="Arial" w:eastAsia="仿宋_GB2312;仿宋" w:hAnsi="Arial" w:cs="Arial"/>
          <w:sz w:val="28"/>
          <w:szCs w:val="28"/>
        </w:rPr>
        <w:t>土地取得费及相关税费</w:t>
      </w:r>
      <w:r>
        <w:rPr>
          <w:rFonts w:ascii="Arial" w:eastAsia="仿宋_GB2312;仿宋" w:hAnsi="Arial" w:cs="Arial"/>
          <w:sz w:val="28"/>
          <w:szCs w:val="28"/>
        </w:rPr>
        <w:t>+</w:t>
      </w:r>
      <w:r>
        <w:rPr>
          <w:rFonts w:ascii="Arial" w:eastAsia="仿宋_GB2312;仿宋" w:hAnsi="Arial" w:cs="Arial"/>
          <w:sz w:val="28"/>
          <w:szCs w:val="28"/>
        </w:rPr>
        <w:t>土地开发费</w:t>
      </w:r>
      <w:r>
        <w:rPr>
          <w:rFonts w:ascii="Arial" w:eastAsia="仿宋_GB2312;仿宋" w:hAnsi="Arial" w:cs="Arial"/>
          <w:sz w:val="28"/>
          <w:szCs w:val="28"/>
        </w:rPr>
        <w:t>+</w:t>
      </w:r>
      <w:r>
        <w:rPr>
          <w:rFonts w:ascii="Arial" w:eastAsia="仿宋_GB2312;仿宋" w:hAnsi="Arial" w:cs="Arial"/>
          <w:sz w:val="28"/>
          <w:szCs w:val="28"/>
        </w:rPr>
        <w:t>利息</w:t>
      </w:r>
      <w:r>
        <w:rPr>
          <w:rFonts w:ascii="Arial" w:eastAsia="仿宋_GB2312;仿宋" w:hAnsi="Arial" w:cs="Arial"/>
          <w:sz w:val="28"/>
          <w:szCs w:val="28"/>
        </w:rPr>
        <w:t>+</w:t>
      </w:r>
      <w:r>
        <w:rPr>
          <w:rFonts w:ascii="Arial" w:eastAsia="仿宋_GB2312;仿宋" w:hAnsi="Arial" w:cs="Arial"/>
          <w:sz w:val="28"/>
          <w:szCs w:val="28"/>
        </w:rPr>
        <w:t>利润</w:t>
      </w:r>
      <w:r>
        <w:rPr>
          <w:rFonts w:ascii="Arial" w:eastAsia="仿宋_GB2312;仿宋" w:hAnsi="Arial" w:cs="Arial"/>
          <w:sz w:val="28"/>
          <w:szCs w:val="28"/>
        </w:rPr>
        <w:t>+</w:t>
      </w:r>
      <w:r>
        <w:rPr>
          <w:rFonts w:ascii="Arial" w:eastAsia="仿宋_GB2312;仿宋" w:hAnsi="Arial" w:cs="Arial"/>
          <w:sz w:val="28"/>
          <w:szCs w:val="28"/>
        </w:rPr>
        <w:t>土地增值</w:t>
      </w:r>
    </w:p>
    <w:p w14:paraId="2CE41C62"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szCs w:val="28"/>
        </w:rPr>
        <w:t>=</w:t>
      </w:r>
      <w:r>
        <w:rPr>
          <w:rFonts w:ascii="Arial" w:eastAsia="仿宋_GB2312;仿宋" w:hAnsi="Arial" w:cs="Arial"/>
          <w:sz w:val="28"/>
        </w:rPr>
        <w:t>90669+6852+3246+14628+0</w:t>
      </w:r>
    </w:p>
    <w:p w14:paraId="4621ACF9"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rPr>
        <w:t>115395</w:t>
      </w:r>
      <w:r>
        <w:rPr>
          <w:rFonts w:ascii="Arial" w:eastAsia="仿宋_GB2312;仿宋" w:hAnsi="Arial" w:cs="Arial"/>
          <w:sz w:val="28"/>
        </w:rPr>
        <w:t>（万元）</w:t>
      </w:r>
    </w:p>
    <w:p w14:paraId="14F5B057" w14:textId="77777777" w:rsidR="00E70101" w:rsidRDefault="0060680B">
      <w:pPr>
        <w:spacing w:line="360" w:lineRule="auto"/>
        <w:ind w:firstLine="565"/>
        <w:rPr>
          <w:rFonts w:ascii="Arial" w:eastAsia="仿宋_GB2312;仿宋" w:hAnsi="Arial" w:cs="Arial"/>
          <w:b/>
          <w:sz w:val="28"/>
        </w:rPr>
      </w:pPr>
      <w:r>
        <w:rPr>
          <w:rFonts w:ascii="Arial" w:eastAsia="仿宋_GB2312;仿宋" w:hAnsi="Arial" w:cs="Arial"/>
          <w:b/>
          <w:sz w:val="28"/>
        </w:rPr>
        <w:t>7.</w:t>
      </w:r>
      <w:r>
        <w:rPr>
          <w:rFonts w:ascii="Arial" w:eastAsia="仿宋_GB2312;仿宋" w:hAnsi="Arial" w:cs="Arial"/>
          <w:b/>
          <w:sz w:val="28"/>
        </w:rPr>
        <w:t>咨询对象土地使用权地面价</w:t>
      </w:r>
    </w:p>
    <w:p w14:paraId="307AB1F4"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咨询对象土地使用权地面价</w:t>
      </w:r>
    </w:p>
    <w:p w14:paraId="6E09A7E4"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=115395×10000÷370379.14</w:t>
      </w:r>
    </w:p>
    <w:p w14:paraId="037AD642" w14:textId="77777777" w:rsidR="00E70101" w:rsidRDefault="0060680B">
      <w:pPr>
        <w:spacing w:line="360" w:lineRule="auto"/>
        <w:ind w:firstLine="563"/>
        <w:rPr>
          <w:rFonts w:cs="Arial"/>
        </w:rPr>
      </w:pPr>
      <w:r>
        <w:rPr>
          <w:rFonts w:ascii="Arial" w:eastAsia="仿宋_GB2312;仿宋" w:hAnsi="Arial" w:cs="Arial"/>
          <w:sz w:val="28"/>
        </w:rPr>
        <w:t>=3116</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tbl>
      <w:tblPr>
        <w:tblW w:w="9304" w:type="dxa"/>
        <w:jc w:val="center"/>
        <w:tblCellMar>
          <w:top w:w="57" w:type="dxa"/>
          <w:left w:w="28" w:type="dxa"/>
          <w:bottom w:w="57" w:type="dxa"/>
          <w:right w:w="28" w:type="dxa"/>
        </w:tblCellMar>
        <w:tblLook w:val="0000" w:firstRow="0" w:lastRow="0" w:firstColumn="0" w:lastColumn="0" w:noHBand="0" w:noVBand="0"/>
      </w:tblPr>
      <w:tblGrid>
        <w:gridCol w:w="792"/>
        <w:gridCol w:w="2221"/>
        <w:gridCol w:w="944"/>
        <w:gridCol w:w="944"/>
        <w:gridCol w:w="944"/>
        <w:gridCol w:w="807"/>
        <w:gridCol w:w="2652"/>
      </w:tblGrid>
      <w:tr w:rsidR="00E70101" w14:paraId="0652A2FF"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1A7A625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序号</w:t>
            </w:r>
          </w:p>
        </w:tc>
        <w:tc>
          <w:tcPr>
            <w:tcW w:w="2221" w:type="dxa"/>
            <w:tcBorders>
              <w:top w:val="single" w:sz="2" w:space="0" w:color="404040"/>
              <w:left w:val="single" w:sz="2" w:space="0" w:color="404040"/>
              <w:bottom w:val="single" w:sz="2" w:space="0" w:color="404040"/>
            </w:tcBorders>
            <w:shd w:val="clear" w:color="auto" w:fill="auto"/>
            <w:vAlign w:val="center"/>
          </w:tcPr>
          <w:p w14:paraId="641B7E9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项目</w:t>
            </w:r>
          </w:p>
        </w:tc>
        <w:tc>
          <w:tcPr>
            <w:tcW w:w="944" w:type="dxa"/>
            <w:tcBorders>
              <w:top w:val="single" w:sz="2" w:space="0" w:color="404040"/>
              <w:left w:val="single" w:sz="2" w:space="0" w:color="404040"/>
              <w:bottom w:val="single" w:sz="2" w:space="0" w:color="404040"/>
            </w:tcBorders>
            <w:shd w:val="clear" w:color="auto" w:fill="auto"/>
            <w:vAlign w:val="center"/>
          </w:tcPr>
          <w:p w14:paraId="0DD36E26"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总额（元）</w:t>
            </w:r>
          </w:p>
        </w:tc>
        <w:tc>
          <w:tcPr>
            <w:tcW w:w="944" w:type="dxa"/>
            <w:tcBorders>
              <w:top w:val="single" w:sz="2" w:space="0" w:color="404040"/>
              <w:left w:val="single" w:sz="2" w:space="0" w:color="404040"/>
              <w:bottom w:val="single" w:sz="2" w:space="0" w:color="404040"/>
            </w:tcBorders>
            <w:shd w:val="clear" w:color="auto" w:fill="auto"/>
            <w:vAlign w:val="center"/>
          </w:tcPr>
          <w:p w14:paraId="033569B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面积</w:t>
            </w:r>
          </w:p>
        </w:tc>
        <w:tc>
          <w:tcPr>
            <w:tcW w:w="944" w:type="dxa"/>
            <w:tcBorders>
              <w:top w:val="single" w:sz="2" w:space="0" w:color="404040"/>
              <w:left w:val="single" w:sz="2" w:space="0" w:color="404040"/>
              <w:bottom w:val="single" w:sz="2" w:space="0" w:color="404040"/>
            </w:tcBorders>
            <w:shd w:val="clear" w:color="auto" w:fill="auto"/>
            <w:vAlign w:val="center"/>
          </w:tcPr>
          <w:p w14:paraId="332671D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单价</w:t>
            </w:r>
          </w:p>
        </w:tc>
        <w:tc>
          <w:tcPr>
            <w:tcW w:w="807" w:type="dxa"/>
            <w:tcBorders>
              <w:top w:val="single" w:sz="2" w:space="0" w:color="404040"/>
              <w:left w:val="single" w:sz="2" w:space="0" w:color="404040"/>
              <w:bottom w:val="single" w:sz="2" w:space="0" w:color="404040"/>
            </w:tcBorders>
            <w:shd w:val="clear" w:color="auto" w:fill="auto"/>
            <w:vAlign w:val="center"/>
          </w:tcPr>
          <w:p w14:paraId="64EB354E"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系数</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E68D225"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备注</w:t>
            </w:r>
          </w:p>
        </w:tc>
      </w:tr>
      <w:tr w:rsidR="00E70101" w14:paraId="387769BC"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2B43C40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w:t>
            </w:r>
          </w:p>
        </w:tc>
        <w:tc>
          <w:tcPr>
            <w:tcW w:w="2221" w:type="dxa"/>
            <w:tcBorders>
              <w:top w:val="single" w:sz="2" w:space="0" w:color="404040"/>
              <w:left w:val="single" w:sz="2" w:space="0" w:color="404040"/>
              <w:bottom w:val="single" w:sz="2" w:space="0" w:color="404040"/>
            </w:tcBorders>
            <w:shd w:val="clear" w:color="auto" w:fill="auto"/>
            <w:vAlign w:val="center"/>
          </w:tcPr>
          <w:p w14:paraId="61C47E56"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土地取得费</w:t>
            </w:r>
          </w:p>
        </w:tc>
        <w:tc>
          <w:tcPr>
            <w:tcW w:w="944" w:type="dxa"/>
            <w:tcBorders>
              <w:top w:val="single" w:sz="2" w:space="0" w:color="404040"/>
              <w:left w:val="single" w:sz="2" w:space="0" w:color="404040"/>
              <w:bottom w:val="single" w:sz="2" w:space="0" w:color="404040"/>
            </w:tcBorders>
            <w:shd w:val="clear" w:color="auto" w:fill="auto"/>
            <w:vAlign w:val="center"/>
          </w:tcPr>
          <w:p w14:paraId="4A2F86C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90669</w:t>
            </w:r>
          </w:p>
        </w:tc>
        <w:tc>
          <w:tcPr>
            <w:tcW w:w="944" w:type="dxa"/>
            <w:tcBorders>
              <w:top w:val="single" w:sz="2" w:space="0" w:color="404040"/>
              <w:left w:val="single" w:sz="2" w:space="0" w:color="404040"/>
              <w:bottom w:val="single" w:sz="2" w:space="0" w:color="404040"/>
            </w:tcBorders>
            <w:shd w:val="clear" w:color="auto" w:fill="auto"/>
            <w:vAlign w:val="center"/>
          </w:tcPr>
          <w:p w14:paraId="1C5167F7" w14:textId="77777777" w:rsidR="00E70101" w:rsidRDefault="0060680B">
            <w:pPr>
              <w:spacing w:line="240" w:lineRule="auto"/>
              <w:rPr>
                <w:rFonts w:ascii="Arial" w:eastAsia="华文细黑" w:hAnsi="Arial" w:cs="Arial"/>
                <w:sz w:val="18"/>
                <w:szCs w:val="18"/>
              </w:rPr>
            </w:pPr>
            <w:r>
              <w:rPr>
                <w:rFonts w:ascii="Arial" w:eastAsia="华文细黑" w:hAnsi="Arial" w:cs="Arial"/>
                <w:sz w:val="18"/>
                <w:szCs w:val="18"/>
              </w:rPr>
              <w:t>370379.14</w:t>
            </w:r>
          </w:p>
        </w:tc>
        <w:tc>
          <w:tcPr>
            <w:tcW w:w="944" w:type="dxa"/>
            <w:tcBorders>
              <w:top w:val="single" w:sz="2" w:space="0" w:color="404040"/>
              <w:left w:val="single" w:sz="2" w:space="0" w:color="404040"/>
              <w:bottom w:val="single" w:sz="2" w:space="0" w:color="404040"/>
            </w:tcBorders>
            <w:shd w:val="clear" w:color="auto" w:fill="auto"/>
            <w:vAlign w:val="center"/>
          </w:tcPr>
          <w:p w14:paraId="7A0E3E00" w14:textId="77777777" w:rsidR="00E70101" w:rsidRDefault="0060680B">
            <w:pPr>
              <w:spacing w:line="240" w:lineRule="auto"/>
              <w:rPr>
                <w:rFonts w:ascii="Arial" w:eastAsia="华文细黑" w:hAnsi="Arial" w:cs="Arial"/>
                <w:bCs/>
                <w:sz w:val="18"/>
              </w:rPr>
            </w:pPr>
            <w:r>
              <w:rPr>
                <w:rFonts w:ascii="Arial" w:eastAsia="华文细黑" w:hAnsi="Arial" w:cs="Arial"/>
                <w:bCs/>
                <w:sz w:val="18"/>
              </w:rPr>
              <w:t>2448</w:t>
            </w:r>
          </w:p>
        </w:tc>
        <w:tc>
          <w:tcPr>
            <w:tcW w:w="807" w:type="dxa"/>
            <w:tcBorders>
              <w:top w:val="single" w:sz="2" w:space="0" w:color="404040"/>
              <w:left w:val="single" w:sz="2" w:space="0" w:color="404040"/>
              <w:bottom w:val="single" w:sz="2" w:space="0" w:color="404040"/>
            </w:tcBorders>
            <w:shd w:val="clear" w:color="auto" w:fill="auto"/>
            <w:vAlign w:val="center"/>
          </w:tcPr>
          <w:p w14:paraId="0F6D8CF3"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8C4FEFF" w14:textId="77777777" w:rsidR="00E70101" w:rsidRDefault="00E70101">
            <w:pPr>
              <w:widowControl/>
              <w:snapToGrid w:val="0"/>
              <w:spacing w:line="240" w:lineRule="auto"/>
              <w:textAlignment w:val="auto"/>
              <w:rPr>
                <w:rFonts w:ascii="Arial" w:eastAsia="华文细黑" w:hAnsi="Arial" w:cs="宋体;SimSun"/>
                <w:bCs/>
                <w:sz w:val="18"/>
              </w:rPr>
            </w:pPr>
          </w:p>
        </w:tc>
      </w:tr>
      <w:tr w:rsidR="00E70101" w14:paraId="6DBBC931"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582016C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2</w:t>
            </w:r>
          </w:p>
        </w:tc>
        <w:tc>
          <w:tcPr>
            <w:tcW w:w="2221" w:type="dxa"/>
            <w:tcBorders>
              <w:top w:val="single" w:sz="2" w:space="0" w:color="404040"/>
              <w:left w:val="single" w:sz="2" w:space="0" w:color="404040"/>
              <w:bottom w:val="single" w:sz="2" w:space="0" w:color="404040"/>
            </w:tcBorders>
            <w:shd w:val="clear" w:color="auto" w:fill="auto"/>
            <w:vAlign w:val="center"/>
          </w:tcPr>
          <w:p w14:paraId="6215D290"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土地开发费</w:t>
            </w:r>
          </w:p>
        </w:tc>
        <w:tc>
          <w:tcPr>
            <w:tcW w:w="944" w:type="dxa"/>
            <w:tcBorders>
              <w:top w:val="single" w:sz="2" w:space="0" w:color="404040"/>
              <w:left w:val="single" w:sz="2" w:space="0" w:color="404040"/>
              <w:bottom w:val="single" w:sz="2" w:space="0" w:color="404040"/>
            </w:tcBorders>
            <w:shd w:val="clear" w:color="auto" w:fill="auto"/>
            <w:vAlign w:val="center"/>
          </w:tcPr>
          <w:p w14:paraId="7A3BC017"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6852</w:t>
            </w:r>
          </w:p>
        </w:tc>
        <w:tc>
          <w:tcPr>
            <w:tcW w:w="944" w:type="dxa"/>
            <w:tcBorders>
              <w:top w:val="single" w:sz="2" w:space="0" w:color="404040"/>
              <w:left w:val="single" w:sz="2" w:space="0" w:color="404040"/>
              <w:bottom w:val="single" w:sz="2" w:space="0" w:color="404040"/>
            </w:tcBorders>
            <w:shd w:val="clear" w:color="auto" w:fill="auto"/>
            <w:vAlign w:val="center"/>
          </w:tcPr>
          <w:p w14:paraId="6145342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370379.14</w:t>
            </w:r>
          </w:p>
        </w:tc>
        <w:tc>
          <w:tcPr>
            <w:tcW w:w="944" w:type="dxa"/>
            <w:tcBorders>
              <w:top w:val="single" w:sz="2" w:space="0" w:color="404040"/>
              <w:left w:val="single" w:sz="2" w:space="0" w:color="404040"/>
              <w:bottom w:val="single" w:sz="2" w:space="0" w:color="404040"/>
            </w:tcBorders>
            <w:shd w:val="clear" w:color="auto" w:fill="auto"/>
            <w:vAlign w:val="center"/>
          </w:tcPr>
          <w:p w14:paraId="36EDC6E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185</w:t>
            </w:r>
          </w:p>
        </w:tc>
        <w:tc>
          <w:tcPr>
            <w:tcW w:w="807" w:type="dxa"/>
            <w:tcBorders>
              <w:top w:val="single" w:sz="2" w:space="0" w:color="404040"/>
              <w:left w:val="single" w:sz="2" w:space="0" w:color="404040"/>
              <w:bottom w:val="single" w:sz="2" w:space="0" w:color="404040"/>
            </w:tcBorders>
            <w:shd w:val="clear" w:color="auto" w:fill="auto"/>
            <w:vAlign w:val="center"/>
          </w:tcPr>
          <w:p w14:paraId="5AF481DB"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12684A6" w14:textId="77777777" w:rsidR="00E70101" w:rsidRDefault="0060680B">
            <w:pPr>
              <w:widowControl/>
              <w:spacing w:line="240" w:lineRule="auto"/>
              <w:textAlignment w:val="auto"/>
              <w:rPr>
                <w:rFonts w:ascii="Arial" w:eastAsia="华文细黑" w:hAnsi="Arial" w:cs="Arial"/>
                <w:sz w:val="18"/>
              </w:rPr>
            </w:pPr>
            <w:r>
              <w:rPr>
                <w:rFonts w:ascii="Arial" w:eastAsia="华文细黑" w:hAnsi="Arial" w:cs="Arial"/>
                <w:sz w:val="18"/>
              </w:rPr>
              <w:t>即宗地红线外市政费用及宗地红线内土地平整费用，</w:t>
            </w:r>
            <w:proofErr w:type="gramStart"/>
            <w:r>
              <w:rPr>
                <w:rFonts w:ascii="Arial" w:eastAsia="华文细黑" w:hAnsi="Arial" w:cs="Arial"/>
                <w:sz w:val="18"/>
              </w:rPr>
              <w:t>根据待估宗地</w:t>
            </w:r>
            <w:proofErr w:type="gramEnd"/>
            <w:r>
              <w:rPr>
                <w:rFonts w:ascii="Arial" w:eastAsia="华文细黑" w:hAnsi="Arial" w:cs="Arial"/>
                <w:sz w:val="18"/>
              </w:rPr>
              <w:t>区域对土地开发成本来估算。</w:t>
            </w:r>
          </w:p>
        </w:tc>
      </w:tr>
      <w:tr w:rsidR="00E70101" w14:paraId="27F44F04"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5822446D"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w:t>
            </w:r>
          </w:p>
        </w:tc>
        <w:tc>
          <w:tcPr>
            <w:tcW w:w="2221" w:type="dxa"/>
            <w:tcBorders>
              <w:top w:val="single" w:sz="2" w:space="0" w:color="404040"/>
              <w:left w:val="single" w:sz="2" w:space="0" w:color="404040"/>
              <w:bottom w:val="single" w:sz="2" w:space="0" w:color="404040"/>
            </w:tcBorders>
            <w:shd w:val="clear" w:color="auto" w:fill="auto"/>
            <w:vAlign w:val="center"/>
          </w:tcPr>
          <w:p w14:paraId="35A7EB8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税费</w:t>
            </w:r>
          </w:p>
        </w:tc>
        <w:tc>
          <w:tcPr>
            <w:tcW w:w="944" w:type="dxa"/>
            <w:tcBorders>
              <w:top w:val="single" w:sz="2" w:space="0" w:color="404040"/>
              <w:left w:val="single" w:sz="2" w:space="0" w:color="404040"/>
              <w:bottom w:val="single" w:sz="2" w:space="0" w:color="404040"/>
            </w:tcBorders>
            <w:shd w:val="clear" w:color="auto" w:fill="auto"/>
            <w:vAlign w:val="center"/>
          </w:tcPr>
          <w:p w14:paraId="06038365"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4FD47C01"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25A602B0"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6CC1E8FC"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613FD96" w14:textId="77777777" w:rsidR="00E70101" w:rsidRDefault="0060680B">
            <w:pPr>
              <w:widowControl/>
              <w:spacing w:line="240" w:lineRule="auto"/>
              <w:textAlignment w:val="auto"/>
              <w:rPr>
                <w:rFonts w:ascii="Arial" w:eastAsia="华文细黑" w:hAnsi="Arial" w:cs="Arial"/>
                <w:sz w:val="18"/>
              </w:rPr>
            </w:pPr>
            <w:r>
              <w:rPr>
                <w:rFonts w:ascii="Arial" w:eastAsia="华文细黑" w:hAnsi="Arial" w:cs="Arial"/>
                <w:sz w:val="18"/>
              </w:rPr>
              <w:t>在土地取得和开发过程中影响政府缴纳的税费，包括耕地占用税、耕地开垦费、征地管理费等以及其他在土地取得过程中直</w:t>
            </w:r>
            <w:proofErr w:type="gramStart"/>
            <w:r>
              <w:rPr>
                <w:rFonts w:ascii="Arial" w:eastAsia="华文细黑" w:hAnsi="Arial" w:cs="Arial"/>
                <w:sz w:val="18"/>
              </w:rPr>
              <w:t>接相关</w:t>
            </w:r>
            <w:proofErr w:type="gramEnd"/>
            <w:r>
              <w:rPr>
                <w:rFonts w:ascii="Arial" w:eastAsia="华文细黑" w:hAnsi="Arial" w:cs="Arial"/>
                <w:sz w:val="18"/>
              </w:rPr>
              <w:t>的税费</w:t>
            </w:r>
          </w:p>
        </w:tc>
      </w:tr>
      <w:tr w:rsidR="00E70101" w14:paraId="0BF19A56"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62881907"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4</w:t>
            </w:r>
          </w:p>
        </w:tc>
        <w:tc>
          <w:tcPr>
            <w:tcW w:w="2221" w:type="dxa"/>
            <w:tcBorders>
              <w:top w:val="single" w:sz="2" w:space="0" w:color="404040"/>
              <w:left w:val="single" w:sz="2" w:space="0" w:color="404040"/>
              <w:bottom w:val="single" w:sz="2" w:space="0" w:color="404040"/>
            </w:tcBorders>
            <w:shd w:val="clear" w:color="auto" w:fill="auto"/>
            <w:vAlign w:val="center"/>
          </w:tcPr>
          <w:p w14:paraId="1A3513D0"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贷款利息</w:t>
            </w:r>
          </w:p>
        </w:tc>
        <w:tc>
          <w:tcPr>
            <w:tcW w:w="944" w:type="dxa"/>
            <w:tcBorders>
              <w:top w:val="single" w:sz="2" w:space="0" w:color="404040"/>
              <w:left w:val="single" w:sz="2" w:space="0" w:color="404040"/>
              <w:bottom w:val="single" w:sz="2" w:space="0" w:color="404040"/>
            </w:tcBorders>
            <w:shd w:val="clear" w:color="auto" w:fill="auto"/>
            <w:vAlign w:val="center"/>
          </w:tcPr>
          <w:p w14:paraId="0145C61E"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3246</w:t>
            </w:r>
          </w:p>
        </w:tc>
        <w:tc>
          <w:tcPr>
            <w:tcW w:w="944" w:type="dxa"/>
            <w:tcBorders>
              <w:top w:val="single" w:sz="2" w:space="0" w:color="404040"/>
              <w:left w:val="single" w:sz="2" w:space="0" w:color="404040"/>
              <w:bottom w:val="single" w:sz="2" w:space="0" w:color="404040"/>
            </w:tcBorders>
            <w:shd w:val="clear" w:color="auto" w:fill="auto"/>
            <w:vAlign w:val="center"/>
          </w:tcPr>
          <w:p w14:paraId="6CCE1F2C"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3A8ED69E"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14CC458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3.45%</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B948650"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w:t>
            </w:r>
            <w:r>
              <w:rPr>
                <w:rFonts w:ascii="Arial" w:eastAsia="华文细黑" w:hAnsi="Arial" w:cs="Arial"/>
                <w:bCs/>
                <w:sz w:val="18"/>
              </w:rPr>
              <w:t>１＋３</w:t>
            </w:r>
            <w:r>
              <w:rPr>
                <w:rFonts w:ascii="Arial" w:eastAsia="华文细黑" w:hAnsi="Arial" w:cs="Arial"/>
                <w:bCs/>
                <w:sz w:val="18"/>
              </w:rPr>
              <w:t>)×</w:t>
            </w:r>
            <w:r>
              <w:rPr>
                <w:rFonts w:ascii="Arial" w:eastAsia="华文细黑" w:hAnsi="Arial" w:cs="Arial"/>
                <w:bCs/>
                <w:sz w:val="18"/>
              </w:rPr>
              <w:t>土地开发期</w:t>
            </w:r>
            <w:r>
              <w:rPr>
                <w:rFonts w:ascii="Arial" w:eastAsia="华文细黑" w:hAnsi="Arial" w:cs="Arial"/>
                <w:bCs/>
                <w:sz w:val="18"/>
              </w:rPr>
              <w:t>+</w:t>
            </w:r>
            <w:r>
              <w:rPr>
                <w:rFonts w:ascii="Arial" w:eastAsia="华文细黑" w:hAnsi="Arial" w:cs="Arial"/>
                <w:bCs/>
                <w:sz w:val="18"/>
              </w:rPr>
              <w:t>２</w:t>
            </w:r>
            <w:r>
              <w:rPr>
                <w:rFonts w:ascii="Arial" w:eastAsia="华文细黑" w:hAnsi="Arial" w:cs="Arial"/>
                <w:bCs/>
                <w:sz w:val="18"/>
              </w:rPr>
              <w:t>×(</w:t>
            </w:r>
            <w:r>
              <w:rPr>
                <w:rFonts w:ascii="Arial" w:eastAsia="华文细黑" w:hAnsi="Arial" w:cs="Arial"/>
                <w:bCs/>
                <w:sz w:val="18"/>
              </w:rPr>
              <w:t>土地开发期</w:t>
            </w:r>
            <w:r>
              <w:rPr>
                <w:rFonts w:ascii="Arial" w:eastAsia="华文细黑" w:hAnsi="Arial" w:cs="Arial"/>
                <w:bCs/>
                <w:sz w:val="18"/>
              </w:rPr>
              <w:t>÷</w:t>
            </w:r>
            <w:r>
              <w:rPr>
                <w:rFonts w:ascii="Arial" w:eastAsia="华文细黑" w:hAnsi="Arial" w:cs="Arial"/>
                <w:bCs/>
                <w:sz w:val="18"/>
              </w:rPr>
              <w:t>２</w:t>
            </w:r>
            <w:r>
              <w:rPr>
                <w:rFonts w:ascii="Arial" w:eastAsia="华文细黑" w:hAnsi="Arial" w:cs="Arial"/>
                <w:bCs/>
                <w:sz w:val="18"/>
              </w:rPr>
              <w:t>))×</w:t>
            </w:r>
            <w:r>
              <w:rPr>
                <w:rFonts w:ascii="Arial" w:eastAsia="华文细黑" w:hAnsi="Arial" w:cs="Arial"/>
                <w:bCs/>
                <w:sz w:val="18"/>
              </w:rPr>
              <w:t>利率</w:t>
            </w:r>
          </w:p>
        </w:tc>
      </w:tr>
      <w:tr w:rsidR="00E70101" w14:paraId="6939A8E0"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4EBA7EAD"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5</w:t>
            </w:r>
          </w:p>
        </w:tc>
        <w:tc>
          <w:tcPr>
            <w:tcW w:w="2221" w:type="dxa"/>
            <w:tcBorders>
              <w:top w:val="single" w:sz="2" w:space="0" w:color="404040"/>
              <w:left w:val="single" w:sz="2" w:space="0" w:color="404040"/>
              <w:bottom w:val="single" w:sz="2" w:space="0" w:color="404040"/>
            </w:tcBorders>
            <w:shd w:val="clear" w:color="auto" w:fill="auto"/>
            <w:vAlign w:val="center"/>
          </w:tcPr>
          <w:p w14:paraId="639A9DD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利润</w:t>
            </w:r>
          </w:p>
        </w:tc>
        <w:tc>
          <w:tcPr>
            <w:tcW w:w="944" w:type="dxa"/>
            <w:tcBorders>
              <w:top w:val="single" w:sz="2" w:space="0" w:color="404040"/>
              <w:left w:val="single" w:sz="2" w:space="0" w:color="404040"/>
              <w:bottom w:val="single" w:sz="2" w:space="0" w:color="404040"/>
            </w:tcBorders>
            <w:shd w:val="clear" w:color="auto" w:fill="auto"/>
            <w:vAlign w:val="center"/>
          </w:tcPr>
          <w:p w14:paraId="3DA64FF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14628</w:t>
            </w:r>
          </w:p>
        </w:tc>
        <w:tc>
          <w:tcPr>
            <w:tcW w:w="944" w:type="dxa"/>
            <w:tcBorders>
              <w:top w:val="single" w:sz="2" w:space="0" w:color="404040"/>
              <w:left w:val="single" w:sz="2" w:space="0" w:color="404040"/>
              <w:bottom w:val="single" w:sz="2" w:space="0" w:color="404040"/>
            </w:tcBorders>
            <w:shd w:val="clear" w:color="auto" w:fill="auto"/>
            <w:vAlign w:val="center"/>
          </w:tcPr>
          <w:p w14:paraId="3057AC06"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2E6F3979"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7BFCA1E2"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15%</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5DB4D85"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（１＋２＋３）</w:t>
            </w:r>
            <w:r>
              <w:rPr>
                <w:rFonts w:ascii="Arial" w:eastAsia="华文细黑" w:hAnsi="Arial" w:cs="Arial"/>
                <w:bCs/>
                <w:sz w:val="18"/>
              </w:rPr>
              <w:t>×</w:t>
            </w:r>
            <w:r>
              <w:rPr>
                <w:rFonts w:ascii="Arial" w:eastAsia="华文细黑" w:hAnsi="Arial" w:cs="Arial"/>
                <w:bCs/>
                <w:sz w:val="18"/>
              </w:rPr>
              <w:t>利润率</w:t>
            </w:r>
          </w:p>
        </w:tc>
      </w:tr>
      <w:tr w:rsidR="00E70101" w14:paraId="7FAC338B"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6410971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6</w:t>
            </w:r>
          </w:p>
        </w:tc>
        <w:tc>
          <w:tcPr>
            <w:tcW w:w="2221" w:type="dxa"/>
            <w:tcBorders>
              <w:top w:val="single" w:sz="2" w:space="0" w:color="404040"/>
              <w:left w:val="single" w:sz="2" w:space="0" w:color="404040"/>
              <w:bottom w:val="single" w:sz="2" w:space="0" w:color="404040"/>
            </w:tcBorders>
            <w:shd w:val="clear" w:color="auto" w:fill="auto"/>
            <w:vAlign w:val="center"/>
          </w:tcPr>
          <w:p w14:paraId="6B81B8B4"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土地成本价格</w:t>
            </w:r>
          </w:p>
        </w:tc>
        <w:tc>
          <w:tcPr>
            <w:tcW w:w="944" w:type="dxa"/>
            <w:tcBorders>
              <w:top w:val="single" w:sz="2" w:space="0" w:color="404040"/>
              <w:left w:val="single" w:sz="2" w:space="0" w:color="404040"/>
              <w:bottom w:val="single" w:sz="2" w:space="0" w:color="404040"/>
            </w:tcBorders>
            <w:shd w:val="clear" w:color="auto" w:fill="auto"/>
            <w:vAlign w:val="center"/>
          </w:tcPr>
          <w:p w14:paraId="6A97BFA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115395</w:t>
            </w:r>
          </w:p>
        </w:tc>
        <w:tc>
          <w:tcPr>
            <w:tcW w:w="944" w:type="dxa"/>
            <w:tcBorders>
              <w:top w:val="single" w:sz="2" w:space="0" w:color="404040"/>
              <w:left w:val="single" w:sz="2" w:space="0" w:color="404040"/>
              <w:bottom w:val="single" w:sz="2" w:space="0" w:color="404040"/>
            </w:tcBorders>
            <w:shd w:val="clear" w:color="auto" w:fill="auto"/>
            <w:vAlign w:val="center"/>
          </w:tcPr>
          <w:p w14:paraId="5AA184CC"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0170795A"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52EC331B"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4A71829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w:t>
            </w:r>
            <w:r>
              <w:rPr>
                <w:rFonts w:ascii="Arial" w:eastAsia="华文细黑" w:hAnsi="Arial" w:cs="Arial"/>
                <w:bCs/>
                <w:sz w:val="18"/>
              </w:rPr>
              <w:t>５项之和</w:t>
            </w:r>
          </w:p>
        </w:tc>
      </w:tr>
      <w:tr w:rsidR="00E70101" w14:paraId="12D2F01F"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0C426764"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7</w:t>
            </w:r>
          </w:p>
        </w:tc>
        <w:tc>
          <w:tcPr>
            <w:tcW w:w="2221" w:type="dxa"/>
            <w:tcBorders>
              <w:top w:val="single" w:sz="2" w:space="0" w:color="404040"/>
              <w:left w:val="single" w:sz="2" w:space="0" w:color="404040"/>
              <w:bottom w:val="single" w:sz="2" w:space="0" w:color="404040"/>
            </w:tcBorders>
            <w:shd w:val="clear" w:color="auto" w:fill="auto"/>
            <w:vAlign w:val="center"/>
          </w:tcPr>
          <w:p w14:paraId="6A851F99"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土地增值</w:t>
            </w:r>
          </w:p>
        </w:tc>
        <w:tc>
          <w:tcPr>
            <w:tcW w:w="944" w:type="dxa"/>
            <w:tcBorders>
              <w:top w:val="single" w:sz="2" w:space="0" w:color="404040"/>
              <w:left w:val="single" w:sz="2" w:space="0" w:color="404040"/>
              <w:bottom w:val="single" w:sz="2" w:space="0" w:color="404040"/>
            </w:tcBorders>
            <w:shd w:val="clear" w:color="auto" w:fill="auto"/>
            <w:vAlign w:val="center"/>
          </w:tcPr>
          <w:p w14:paraId="101A1A3C"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546D279E"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7A95BE99"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5DBDEA7E"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0%</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9D9C7CD"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６</w:t>
            </w:r>
            <w:r>
              <w:rPr>
                <w:rFonts w:ascii="Arial" w:eastAsia="华文细黑" w:hAnsi="Arial" w:cs="Arial"/>
                <w:bCs/>
                <w:sz w:val="18"/>
              </w:rPr>
              <w:t>×</w:t>
            </w:r>
            <w:r>
              <w:rPr>
                <w:rFonts w:ascii="Arial" w:eastAsia="华文细黑" w:hAnsi="Arial" w:cs="Arial"/>
                <w:bCs/>
                <w:sz w:val="18"/>
              </w:rPr>
              <w:t>增值率；参考政府土地出让收益计取</w:t>
            </w:r>
          </w:p>
        </w:tc>
      </w:tr>
      <w:tr w:rsidR="00E70101" w14:paraId="3348C2FE"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41529746"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8</w:t>
            </w:r>
          </w:p>
        </w:tc>
        <w:tc>
          <w:tcPr>
            <w:tcW w:w="2221" w:type="dxa"/>
            <w:tcBorders>
              <w:top w:val="single" w:sz="2" w:space="0" w:color="404040"/>
              <w:left w:val="single" w:sz="2" w:space="0" w:color="404040"/>
              <w:bottom w:val="single" w:sz="2" w:space="0" w:color="404040"/>
            </w:tcBorders>
            <w:shd w:val="clear" w:color="auto" w:fill="auto"/>
            <w:vAlign w:val="center"/>
          </w:tcPr>
          <w:p w14:paraId="1882333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无限年</w:t>
            </w:r>
            <w:proofErr w:type="gramStart"/>
            <w:r>
              <w:rPr>
                <w:rFonts w:ascii="Arial" w:eastAsia="华文细黑" w:hAnsi="Arial" w:cs="Arial"/>
                <w:bCs/>
                <w:sz w:val="18"/>
              </w:rPr>
              <w:t>期土地</w:t>
            </w:r>
            <w:proofErr w:type="gramEnd"/>
            <w:r>
              <w:rPr>
                <w:rFonts w:ascii="Arial" w:eastAsia="华文细黑" w:hAnsi="Arial" w:cs="Arial"/>
                <w:bCs/>
                <w:sz w:val="18"/>
              </w:rPr>
              <w:t>价格</w:t>
            </w:r>
          </w:p>
        </w:tc>
        <w:tc>
          <w:tcPr>
            <w:tcW w:w="944" w:type="dxa"/>
            <w:tcBorders>
              <w:top w:val="single" w:sz="2" w:space="0" w:color="404040"/>
              <w:left w:val="single" w:sz="2" w:space="0" w:color="404040"/>
              <w:bottom w:val="single" w:sz="2" w:space="0" w:color="404040"/>
            </w:tcBorders>
            <w:shd w:val="clear" w:color="auto" w:fill="auto"/>
            <w:vAlign w:val="center"/>
          </w:tcPr>
          <w:p w14:paraId="55F4B10E" w14:textId="77777777" w:rsidR="00E70101" w:rsidRDefault="0060680B">
            <w:pPr>
              <w:spacing w:line="240" w:lineRule="auto"/>
              <w:rPr>
                <w:rFonts w:ascii="Arial" w:eastAsia="华文细黑" w:hAnsi="Arial" w:cs="Arial"/>
                <w:bCs/>
                <w:sz w:val="18"/>
              </w:rPr>
            </w:pPr>
            <w:r>
              <w:rPr>
                <w:rFonts w:ascii="Arial" w:eastAsia="华文细黑" w:hAnsi="Arial" w:cs="Arial"/>
                <w:bCs/>
                <w:sz w:val="18"/>
              </w:rPr>
              <w:t>115395</w:t>
            </w:r>
          </w:p>
        </w:tc>
        <w:tc>
          <w:tcPr>
            <w:tcW w:w="944" w:type="dxa"/>
            <w:tcBorders>
              <w:top w:val="single" w:sz="2" w:space="0" w:color="404040"/>
              <w:left w:val="single" w:sz="2" w:space="0" w:color="404040"/>
              <w:bottom w:val="single" w:sz="2" w:space="0" w:color="404040"/>
            </w:tcBorders>
            <w:shd w:val="clear" w:color="auto" w:fill="auto"/>
            <w:vAlign w:val="center"/>
          </w:tcPr>
          <w:p w14:paraId="273956A1"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5DBD3195"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3E240BD4"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07E690AC"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６＋７</w:t>
            </w:r>
          </w:p>
        </w:tc>
      </w:tr>
      <w:tr w:rsidR="00E70101" w14:paraId="46987D58"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096D6012"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9</w:t>
            </w:r>
          </w:p>
        </w:tc>
        <w:tc>
          <w:tcPr>
            <w:tcW w:w="2221" w:type="dxa"/>
            <w:tcBorders>
              <w:top w:val="single" w:sz="2" w:space="0" w:color="404040"/>
              <w:left w:val="single" w:sz="2" w:space="0" w:color="404040"/>
              <w:bottom w:val="single" w:sz="2" w:space="0" w:color="404040"/>
            </w:tcBorders>
            <w:shd w:val="clear" w:color="auto" w:fill="auto"/>
            <w:vAlign w:val="center"/>
          </w:tcPr>
          <w:p w14:paraId="440B453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土地价格</w:t>
            </w:r>
          </w:p>
        </w:tc>
        <w:tc>
          <w:tcPr>
            <w:tcW w:w="944" w:type="dxa"/>
            <w:tcBorders>
              <w:top w:val="single" w:sz="2" w:space="0" w:color="404040"/>
              <w:left w:val="single" w:sz="2" w:space="0" w:color="404040"/>
              <w:bottom w:val="single" w:sz="2" w:space="0" w:color="404040"/>
            </w:tcBorders>
            <w:shd w:val="clear" w:color="auto" w:fill="auto"/>
            <w:vAlign w:val="center"/>
          </w:tcPr>
          <w:p w14:paraId="7F6A3A8B" w14:textId="77777777" w:rsidR="00E70101" w:rsidRDefault="0060680B">
            <w:pPr>
              <w:spacing w:line="240" w:lineRule="auto"/>
              <w:rPr>
                <w:rFonts w:ascii="Arial" w:eastAsia="华文细黑" w:hAnsi="Arial" w:cs="Arial"/>
                <w:bCs/>
                <w:sz w:val="18"/>
              </w:rPr>
            </w:pPr>
            <w:r>
              <w:rPr>
                <w:rFonts w:ascii="Arial" w:eastAsia="华文细黑" w:hAnsi="Arial" w:cs="Arial"/>
                <w:bCs/>
                <w:sz w:val="18"/>
              </w:rPr>
              <w:t>115395</w:t>
            </w:r>
          </w:p>
        </w:tc>
        <w:tc>
          <w:tcPr>
            <w:tcW w:w="944" w:type="dxa"/>
            <w:tcBorders>
              <w:top w:val="single" w:sz="2" w:space="0" w:color="404040"/>
              <w:left w:val="single" w:sz="2" w:space="0" w:color="404040"/>
              <w:bottom w:val="single" w:sz="2" w:space="0" w:color="404040"/>
            </w:tcBorders>
            <w:shd w:val="clear" w:color="auto" w:fill="auto"/>
            <w:vAlign w:val="center"/>
          </w:tcPr>
          <w:p w14:paraId="2954ED3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370379.14</w:t>
            </w:r>
          </w:p>
        </w:tc>
        <w:tc>
          <w:tcPr>
            <w:tcW w:w="944" w:type="dxa"/>
            <w:tcBorders>
              <w:top w:val="single" w:sz="2" w:space="0" w:color="404040"/>
              <w:left w:val="single" w:sz="2" w:space="0" w:color="404040"/>
              <w:bottom w:val="single" w:sz="2" w:space="0" w:color="404040"/>
            </w:tcBorders>
            <w:shd w:val="clear" w:color="auto" w:fill="auto"/>
            <w:vAlign w:val="center"/>
          </w:tcPr>
          <w:p w14:paraId="3A1D4799"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3116</w:t>
            </w:r>
          </w:p>
        </w:tc>
        <w:tc>
          <w:tcPr>
            <w:tcW w:w="807" w:type="dxa"/>
            <w:tcBorders>
              <w:top w:val="single" w:sz="2" w:space="0" w:color="404040"/>
              <w:left w:val="single" w:sz="2" w:space="0" w:color="404040"/>
              <w:bottom w:val="single" w:sz="2" w:space="0" w:color="404040"/>
            </w:tcBorders>
            <w:shd w:val="clear" w:color="auto" w:fill="auto"/>
            <w:vAlign w:val="center"/>
          </w:tcPr>
          <w:p w14:paraId="105092A6" w14:textId="77777777" w:rsidR="00E70101" w:rsidRDefault="0060680B">
            <w:pPr>
              <w:widowControl/>
              <w:spacing w:line="240" w:lineRule="auto"/>
              <w:textAlignment w:val="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E16AA84"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 xml:space="preserve">　</w:t>
            </w:r>
          </w:p>
        </w:tc>
      </w:tr>
    </w:tbl>
    <w:p w14:paraId="630D6851" w14:textId="77777777" w:rsidR="00E70101" w:rsidRDefault="00E70101">
      <w:pPr>
        <w:spacing w:line="360" w:lineRule="auto"/>
        <w:ind w:firstLine="563"/>
        <w:rPr>
          <w:rFonts w:ascii="Arial" w:eastAsia="仿宋_GB2312;仿宋" w:hAnsi="Arial" w:cs="Arial"/>
          <w:sz w:val="28"/>
        </w:rPr>
      </w:pPr>
    </w:p>
    <w:p w14:paraId="1467D2FB" w14:textId="77777777" w:rsidR="00E70101" w:rsidRDefault="0060680B">
      <w:pPr>
        <w:spacing w:line="360" w:lineRule="auto"/>
        <w:ind w:firstLine="560"/>
        <w:jc w:val="both"/>
        <w:rPr>
          <w:rFonts w:ascii="仿宋_GB2312;仿宋" w:eastAsia="仿宋_GB2312;仿宋" w:hAnsi="仿宋_GB2312;仿宋" w:cs="Calibri"/>
          <w:sz w:val="28"/>
        </w:rPr>
      </w:pPr>
      <w:r>
        <w:rPr>
          <w:rFonts w:ascii="仿宋_GB2312;仿宋" w:eastAsia="仿宋_GB2312;仿宋" w:hAnsi="仿宋_GB2312;仿宋" w:cs="Calibri"/>
          <w:sz w:val="28"/>
        </w:rPr>
        <w:t>各方法权重确定详见下表：</w:t>
      </w:r>
    </w:p>
    <w:tbl>
      <w:tblPr>
        <w:tblW w:w="10279" w:type="dxa"/>
        <w:jc w:val="center"/>
        <w:tblLook w:val="0000" w:firstRow="0" w:lastRow="0" w:firstColumn="0" w:lastColumn="0" w:noHBand="0" w:noVBand="0"/>
      </w:tblPr>
      <w:tblGrid>
        <w:gridCol w:w="1362"/>
        <w:gridCol w:w="895"/>
        <w:gridCol w:w="5741"/>
        <w:gridCol w:w="1134"/>
        <w:gridCol w:w="1147"/>
      </w:tblGrid>
      <w:tr w:rsidR="00E70101" w14:paraId="4E035541" w14:textId="77777777">
        <w:trPr>
          <w:trHeight w:val="425"/>
          <w:jc w:val="center"/>
        </w:trPr>
        <w:tc>
          <w:tcPr>
            <w:tcW w:w="1027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159BB5"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权重确定打分评价体系</w:t>
            </w:r>
          </w:p>
        </w:tc>
      </w:tr>
      <w:tr w:rsidR="00E70101" w14:paraId="1717A891"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70EA8B08"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评价因素</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0E4ABBD"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标准分值</w:t>
            </w:r>
          </w:p>
        </w:tc>
        <w:tc>
          <w:tcPr>
            <w:tcW w:w="5741" w:type="dxa"/>
            <w:vMerge w:val="restart"/>
            <w:tcBorders>
              <w:top w:val="single" w:sz="4" w:space="0" w:color="000000"/>
              <w:left w:val="single" w:sz="4" w:space="0" w:color="000000"/>
              <w:bottom w:val="single" w:sz="4" w:space="0" w:color="000000"/>
            </w:tcBorders>
            <w:shd w:val="clear" w:color="auto" w:fill="auto"/>
            <w:vAlign w:val="center"/>
          </w:tcPr>
          <w:p w14:paraId="0F9D58FD"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打分考虑因素</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6BA7F8"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咨询对象</w:t>
            </w:r>
          </w:p>
        </w:tc>
      </w:tr>
      <w:tr w:rsidR="00E70101" w14:paraId="54350BA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01AA837E"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058330D3" w14:textId="77777777" w:rsidR="00E70101" w:rsidRDefault="00E70101">
            <w:pPr>
              <w:widowControl/>
              <w:snapToGrid w:val="0"/>
              <w:spacing w:line="240" w:lineRule="auto"/>
              <w:rPr>
                <w:rFonts w:ascii="Arial" w:eastAsia="仿宋_GB2312;仿宋" w:hAnsi="Arial" w:cs="Arial"/>
                <w:sz w:val="22"/>
                <w:szCs w:val="22"/>
              </w:rPr>
            </w:pPr>
          </w:p>
        </w:tc>
        <w:tc>
          <w:tcPr>
            <w:tcW w:w="5741" w:type="dxa"/>
            <w:vMerge/>
            <w:tcBorders>
              <w:top w:val="single" w:sz="4" w:space="0" w:color="000000"/>
              <w:left w:val="single" w:sz="4" w:space="0" w:color="000000"/>
              <w:bottom w:val="single" w:sz="4" w:space="0" w:color="000000"/>
            </w:tcBorders>
            <w:shd w:val="clear" w:color="auto" w:fill="auto"/>
            <w:vAlign w:val="center"/>
          </w:tcPr>
          <w:p w14:paraId="14F4BD0A" w14:textId="77777777" w:rsidR="00E70101" w:rsidRDefault="00E70101">
            <w:pPr>
              <w:widowControl/>
              <w:snapToGrid w:val="0"/>
              <w:spacing w:line="240" w:lineRule="auto"/>
              <w:rPr>
                <w:rFonts w:ascii="Arial" w:eastAsia="仿宋_GB2312;仿宋" w:hAnsi="Arial" w:cs="Arial"/>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14:paraId="0C04DD74"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成本逼近法</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0518B"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市场比较法</w:t>
            </w:r>
          </w:p>
        </w:tc>
      </w:tr>
      <w:tr w:rsidR="00E70101" w14:paraId="7F0228DB"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120C4F03"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咨询方法的代表性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D3FD956"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25</w:t>
            </w:r>
          </w:p>
        </w:tc>
        <w:tc>
          <w:tcPr>
            <w:tcW w:w="5741" w:type="dxa"/>
            <w:tcBorders>
              <w:top w:val="single" w:sz="4" w:space="0" w:color="000000"/>
              <w:left w:val="single" w:sz="4" w:space="0" w:color="000000"/>
              <w:bottom w:val="single" w:sz="4" w:space="0" w:color="000000"/>
            </w:tcBorders>
            <w:shd w:val="clear" w:color="auto" w:fill="auto"/>
            <w:vAlign w:val="center"/>
          </w:tcPr>
          <w:p w14:paraId="1581C1BD"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、咨询方法选取分析充分、合理，取</w:t>
            </w:r>
            <w:r>
              <w:rPr>
                <w:rFonts w:ascii="Arial" w:eastAsia="仿宋_GB2312;仿宋" w:hAnsi="Arial" w:cs="Arial"/>
                <w:sz w:val="22"/>
                <w:szCs w:val="22"/>
              </w:rPr>
              <w:t>20</w:t>
            </w:r>
            <w:r>
              <w:rPr>
                <w:rFonts w:ascii="Arial" w:eastAsia="仿宋_GB2312;仿宋" w:hAnsi="Arial" w:cs="Arial"/>
                <w:sz w:val="22"/>
                <w:szCs w:val="22"/>
              </w:rPr>
              <w:t>～</w:t>
            </w:r>
            <w:r>
              <w:rPr>
                <w:rFonts w:ascii="Arial" w:eastAsia="仿宋_GB2312;仿宋" w:hAnsi="Arial" w:cs="Arial"/>
                <w:sz w:val="22"/>
                <w:szCs w:val="22"/>
              </w:rPr>
              <w:t>25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2DF22F20"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12</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06B2B2"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24</w:t>
            </w:r>
          </w:p>
        </w:tc>
      </w:tr>
      <w:tr w:rsidR="00E70101" w14:paraId="2BBFD905"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10E663BB"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718CAE4F"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3D080170"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、咨询方法选取分析较充分、合理，取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772BFF86"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F6AFB6" w14:textId="77777777" w:rsidR="00E70101" w:rsidRDefault="00E70101">
            <w:pPr>
              <w:widowControl/>
              <w:snapToGrid w:val="0"/>
              <w:spacing w:line="240" w:lineRule="auto"/>
              <w:rPr>
                <w:rFonts w:ascii="Arial" w:eastAsia="仿宋_GB2312;仿宋" w:hAnsi="Arial" w:cs="Arial"/>
                <w:szCs w:val="24"/>
              </w:rPr>
            </w:pPr>
          </w:p>
        </w:tc>
      </w:tr>
      <w:tr w:rsidR="00E70101" w14:paraId="7467C405"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79F5710D"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57FEF090"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6A5FB36E"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3</w:t>
            </w:r>
            <w:r>
              <w:rPr>
                <w:rFonts w:ascii="Arial" w:eastAsia="仿宋_GB2312;仿宋" w:hAnsi="Arial" w:cs="Arial"/>
                <w:sz w:val="22"/>
                <w:szCs w:val="22"/>
              </w:rPr>
              <w:t>、咨询方法选取分析较不充分，取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74736B1C"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0FD72" w14:textId="77777777" w:rsidR="00E70101" w:rsidRDefault="00E70101">
            <w:pPr>
              <w:widowControl/>
              <w:snapToGrid w:val="0"/>
              <w:spacing w:line="240" w:lineRule="auto"/>
              <w:rPr>
                <w:rFonts w:ascii="Arial" w:eastAsia="仿宋_GB2312;仿宋" w:hAnsi="Arial" w:cs="Arial"/>
                <w:szCs w:val="24"/>
              </w:rPr>
            </w:pPr>
          </w:p>
        </w:tc>
      </w:tr>
      <w:tr w:rsidR="00E70101" w14:paraId="3F8E4CE4"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4BD7EA34"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咨询方法所要求的评估资料的完整性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3540A66E"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0C3DA620"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、估算资料完整，来源依据充分，取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341ADD23"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A25472"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13</w:t>
            </w:r>
          </w:p>
        </w:tc>
      </w:tr>
      <w:tr w:rsidR="00E70101" w14:paraId="21A5CA8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51289880"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1D6F3FE4"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FF2DC0D"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、评估资料有欠缺，来源依据较不充分，取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32F0D0D7"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889415" w14:textId="77777777" w:rsidR="00E70101" w:rsidRDefault="00E70101">
            <w:pPr>
              <w:widowControl/>
              <w:snapToGrid w:val="0"/>
              <w:spacing w:line="240" w:lineRule="auto"/>
              <w:rPr>
                <w:rFonts w:ascii="Arial" w:eastAsia="仿宋_GB2312;仿宋" w:hAnsi="Arial" w:cs="Arial"/>
                <w:szCs w:val="24"/>
              </w:rPr>
            </w:pPr>
          </w:p>
        </w:tc>
      </w:tr>
      <w:tr w:rsidR="00E70101" w14:paraId="061D3D6E"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7056D81B"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参数选取的客观性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4EAD7FD0"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710D4014"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、参数从市场上获取，或从权威机构发布的信息上获取，取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2460203A"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5</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C10659"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11</w:t>
            </w:r>
          </w:p>
        </w:tc>
      </w:tr>
      <w:tr w:rsidR="00E70101" w14:paraId="03AAB6CA"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ACA682C"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320B3734"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735189D9"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、部分参数为自行分析取得，理由较充分，取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1A22405F"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0C3DC7" w14:textId="77777777" w:rsidR="00E70101" w:rsidRDefault="00E70101">
            <w:pPr>
              <w:widowControl/>
              <w:snapToGrid w:val="0"/>
              <w:spacing w:line="240" w:lineRule="auto"/>
              <w:rPr>
                <w:rFonts w:ascii="Arial" w:eastAsia="仿宋_GB2312;仿宋" w:hAnsi="Arial" w:cs="Arial"/>
                <w:szCs w:val="24"/>
              </w:rPr>
            </w:pPr>
          </w:p>
        </w:tc>
      </w:tr>
      <w:tr w:rsidR="00E70101" w14:paraId="6F837A02"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47331F66"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参数确定的时效性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0F4878DB"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6A511324"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、参数在规定的时效范围内，且</w:t>
            </w:r>
            <w:proofErr w:type="gramStart"/>
            <w:r>
              <w:rPr>
                <w:rFonts w:ascii="Arial" w:eastAsia="仿宋_GB2312;仿宋" w:hAnsi="Arial" w:cs="Arial"/>
                <w:sz w:val="22"/>
                <w:szCs w:val="22"/>
              </w:rPr>
              <w:t>距咨询</w:t>
            </w:r>
            <w:proofErr w:type="gramEnd"/>
            <w:r>
              <w:rPr>
                <w:rFonts w:ascii="Arial" w:eastAsia="仿宋_GB2312;仿宋" w:hAnsi="Arial" w:cs="Arial"/>
                <w:sz w:val="22"/>
                <w:szCs w:val="22"/>
              </w:rPr>
              <w:t>期日未超过</w:t>
            </w:r>
            <w:r>
              <w:rPr>
                <w:rFonts w:ascii="Arial" w:eastAsia="仿宋_GB2312;仿宋" w:hAnsi="Arial" w:cs="Arial"/>
                <w:sz w:val="22"/>
                <w:szCs w:val="22"/>
              </w:rPr>
              <w:t>1</w:t>
            </w:r>
            <w:r>
              <w:rPr>
                <w:rFonts w:ascii="Arial" w:eastAsia="仿宋_GB2312;仿宋" w:hAnsi="Arial" w:cs="Arial"/>
                <w:sz w:val="22"/>
                <w:szCs w:val="22"/>
              </w:rPr>
              <w:t>年，取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43584503"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3</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5C6460"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11</w:t>
            </w:r>
          </w:p>
        </w:tc>
      </w:tr>
      <w:tr w:rsidR="00E70101" w14:paraId="516542AF"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1EC9557"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0C29F2C4"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052F99B"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、参数在规定的时效范围内，但</w:t>
            </w:r>
            <w:proofErr w:type="gramStart"/>
            <w:r>
              <w:rPr>
                <w:rFonts w:ascii="Arial" w:eastAsia="仿宋_GB2312;仿宋" w:hAnsi="Arial" w:cs="Arial"/>
                <w:sz w:val="22"/>
                <w:szCs w:val="22"/>
              </w:rPr>
              <w:t>距咨询</w:t>
            </w:r>
            <w:proofErr w:type="gramEnd"/>
            <w:r>
              <w:rPr>
                <w:rFonts w:ascii="Arial" w:eastAsia="仿宋_GB2312;仿宋" w:hAnsi="Arial" w:cs="Arial"/>
                <w:sz w:val="22"/>
                <w:szCs w:val="22"/>
              </w:rPr>
              <w:t>期日超过</w:t>
            </w:r>
            <w:r>
              <w:rPr>
                <w:rFonts w:ascii="Arial" w:eastAsia="仿宋_GB2312;仿宋" w:hAnsi="Arial" w:cs="Arial"/>
                <w:sz w:val="22"/>
                <w:szCs w:val="22"/>
              </w:rPr>
              <w:t>1</w:t>
            </w:r>
            <w:r>
              <w:rPr>
                <w:rFonts w:ascii="Arial" w:eastAsia="仿宋_GB2312;仿宋" w:hAnsi="Arial" w:cs="Arial"/>
                <w:sz w:val="22"/>
                <w:szCs w:val="22"/>
              </w:rPr>
              <w:t>年，取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4A3E962F"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1471F9" w14:textId="77777777" w:rsidR="00E70101" w:rsidRDefault="00E70101">
            <w:pPr>
              <w:widowControl/>
              <w:snapToGrid w:val="0"/>
              <w:spacing w:line="240" w:lineRule="auto"/>
              <w:rPr>
                <w:rFonts w:ascii="Arial" w:eastAsia="仿宋_GB2312;仿宋" w:hAnsi="Arial" w:cs="Arial"/>
                <w:szCs w:val="24"/>
              </w:rPr>
            </w:pPr>
          </w:p>
        </w:tc>
      </w:tr>
      <w:tr w:rsidR="00E70101" w14:paraId="3A71464C"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34BC1CA0"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咨询结果的现势性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2FA2F2EE"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30</w:t>
            </w:r>
          </w:p>
        </w:tc>
        <w:tc>
          <w:tcPr>
            <w:tcW w:w="5741" w:type="dxa"/>
            <w:tcBorders>
              <w:top w:val="single" w:sz="4" w:space="0" w:color="000000"/>
              <w:left w:val="single" w:sz="4" w:space="0" w:color="000000"/>
              <w:bottom w:val="single" w:sz="4" w:space="0" w:color="000000"/>
            </w:tcBorders>
            <w:shd w:val="clear" w:color="auto" w:fill="auto"/>
            <w:vAlign w:val="center"/>
          </w:tcPr>
          <w:p w14:paraId="194E4EE8"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、咨询结果与同类用途房地产市场价格水平一致，且考虑了房地产市场发展趋势，取</w:t>
            </w:r>
            <w:r>
              <w:rPr>
                <w:rFonts w:ascii="Arial" w:eastAsia="仿宋_GB2312;仿宋" w:hAnsi="Arial" w:cs="Arial"/>
                <w:sz w:val="22"/>
                <w:szCs w:val="22"/>
              </w:rPr>
              <w:t>15</w:t>
            </w:r>
            <w:r>
              <w:rPr>
                <w:rFonts w:ascii="Arial" w:eastAsia="仿宋_GB2312;仿宋" w:hAnsi="Arial" w:cs="Arial"/>
                <w:sz w:val="22"/>
                <w:szCs w:val="22"/>
              </w:rPr>
              <w:t>～</w:t>
            </w:r>
            <w:r>
              <w:rPr>
                <w:rFonts w:ascii="Arial" w:eastAsia="仿宋_GB2312;仿宋" w:hAnsi="Arial" w:cs="Arial"/>
                <w:sz w:val="22"/>
                <w:szCs w:val="22"/>
              </w:rPr>
              <w:t>30</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6C35E7D4"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0BB024"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25</w:t>
            </w:r>
          </w:p>
        </w:tc>
      </w:tr>
      <w:tr w:rsidR="00E70101" w14:paraId="44C7004B"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6A296C5"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67ED025"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0A03E759"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、咨询结果与同类用途房地产价格水平基本一致，且适当考虑了房地产市场发展趋势，取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14</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52CEF4E2"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955ABD" w14:textId="77777777" w:rsidR="00E70101" w:rsidRDefault="00E70101">
            <w:pPr>
              <w:widowControl/>
              <w:snapToGrid w:val="0"/>
              <w:spacing w:line="240" w:lineRule="auto"/>
              <w:rPr>
                <w:rFonts w:ascii="Arial" w:eastAsia="仿宋_GB2312;仿宋" w:hAnsi="Arial" w:cs="Arial"/>
                <w:szCs w:val="24"/>
              </w:rPr>
            </w:pPr>
          </w:p>
        </w:tc>
      </w:tr>
      <w:tr w:rsidR="00E70101" w14:paraId="545BB24C"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1630BD9"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6FCA4C0F"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3ED4DF8C"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3</w:t>
            </w:r>
            <w:r>
              <w:rPr>
                <w:rFonts w:ascii="Arial" w:eastAsia="仿宋_GB2312;仿宋" w:hAnsi="Arial" w:cs="Arial"/>
                <w:sz w:val="22"/>
                <w:szCs w:val="22"/>
              </w:rPr>
              <w:t>、咨询结果与同类用途房地产价格水平有一定差距，且适当考虑房地产市场发展趋势，取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0790E0B2"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08B02E" w14:textId="77777777" w:rsidR="00E70101" w:rsidRDefault="00E70101">
            <w:pPr>
              <w:widowControl/>
              <w:snapToGrid w:val="0"/>
              <w:spacing w:line="240" w:lineRule="auto"/>
              <w:rPr>
                <w:rFonts w:ascii="Arial" w:eastAsia="仿宋_GB2312;仿宋" w:hAnsi="Arial" w:cs="Arial"/>
                <w:szCs w:val="24"/>
              </w:rPr>
            </w:pPr>
          </w:p>
        </w:tc>
      </w:tr>
      <w:tr w:rsidR="00E70101" w14:paraId="7DF29B42"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5CD3E26D" w14:textId="77777777" w:rsidR="00E70101" w:rsidRDefault="0060680B">
            <w:pPr>
              <w:widowControl/>
              <w:spacing w:line="240" w:lineRule="auto"/>
              <w:jc w:val="center"/>
              <w:rPr>
                <w:rFonts w:ascii="Arial" w:eastAsia="仿宋_GB2312;仿宋" w:hAnsi="Arial" w:cs="Arial"/>
                <w:b/>
                <w:bCs/>
                <w:sz w:val="22"/>
                <w:szCs w:val="22"/>
              </w:rPr>
            </w:pPr>
            <w:r>
              <w:rPr>
                <w:rFonts w:ascii="Arial" w:eastAsia="仿宋_GB2312;仿宋" w:hAnsi="Arial" w:cs="Arial"/>
                <w:b/>
                <w:bCs/>
                <w:sz w:val="22"/>
                <w:szCs w:val="22"/>
              </w:rPr>
              <w:t>分值</w:t>
            </w:r>
          </w:p>
        </w:tc>
        <w:tc>
          <w:tcPr>
            <w:tcW w:w="1134" w:type="dxa"/>
            <w:tcBorders>
              <w:top w:val="single" w:sz="4" w:space="0" w:color="000000"/>
              <w:left w:val="single" w:sz="4" w:space="0" w:color="000000"/>
              <w:bottom w:val="single" w:sz="4" w:space="0" w:color="000000"/>
            </w:tcBorders>
            <w:shd w:val="clear" w:color="auto" w:fill="auto"/>
            <w:vAlign w:val="center"/>
          </w:tcPr>
          <w:p w14:paraId="47A2611D"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36</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4767E"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84</w:t>
            </w:r>
          </w:p>
        </w:tc>
      </w:tr>
      <w:tr w:rsidR="00E70101" w14:paraId="5B246524"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5F3B2ADC" w14:textId="77777777" w:rsidR="00E70101" w:rsidRDefault="0060680B">
            <w:pPr>
              <w:widowControl/>
              <w:spacing w:line="240" w:lineRule="auto"/>
              <w:jc w:val="center"/>
              <w:rPr>
                <w:rFonts w:ascii="Arial" w:eastAsia="仿宋_GB2312;仿宋" w:hAnsi="Arial" w:cs="Arial"/>
                <w:b/>
                <w:bCs/>
                <w:sz w:val="22"/>
                <w:szCs w:val="22"/>
              </w:rPr>
            </w:pPr>
            <w:r>
              <w:rPr>
                <w:rFonts w:ascii="Arial" w:eastAsia="仿宋_GB2312;仿宋" w:hAnsi="Arial" w:cs="Arial"/>
                <w:b/>
                <w:bCs/>
                <w:sz w:val="22"/>
                <w:szCs w:val="22"/>
              </w:rPr>
              <w:t>权重</w:t>
            </w:r>
          </w:p>
        </w:tc>
        <w:tc>
          <w:tcPr>
            <w:tcW w:w="1134" w:type="dxa"/>
            <w:tcBorders>
              <w:top w:val="single" w:sz="4" w:space="0" w:color="000000"/>
              <w:left w:val="single" w:sz="4" w:space="0" w:color="000000"/>
              <w:bottom w:val="single" w:sz="4" w:space="0" w:color="000000"/>
            </w:tcBorders>
            <w:shd w:val="clear" w:color="auto" w:fill="auto"/>
            <w:vAlign w:val="center"/>
          </w:tcPr>
          <w:p w14:paraId="7BE82BBC"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30%</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2C821"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70%</w:t>
            </w:r>
          </w:p>
        </w:tc>
      </w:tr>
    </w:tbl>
    <w:p w14:paraId="1E48F70A"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成本逼近法是根据贡献原则，是一个土地取得成本、土地开发成本及其他费用累加过程，其中土地取得成本是最重要部分，根据评估指引，本次评估采用市场比较法确定土地取得成本，这些案例数据是项目整体征地拆迁安置补偿成本分摊在项目总用地面积上、且结案通过审定时间是</w:t>
      </w:r>
      <w:r>
        <w:rPr>
          <w:rFonts w:ascii="Arial" w:eastAsia="仿宋_GB2312;仿宋" w:hAnsi="Arial" w:cs="Arial"/>
          <w:bCs/>
          <w:sz w:val="28"/>
          <w:szCs w:val="28"/>
        </w:rPr>
        <w:t>2020-2023</w:t>
      </w:r>
      <w:r>
        <w:rPr>
          <w:rFonts w:ascii="Arial" w:eastAsia="仿宋_GB2312;仿宋" w:hAnsi="Arial" w:cs="Arial"/>
          <w:bCs/>
          <w:sz w:val="28"/>
          <w:szCs w:val="28"/>
        </w:rPr>
        <w:t>年，和一级土地开发发生时间有一定出入。</w:t>
      </w:r>
    </w:p>
    <w:p w14:paraId="7039EFC1" w14:textId="77777777" w:rsidR="00E70101" w:rsidRDefault="0060680B">
      <w:pPr>
        <w:spacing w:line="360" w:lineRule="auto"/>
        <w:ind w:firstLine="560"/>
        <w:jc w:val="both"/>
      </w:pPr>
      <w:r>
        <w:rPr>
          <w:rFonts w:ascii="Arial" w:eastAsia="仿宋_GB2312;仿宋" w:hAnsi="Arial" w:cs="Arial"/>
          <w:bCs/>
          <w:sz w:val="28"/>
          <w:szCs w:val="28"/>
        </w:rPr>
        <w:t>市场比较法采用的是和咨询对象类似评估目的、类似项目的</w:t>
      </w:r>
      <w:proofErr w:type="gramStart"/>
      <w:r>
        <w:rPr>
          <w:rFonts w:ascii="Arial" w:eastAsia="仿宋_GB2312;仿宋" w:hAnsi="Arial" w:cs="Arial"/>
          <w:bCs/>
          <w:sz w:val="28"/>
          <w:szCs w:val="28"/>
        </w:rPr>
        <w:t>纯土地</w:t>
      </w:r>
      <w:proofErr w:type="gramEnd"/>
      <w:r>
        <w:rPr>
          <w:rFonts w:ascii="Arial" w:eastAsia="仿宋_GB2312;仿宋" w:hAnsi="Arial" w:cs="Arial"/>
          <w:bCs/>
          <w:sz w:val="28"/>
          <w:szCs w:val="28"/>
        </w:rPr>
        <w:t>收购成本，尽管发生在</w:t>
      </w:r>
      <w:r>
        <w:rPr>
          <w:rFonts w:ascii="Arial" w:eastAsia="仿宋_GB2312;仿宋" w:hAnsi="Arial" w:cs="Arial"/>
          <w:bCs/>
          <w:sz w:val="28"/>
          <w:szCs w:val="28"/>
        </w:rPr>
        <w:t>2018-2019</w:t>
      </w:r>
      <w:r>
        <w:rPr>
          <w:rFonts w:ascii="Arial" w:eastAsia="仿宋_GB2312;仿宋" w:hAnsi="Arial" w:cs="Arial"/>
          <w:bCs/>
          <w:sz w:val="28"/>
          <w:szCs w:val="28"/>
        </w:rPr>
        <w:t>年，且</w:t>
      </w:r>
      <w:r>
        <w:rPr>
          <w:rFonts w:ascii="Arial" w:eastAsia="仿宋_GB2312;仿宋" w:hAnsi="Arial" w:cs="Arial"/>
          <w:bCs/>
          <w:sz w:val="28"/>
          <w:szCs w:val="28"/>
        </w:rPr>
        <w:t>2020-2023</w:t>
      </w:r>
      <w:r>
        <w:rPr>
          <w:rFonts w:ascii="Arial" w:eastAsia="仿宋_GB2312;仿宋" w:hAnsi="Arial" w:cs="Arial"/>
          <w:bCs/>
          <w:sz w:val="28"/>
          <w:szCs w:val="28"/>
        </w:rPr>
        <w:t>年类似项目鲜有发生，但是市场比较法案例数据比成本逼近法更有针对性。</w:t>
      </w:r>
    </w:p>
    <w:p w14:paraId="79AFB6FF" w14:textId="77777777" w:rsidR="00E70101" w:rsidRDefault="0060680B">
      <w:pPr>
        <w:spacing w:line="360" w:lineRule="auto"/>
        <w:ind w:firstLine="560"/>
        <w:jc w:val="both"/>
        <w:rPr>
          <w:rFonts w:cs="Arial"/>
        </w:rPr>
      </w:pPr>
      <w:r>
        <w:rPr>
          <w:rFonts w:ascii="Arial" w:eastAsia="仿宋_GB2312;仿宋" w:hAnsi="Arial" w:cs="Arial"/>
          <w:bCs/>
          <w:sz w:val="28"/>
          <w:szCs w:val="28"/>
        </w:rPr>
        <w:t>综合分析以上两种方法测算的结果，采用加权算术平均法求取咨询对象的土地价格。详见下表：</w:t>
      </w:r>
    </w:p>
    <w:tbl>
      <w:tblPr>
        <w:tblW w:w="5000" w:type="pct"/>
        <w:tblInd w:w="-113" w:type="dxa"/>
        <w:tblLook w:val="0000" w:firstRow="0" w:lastRow="0" w:firstColumn="0" w:lastColumn="0" w:noHBand="0" w:noVBand="0"/>
      </w:tblPr>
      <w:tblGrid>
        <w:gridCol w:w="2748"/>
        <w:gridCol w:w="2888"/>
        <w:gridCol w:w="1658"/>
        <w:gridCol w:w="1994"/>
      </w:tblGrid>
      <w:tr w:rsidR="00E70101" w14:paraId="6F7F267D"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650C4673"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咨询方法</w:t>
            </w:r>
          </w:p>
        </w:tc>
        <w:tc>
          <w:tcPr>
            <w:tcW w:w="2891" w:type="dxa"/>
            <w:tcBorders>
              <w:top w:val="single" w:sz="4" w:space="0" w:color="000000"/>
              <w:left w:val="single" w:sz="4" w:space="0" w:color="000000"/>
              <w:bottom w:val="single" w:sz="4" w:space="0" w:color="000000"/>
            </w:tcBorders>
            <w:shd w:val="clear" w:color="auto" w:fill="auto"/>
            <w:vAlign w:val="center"/>
          </w:tcPr>
          <w:p w14:paraId="22F7A6AF" w14:textId="77777777" w:rsidR="00E70101" w:rsidRDefault="0060680B">
            <w:pPr>
              <w:widowControl/>
              <w:spacing w:line="240" w:lineRule="auto"/>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地面土地补偿费</w:t>
            </w:r>
          </w:p>
          <w:p w14:paraId="11C2598D"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（元/平方米）</w:t>
            </w:r>
          </w:p>
        </w:tc>
        <w:tc>
          <w:tcPr>
            <w:tcW w:w="1659" w:type="dxa"/>
            <w:tcBorders>
              <w:top w:val="single" w:sz="4" w:space="0" w:color="000000"/>
              <w:left w:val="single" w:sz="4" w:space="0" w:color="000000"/>
              <w:bottom w:val="single" w:sz="4" w:space="0" w:color="000000"/>
            </w:tcBorders>
            <w:shd w:val="clear" w:color="auto" w:fill="auto"/>
            <w:vAlign w:val="center"/>
          </w:tcPr>
          <w:p w14:paraId="67F21EC2"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权重</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4E92DC95" w14:textId="77777777" w:rsidR="00E70101" w:rsidRDefault="0060680B">
            <w:pPr>
              <w:widowControl/>
              <w:spacing w:line="240" w:lineRule="auto"/>
              <w:jc w:val="center"/>
            </w:pPr>
            <w:r>
              <w:rPr>
                <w:rFonts w:ascii="仿宋_GB2312;仿宋" w:eastAsia="仿宋_GB2312;仿宋" w:hAnsi="仿宋_GB2312;仿宋" w:cs="Calibri"/>
                <w:sz w:val="21"/>
                <w:szCs w:val="21"/>
              </w:rPr>
              <w:t>土地评估总额</w:t>
            </w:r>
          </w:p>
          <w:p w14:paraId="73250D61"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（万元）</w:t>
            </w:r>
          </w:p>
        </w:tc>
      </w:tr>
      <w:tr w:rsidR="00E70101" w14:paraId="669D4037"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7BF48B1C"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成本逼近法</w:t>
            </w:r>
          </w:p>
        </w:tc>
        <w:tc>
          <w:tcPr>
            <w:tcW w:w="2891" w:type="dxa"/>
            <w:tcBorders>
              <w:top w:val="single" w:sz="4" w:space="0" w:color="000000"/>
              <w:left w:val="single" w:sz="4" w:space="0" w:color="000000"/>
              <w:bottom w:val="single" w:sz="4" w:space="0" w:color="000000"/>
            </w:tcBorders>
            <w:shd w:val="clear" w:color="auto" w:fill="auto"/>
            <w:vAlign w:val="center"/>
          </w:tcPr>
          <w:p w14:paraId="6F899B31"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3156</w:t>
            </w:r>
          </w:p>
        </w:tc>
        <w:tc>
          <w:tcPr>
            <w:tcW w:w="1659" w:type="dxa"/>
            <w:tcBorders>
              <w:top w:val="single" w:sz="4" w:space="0" w:color="000000"/>
              <w:left w:val="single" w:sz="4" w:space="0" w:color="000000"/>
              <w:bottom w:val="single" w:sz="4" w:space="0" w:color="000000"/>
            </w:tcBorders>
            <w:shd w:val="clear" w:color="auto" w:fill="auto"/>
            <w:vAlign w:val="center"/>
          </w:tcPr>
          <w:p w14:paraId="0D13A7E8"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30%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461D218F" w14:textId="77777777" w:rsidR="00E70101" w:rsidRDefault="0060680B">
            <w:pPr>
              <w:widowControl/>
              <w:jc w:val="center"/>
              <w:rPr>
                <w:rFonts w:ascii="Arial" w:eastAsia="仿宋_GB2312;仿宋" w:hAnsi="Arial" w:cs="Arial"/>
                <w:sz w:val="21"/>
                <w:szCs w:val="21"/>
              </w:rPr>
            </w:pPr>
            <w:r>
              <w:rPr>
                <w:rFonts w:ascii="仿宋_GB2312;仿宋" w:eastAsia="仿宋_GB2312;仿宋" w:hAnsi="仿宋_GB2312;仿宋" w:cs="仿宋_GB2312;仿宋"/>
                <w:sz w:val="21"/>
                <w:szCs w:val="21"/>
              </w:rPr>
              <w:t>——</w:t>
            </w:r>
          </w:p>
        </w:tc>
      </w:tr>
      <w:tr w:rsidR="00E70101" w14:paraId="26671639"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39B572F2"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市场比较法</w:t>
            </w:r>
          </w:p>
        </w:tc>
        <w:tc>
          <w:tcPr>
            <w:tcW w:w="2891" w:type="dxa"/>
            <w:tcBorders>
              <w:top w:val="single" w:sz="4" w:space="0" w:color="000000"/>
              <w:left w:val="single" w:sz="4" w:space="0" w:color="000000"/>
              <w:bottom w:val="single" w:sz="4" w:space="0" w:color="000000"/>
            </w:tcBorders>
            <w:shd w:val="clear" w:color="auto" w:fill="auto"/>
            <w:vAlign w:val="center"/>
          </w:tcPr>
          <w:p w14:paraId="01077626"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4686</w:t>
            </w:r>
          </w:p>
        </w:tc>
        <w:tc>
          <w:tcPr>
            <w:tcW w:w="1659" w:type="dxa"/>
            <w:tcBorders>
              <w:top w:val="single" w:sz="4" w:space="0" w:color="000000"/>
              <w:left w:val="single" w:sz="4" w:space="0" w:color="000000"/>
              <w:bottom w:val="single" w:sz="4" w:space="0" w:color="000000"/>
            </w:tcBorders>
            <w:shd w:val="clear" w:color="auto" w:fill="auto"/>
            <w:vAlign w:val="center"/>
          </w:tcPr>
          <w:p w14:paraId="164C472E"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70%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07536C1C" w14:textId="77777777" w:rsidR="00E70101" w:rsidRDefault="0060680B">
            <w:pPr>
              <w:widowControl/>
              <w:jc w:val="center"/>
              <w:rPr>
                <w:rFonts w:ascii="Arial" w:eastAsia="仿宋_GB2312;仿宋" w:hAnsi="Arial" w:cs="Arial"/>
                <w:sz w:val="21"/>
                <w:szCs w:val="21"/>
              </w:rPr>
            </w:pPr>
            <w:r>
              <w:rPr>
                <w:rFonts w:ascii="仿宋_GB2312;仿宋" w:eastAsia="仿宋_GB2312;仿宋" w:hAnsi="仿宋_GB2312;仿宋" w:cs="仿宋_GB2312;仿宋"/>
                <w:sz w:val="21"/>
                <w:szCs w:val="21"/>
              </w:rPr>
              <w:t>——</w:t>
            </w:r>
          </w:p>
        </w:tc>
      </w:tr>
      <w:tr w:rsidR="00E70101" w14:paraId="42985D79"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5BCC52B3"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咨询结果</w:t>
            </w:r>
          </w:p>
        </w:tc>
        <w:tc>
          <w:tcPr>
            <w:tcW w:w="2891" w:type="dxa"/>
            <w:tcBorders>
              <w:top w:val="single" w:sz="4" w:space="0" w:color="000000"/>
              <w:left w:val="single" w:sz="4" w:space="0" w:color="000000"/>
              <w:bottom w:val="single" w:sz="4" w:space="0" w:color="000000"/>
            </w:tcBorders>
            <w:shd w:val="clear" w:color="auto" w:fill="auto"/>
            <w:vAlign w:val="center"/>
          </w:tcPr>
          <w:p w14:paraId="488D71E2"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4230</w:t>
            </w:r>
          </w:p>
        </w:tc>
        <w:tc>
          <w:tcPr>
            <w:tcW w:w="1659" w:type="dxa"/>
            <w:tcBorders>
              <w:top w:val="single" w:sz="4" w:space="0" w:color="000000"/>
              <w:left w:val="single" w:sz="4" w:space="0" w:color="000000"/>
              <w:bottom w:val="single" w:sz="4" w:space="0" w:color="000000"/>
            </w:tcBorders>
            <w:shd w:val="clear" w:color="auto" w:fill="auto"/>
            <w:vAlign w:val="center"/>
          </w:tcPr>
          <w:p w14:paraId="7556CCF4"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100%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1E01B563"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156654</w:t>
            </w:r>
          </w:p>
        </w:tc>
      </w:tr>
    </w:tbl>
    <w:p w14:paraId="6A46C1DF" w14:textId="77777777" w:rsidR="00E70101" w:rsidRDefault="00E70101">
      <w:pPr>
        <w:spacing w:line="360" w:lineRule="auto"/>
        <w:ind w:firstLine="560"/>
        <w:jc w:val="both"/>
        <w:textAlignment w:val="bottom"/>
        <w:rPr>
          <w:rFonts w:ascii="仿宋_GB2312;仿宋" w:eastAsia="仿宋_GB2312;仿宋" w:hAnsi="仿宋_GB2312;仿宋"/>
          <w:sz w:val="28"/>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74"/>
          <w:footerReference w:type="default" r:id="rId75"/>
          <w:pgSz w:w="11906" w:h="16838"/>
          <w:pgMar w:top="1843" w:right="1304" w:bottom="1134" w:left="1304" w:header="1134" w:footer="907" w:gutter="0"/>
          <w:cols w:space="720"/>
          <w:formProt w:val="0"/>
          <w:docGrid w:linePitch="326"/>
        </w:sectPr>
      </w:pPr>
    </w:p>
    <w:p w14:paraId="0A298B50" w14:textId="77777777" w:rsidR="00E70101" w:rsidRDefault="0060680B">
      <w:pPr>
        <w:tabs>
          <w:tab w:val="center" w:pos="4649"/>
        </w:tabs>
        <w:snapToGrid w:val="0"/>
        <w:spacing w:line="360" w:lineRule="auto"/>
        <w:rPr>
          <w:rFonts w:ascii="Arial" w:eastAsia="仿宋_GB2312;仿宋" w:hAnsi="Arial" w:cs="Arial"/>
          <w:sz w:val="28"/>
          <w:szCs w:val="28"/>
        </w:rPr>
      </w:pPr>
      <w:r>
        <w:rPr>
          <w:rFonts w:ascii="Arial" w:eastAsia="仿宋_GB2312;仿宋" w:hAnsi="Arial" w:cs="Arial"/>
          <w:sz w:val="28"/>
          <w:szCs w:val="28"/>
        </w:rPr>
        <w:t>（七）收购补偿价格咨询结果</w:t>
      </w:r>
      <w:r>
        <w:rPr>
          <w:rFonts w:ascii="Arial" w:eastAsia="仿宋_GB2312;仿宋" w:hAnsi="Arial" w:cs="Arial"/>
          <w:sz w:val="28"/>
          <w:szCs w:val="28"/>
        </w:rPr>
        <w:tab/>
      </w:r>
    </w:p>
    <w:p w14:paraId="76D23BAC"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69"/>
        <w:gridCol w:w="2107"/>
        <w:gridCol w:w="3224"/>
      </w:tblGrid>
      <w:tr w:rsidR="00E70101" w14:paraId="1E19B5F3"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7A483DD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079C483"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1A74BA3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0B18CE03"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4107F"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08F40B5E" w14:textId="77777777">
        <w:trPr>
          <w:trHeight w:val="454"/>
          <w:jc w:val="center"/>
        </w:trPr>
        <w:tc>
          <w:tcPr>
            <w:tcW w:w="889" w:type="dxa"/>
            <w:tcBorders>
              <w:left w:val="single" w:sz="4" w:space="0" w:color="000000"/>
              <w:bottom w:val="single" w:sz="4" w:space="0" w:color="000000"/>
            </w:tcBorders>
            <w:shd w:val="clear" w:color="auto" w:fill="auto"/>
            <w:vAlign w:val="center"/>
          </w:tcPr>
          <w:p w14:paraId="5B65EEA3"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7080C85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9" w:type="dxa"/>
            <w:tcBorders>
              <w:left w:val="single" w:sz="4" w:space="0" w:color="000000"/>
              <w:bottom w:val="single" w:sz="4" w:space="0" w:color="000000"/>
            </w:tcBorders>
            <w:shd w:val="clear" w:color="auto" w:fill="auto"/>
            <w:vAlign w:val="center"/>
          </w:tcPr>
          <w:p w14:paraId="1793A03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1576C86F"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1443C5DC" w14:textId="77777777">
        <w:trPr>
          <w:trHeight w:val="454"/>
          <w:jc w:val="center"/>
        </w:trPr>
        <w:tc>
          <w:tcPr>
            <w:tcW w:w="889" w:type="dxa"/>
            <w:tcBorders>
              <w:left w:val="single" w:sz="4" w:space="0" w:color="000000"/>
              <w:bottom w:val="single" w:sz="4" w:space="0" w:color="000000"/>
            </w:tcBorders>
            <w:shd w:val="clear" w:color="auto" w:fill="auto"/>
            <w:vAlign w:val="center"/>
          </w:tcPr>
          <w:p w14:paraId="1564BBB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54830A0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9" w:type="dxa"/>
            <w:tcBorders>
              <w:left w:val="single" w:sz="4" w:space="0" w:color="000000"/>
              <w:bottom w:val="single" w:sz="4" w:space="0" w:color="000000"/>
            </w:tcBorders>
            <w:shd w:val="clear" w:color="auto" w:fill="auto"/>
            <w:vAlign w:val="center"/>
          </w:tcPr>
          <w:p w14:paraId="42250D4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27C43DA"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6A5E908" w14:textId="77777777">
        <w:trPr>
          <w:trHeight w:val="454"/>
          <w:jc w:val="center"/>
        </w:trPr>
        <w:tc>
          <w:tcPr>
            <w:tcW w:w="889" w:type="dxa"/>
            <w:tcBorders>
              <w:left w:val="single" w:sz="4" w:space="0" w:color="000000"/>
              <w:bottom w:val="single" w:sz="4" w:space="0" w:color="000000"/>
            </w:tcBorders>
            <w:shd w:val="clear" w:color="auto" w:fill="auto"/>
            <w:vAlign w:val="center"/>
          </w:tcPr>
          <w:p w14:paraId="070A3D3A"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2EDB854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9" w:type="dxa"/>
            <w:tcBorders>
              <w:left w:val="single" w:sz="4" w:space="0" w:color="000000"/>
              <w:bottom w:val="single" w:sz="4" w:space="0" w:color="000000"/>
            </w:tcBorders>
            <w:shd w:val="clear" w:color="auto" w:fill="auto"/>
            <w:vAlign w:val="center"/>
          </w:tcPr>
          <w:p w14:paraId="3695D3C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CE98BD3"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574E2BB5" w14:textId="77777777">
        <w:trPr>
          <w:trHeight w:val="454"/>
          <w:jc w:val="center"/>
        </w:trPr>
        <w:tc>
          <w:tcPr>
            <w:tcW w:w="889" w:type="dxa"/>
            <w:tcBorders>
              <w:left w:val="single" w:sz="4" w:space="0" w:color="000000"/>
              <w:bottom w:val="single" w:sz="4" w:space="0" w:color="000000"/>
            </w:tcBorders>
            <w:shd w:val="clear" w:color="auto" w:fill="auto"/>
            <w:vAlign w:val="center"/>
          </w:tcPr>
          <w:p w14:paraId="75E9A767"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1FC80FE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9" w:type="dxa"/>
            <w:tcBorders>
              <w:left w:val="single" w:sz="4" w:space="0" w:color="000000"/>
              <w:bottom w:val="single" w:sz="4" w:space="0" w:color="000000"/>
            </w:tcBorders>
            <w:shd w:val="clear" w:color="auto" w:fill="auto"/>
            <w:vAlign w:val="center"/>
          </w:tcPr>
          <w:p w14:paraId="591709E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3E4B059"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602B739" w14:textId="77777777">
        <w:trPr>
          <w:trHeight w:val="454"/>
          <w:jc w:val="center"/>
        </w:trPr>
        <w:tc>
          <w:tcPr>
            <w:tcW w:w="889" w:type="dxa"/>
            <w:tcBorders>
              <w:left w:val="single" w:sz="4" w:space="0" w:color="000000"/>
              <w:bottom w:val="single" w:sz="4" w:space="0" w:color="000000"/>
            </w:tcBorders>
            <w:shd w:val="clear" w:color="auto" w:fill="auto"/>
            <w:vAlign w:val="center"/>
          </w:tcPr>
          <w:p w14:paraId="6CEFB5B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431BFE9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9" w:type="dxa"/>
            <w:tcBorders>
              <w:left w:val="single" w:sz="4" w:space="0" w:color="000000"/>
              <w:bottom w:val="single" w:sz="4" w:space="0" w:color="000000"/>
            </w:tcBorders>
            <w:shd w:val="clear" w:color="auto" w:fill="auto"/>
            <w:vAlign w:val="center"/>
          </w:tcPr>
          <w:p w14:paraId="24027BC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E52B552"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440624D6" w14:textId="77777777">
        <w:trPr>
          <w:trHeight w:val="454"/>
          <w:jc w:val="center"/>
        </w:trPr>
        <w:tc>
          <w:tcPr>
            <w:tcW w:w="889" w:type="dxa"/>
            <w:tcBorders>
              <w:left w:val="single" w:sz="4" w:space="0" w:color="000000"/>
              <w:bottom w:val="single" w:sz="4" w:space="0" w:color="000000"/>
            </w:tcBorders>
            <w:shd w:val="clear" w:color="auto" w:fill="auto"/>
            <w:vAlign w:val="center"/>
          </w:tcPr>
          <w:p w14:paraId="013BD489"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6F55428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9" w:type="dxa"/>
            <w:tcBorders>
              <w:left w:val="single" w:sz="4" w:space="0" w:color="000000"/>
              <w:bottom w:val="single" w:sz="4" w:space="0" w:color="000000"/>
            </w:tcBorders>
            <w:shd w:val="clear" w:color="auto" w:fill="auto"/>
            <w:vAlign w:val="center"/>
          </w:tcPr>
          <w:p w14:paraId="34E69FD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E8FF712"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3861A9CF" w14:textId="77777777">
        <w:trPr>
          <w:trHeight w:val="454"/>
          <w:jc w:val="center"/>
        </w:trPr>
        <w:tc>
          <w:tcPr>
            <w:tcW w:w="889" w:type="dxa"/>
            <w:tcBorders>
              <w:left w:val="single" w:sz="4" w:space="0" w:color="000000"/>
              <w:bottom w:val="single" w:sz="4" w:space="0" w:color="000000"/>
            </w:tcBorders>
            <w:shd w:val="clear" w:color="auto" w:fill="auto"/>
            <w:vAlign w:val="center"/>
          </w:tcPr>
          <w:p w14:paraId="3AC00188"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7307856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9" w:type="dxa"/>
            <w:tcBorders>
              <w:left w:val="single" w:sz="4" w:space="0" w:color="000000"/>
              <w:bottom w:val="single" w:sz="4" w:space="0" w:color="000000"/>
            </w:tcBorders>
            <w:shd w:val="clear" w:color="auto" w:fill="auto"/>
            <w:vAlign w:val="center"/>
          </w:tcPr>
          <w:p w14:paraId="0296FB06"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7528C6DB"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5BC4A7C" w14:textId="77777777" w:rsidR="00E70101" w:rsidRDefault="0060680B">
      <w:pPr>
        <w:snapToGrid w:val="0"/>
        <w:spacing w:before="120" w:line="360" w:lineRule="auto"/>
        <w:ind w:firstLine="556"/>
      </w:pPr>
      <w:r>
        <w:rPr>
          <w:rFonts w:ascii="Arial" w:eastAsia="仿宋_GB2312;仿宋" w:hAnsi="Arial" w:cs="Arial"/>
          <w:sz w:val="28"/>
          <w:szCs w:val="28"/>
        </w:rPr>
        <w:t>上述相加，得出咨询对象收购补偿总价：</w:t>
      </w:r>
    </w:p>
    <w:p w14:paraId="73823A2E" w14:textId="77777777" w:rsidR="00E70101" w:rsidRDefault="0060680B">
      <w:pPr>
        <w:spacing w:line="360" w:lineRule="auto"/>
        <w:ind w:firstLine="560"/>
      </w:pPr>
      <w:r>
        <w:rPr>
          <w:rFonts w:ascii="Arial" w:eastAsia="仿宋_GB2312;仿宋" w:hAnsi="Arial" w:cs="Arial"/>
          <w:sz w:val="28"/>
          <w:szCs w:val="28"/>
        </w:rPr>
        <w:t>156654+0+0+0+0+0=156654</w:t>
      </w:r>
      <w:r>
        <w:rPr>
          <w:rFonts w:ascii="Arial" w:eastAsia="仿宋_GB2312;仿宋" w:hAnsi="Arial" w:cs="Arial"/>
          <w:sz w:val="28"/>
          <w:szCs w:val="28"/>
        </w:rPr>
        <w:t>（万元）</w:t>
      </w:r>
    </w:p>
    <w:p w14:paraId="65FEED52" w14:textId="77777777" w:rsidR="00E70101" w:rsidRDefault="0060680B">
      <w:pPr>
        <w:tabs>
          <w:tab w:val="left" w:pos="3360"/>
        </w:tabs>
        <w:spacing w:line="360" w:lineRule="auto"/>
        <w:jc w:val="both"/>
        <w:rPr>
          <w:rFonts w:ascii="Arial" w:eastAsia="仿宋_GB2312;仿宋" w:hAnsi="Arial" w:cs="Arial"/>
          <w:b/>
          <w:sz w:val="28"/>
        </w:rPr>
      </w:pPr>
      <w:r>
        <w:rPr>
          <w:rFonts w:ascii="Arial" w:eastAsia="仿宋_GB2312;仿宋" w:hAnsi="Arial" w:cs="Arial"/>
          <w:b/>
          <w:sz w:val="28"/>
        </w:rPr>
        <w:tab/>
      </w:r>
      <w:r>
        <w:br w:type="page"/>
      </w:r>
    </w:p>
    <w:p w14:paraId="7FE3514E" w14:textId="77777777" w:rsidR="00E70101" w:rsidRDefault="0060680B">
      <w:pPr>
        <w:spacing w:line="360" w:lineRule="auto"/>
        <w:jc w:val="both"/>
      </w:pPr>
      <w:r>
        <w:rPr>
          <w:rFonts w:ascii="Arial" w:eastAsia="仿宋_GB2312;仿宋" w:hAnsi="Arial" w:cs="Arial"/>
          <w:b/>
          <w:sz w:val="28"/>
        </w:rPr>
        <w:t>三、咨询结果的确认</w:t>
      </w:r>
    </w:p>
    <w:p w14:paraId="4EB31A77"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w:t>
      </w:r>
      <w:proofErr w:type="gramStart"/>
      <w:r>
        <w:rPr>
          <w:rFonts w:ascii="Arial" w:eastAsia="仿宋_GB2312;仿宋" w:hAnsi="Arial" w:cs="Arial"/>
          <w:b/>
          <w:kern w:val="2"/>
          <w:sz w:val="28"/>
        </w:rPr>
        <w:t>壹拾伍亿陆仟陆佰伍拾肆万</w:t>
      </w:r>
      <w:proofErr w:type="gramEnd"/>
      <w:r>
        <w:rPr>
          <w:rFonts w:ascii="Arial" w:eastAsia="仿宋_GB2312;仿宋" w:hAnsi="Arial" w:cs="Arial"/>
          <w:b/>
          <w:kern w:val="2"/>
          <w:sz w:val="28"/>
        </w:rPr>
        <w:t>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69"/>
        <w:gridCol w:w="2107"/>
        <w:gridCol w:w="3224"/>
      </w:tblGrid>
      <w:tr w:rsidR="00E70101" w14:paraId="41C27BFF"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74D29AC3"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E8814B7"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558F7D48"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7CC613F6"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8B848"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17CA0415" w14:textId="77777777">
        <w:trPr>
          <w:trHeight w:val="454"/>
          <w:jc w:val="center"/>
        </w:trPr>
        <w:tc>
          <w:tcPr>
            <w:tcW w:w="889" w:type="dxa"/>
            <w:tcBorders>
              <w:left w:val="single" w:sz="4" w:space="0" w:color="000000"/>
              <w:bottom w:val="single" w:sz="4" w:space="0" w:color="000000"/>
            </w:tcBorders>
            <w:shd w:val="clear" w:color="auto" w:fill="auto"/>
            <w:vAlign w:val="center"/>
          </w:tcPr>
          <w:p w14:paraId="5D1BB74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0B542B1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9" w:type="dxa"/>
            <w:tcBorders>
              <w:left w:val="single" w:sz="4" w:space="0" w:color="000000"/>
              <w:bottom w:val="single" w:sz="4" w:space="0" w:color="000000"/>
            </w:tcBorders>
            <w:shd w:val="clear" w:color="auto" w:fill="auto"/>
            <w:vAlign w:val="center"/>
          </w:tcPr>
          <w:p w14:paraId="3705DF9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775F22E1"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66C4E22A" w14:textId="77777777">
        <w:trPr>
          <w:trHeight w:val="454"/>
          <w:jc w:val="center"/>
        </w:trPr>
        <w:tc>
          <w:tcPr>
            <w:tcW w:w="889" w:type="dxa"/>
            <w:tcBorders>
              <w:left w:val="single" w:sz="4" w:space="0" w:color="000000"/>
              <w:bottom w:val="single" w:sz="4" w:space="0" w:color="000000"/>
            </w:tcBorders>
            <w:shd w:val="clear" w:color="auto" w:fill="auto"/>
            <w:vAlign w:val="center"/>
          </w:tcPr>
          <w:p w14:paraId="3C0B544C"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19ADCA1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9" w:type="dxa"/>
            <w:tcBorders>
              <w:left w:val="single" w:sz="4" w:space="0" w:color="000000"/>
              <w:bottom w:val="single" w:sz="4" w:space="0" w:color="000000"/>
            </w:tcBorders>
            <w:shd w:val="clear" w:color="auto" w:fill="auto"/>
            <w:vAlign w:val="center"/>
          </w:tcPr>
          <w:p w14:paraId="3B2DBB9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481E89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4F40B080" w14:textId="77777777">
        <w:trPr>
          <w:trHeight w:val="454"/>
          <w:jc w:val="center"/>
        </w:trPr>
        <w:tc>
          <w:tcPr>
            <w:tcW w:w="889" w:type="dxa"/>
            <w:tcBorders>
              <w:left w:val="single" w:sz="4" w:space="0" w:color="000000"/>
              <w:bottom w:val="single" w:sz="4" w:space="0" w:color="000000"/>
            </w:tcBorders>
            <w:shd w:val="clear" w:color="auto" w:fill="auto"/>
            <w:vAlign w:val="center"/>
          </w:tcPr>
          <w:p w14:paraId="2A254205"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72628EB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9" w:type="dxa"/>
            <w:tcBorders>
              <w:left w:val="single" w:sz="4" w:space="0" w:color="000000"/>
              <w:bottom w:val="single" w:sz="4" w:space="0" w:color="000000"/>
            </w:tcBorders>
            <w:shd w:val="clear" w:color="auto" w:fill="auto"/>
            <w:vAlign w:val="center"/>
          </w:tcPr>
          <w:p w14:paraId="4A09AE3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06E36FE"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59E2B072" w14:textId="77777777">
        <w:trPr>
          <w:trHeight w:val="454"/>
          <w:jc w:val="center"/>
        </w:trPr>
        <w:tc>
          <w:tcPr>
            <w:tcW w:w="889" w:type="dxa"/>
            <w:tcBorders>
              <w:left w:val="single" w:sz="4" w:space="0" w:color="000000"/>
              <w:bottom w:val="single" w:sz="4" w:space="0" w:color="000000"/>
            </w:tcBorders>
            <w:shd w:val="clear" w:color="auto" w:fill="auto"/>
            <w:vAlign w:val="center"/>
          </w:tcPr>
          <w:p w14:paraId="7FBFECA6"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00E6877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9" w:type="dxa"/>
            <w:tcBorders>
              <w:left w:val="single" w:sz="4" w:space="0" w:color="000000"/>
              <w:bottom w:val="single" w:sz="4" w:space="0" w:color="000000"/>
            </w:tcBorders>
            <w:shd w:val="clear" w:color="auto" w:fill="auto"/>
            <w:vAlign w:val="center"/>
          </w:tcPr>
          <w:p w14:paraId="26E73D6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02AED6A"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3A24F4E0" w14:textId="77777777">
        <w:trPr>
          <w:trHeight w:val="454"/>
          <w:jc w:val="center"/>
        </w:trPr>
        <w:tc>
          <w:tcPr>
            <w:tcW w:w="889" w:type="dxa"/>
            <w:tcBorders>
              <w:left w:val="single" w:sz="4" w:space="0" w:color="000000"/>
              <w:bottom w:val="single" w:sz="4" w:space="0" w:color="000000"/>
            </w:tcBorders>
            <w:shd w:val="clear" w:color="auto" w:fill="auto"/>
            <w:vAlign w:val="center"/>
          </w:tcPr>
          <w:p w14:paraId="6897D8B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24610D9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9" w:type="dxa"/>
            <w:tcBorders>
              <w:left w:val="single" w:sz="4" w:space="0" w:color="000000"/>
              <w:bottom w:val="single" w:sz="4" w:space="0" w:color="000000"/>
            </w:tcBorders>
            <w:shd w:val="clear" w:color="auto" w:fill="auto"/>
            <w:vAlign w:val="center"/>
          </w:tcPr>
          <w:p w14:paraId="3A52328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E69C12E"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6731F049" w14:textId="77777777">
        <w:trPr>
          <w:trHeight w:val="454"/>
          <w:jc w:val="center"/>
        </w:trPr>
        <w:tc>
          <w:tcPr>
            <w:tcW w:w="889" w:type="dxa"/>
            <w:tcBorders>
              <w:left w:val="single" w:sz="4" w:space="0" w:color="000000"/>
              <w:bottom w:val="single" w:sz="4" w:space="0" w:color="000000"/>
            </w:tcBorders>
            <w:shd w:val="clear" w:color="auto" w:fill="auto"/>
            <w:vAlign w:val="center"/>
          </w:tcPr>
          <w:p w14:paraId="36D3164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5B09B67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9" w:type="dxa"/>
            <w:tcBorders>
              <w:left w:val="single" w:sz="4" w:space="0" w:color="000000"/>
              <w:bottom w:val="single" w:sz="4" w:space="0" w:color="000000"/>
            </w:tcBorders>
            <w:shd w:val="clear" w:color="auto" w:fill="auto"/>
            <w:vAlign w:val="center"/>
          </w:tcPr>
          <w:p w14:paraId="1EAAFBC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089F2BD"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41FCD776" w14:textId="77777777">
        <w:trPr>
          <w:trHeight w:val="454"/>
          <w:jc w:val="center"/>
        </w:trPr>
        <w:tc>
          <w:tcPr>
            <w:tcW w:w="889" w:type="dxa"/>
            <w:tcBorders>
              <w:left w:val="single" w:sz="4" w:space="0" w:color="000000"/>
              <w:bottom w:val="single" w:sz="4" w:space="0" w:color="000000"/>
            </w:tcBorders>
            <w:shd w:val="clear" w:color="auto" w:fill="auto"/>
            <w:vAlign w:val="center"/>
          </w:tcPr>
          <w:p w14:paraId="01DC002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6FFDC32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9" w:type="dxa"/>
            <w:tcBorders>
              <w:left w:val="single" w:sz="4" w:space="0" w:color="000000"/>
              <w:bottom w:val="single" w:sz="4" w:space="0" w:color="000000"/>
            </w:tcBorders>
            <w:shd w:val="clear" w:color="auto" w:fill="auto"/>
            <w:vAlign w:val="center"/>
          </w:tcPr>
          <w:p w14:paraId="7533E4B0"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62D93616"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76"/>
          <w:footerReference w:type="default" r:id="rId77"/>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64" w:name="__RefHeading___Toc530042315"/>
      <w:bookmarkEnd w:id="64"/>
      <w:r>
        <w:rPr>
          <w:rFonts w:ascii="Arial" w:hAnsi="Arial" w:cs="Arial"/>
          <w:b/>
          <w:sz w:val="32"/>
        </w:rPr>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p>
    <w:p w14:paraId="5DC48BE2" w14:textId="77777777" w:rsidR="00E70101" w:rsidRDefault="0060680B">
      <w:pPr>
        <w:numPr>
          <w:ilvl w:val="0"/>
          <w:numId w:val="5"/>
        </w:numPr>
        <w:spacing w:line="360" w:lineRule="auto"/>
        <w:jc w:val="both"/>
      </w:pPr>
      <w:r>
        <w:rPr>
          <w:rFonts w:ascii="Arial" w:eastAsia="仿宋_GB2312;仿宋" w:hAnsi="Arial" w:cs="Arial"/>
          <w:sz w:val="28"/>
        </w:rPr>
        <w:t>咨询对象所在位置示意图</w:t>
      </w:r>
    </w:p>
    <w:p w14:paraId="58374D45"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受托单位《营业执照（副本）》复印件</w:t>
      </w:r>
    </w:p>
    <w:p w14:paraId="5C9C26AF"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受托单位评估资质复印件</w:t>
      </w:r>
    </w:p>
    <w:p w14:paraId="6D84E083" w14:textId="77777777" w:rsidR="00E70101" w:rsidRDefault="0060680B">
      <w:pPr>
        <w:spacing w:line="360" w:lineRule="auto"/>
        <w:ind w:firstLine="560"/>
        <w:jc w:val="both"/>
      </w:pPr>
      <w:r>
        <w:rPr>
          <w:rFonts w:ascii="Arial" w:eastAsia="楷体_GB2312;楷体" w:hAnsi="Arial" w:cs="Arial"/>
          <w:sz w:val="28"/>
        </w:rPr>
        <w:t>4.</w:t>
      </w:r>
      <w:r>
        <w:rPr>
          <w:rFonts w:ascii="Arial" w:eastAsia="仿宋_GB2312;仿宋" w:hAnsi="Arial" w:cs="Arial"/>
          <w:sz w:val="28"/>
        </w:rPr>
        <w:t>评估专业人员资质证书复印件</w:t>
      </w:r>
    </w:p>
    <w:p w14:paraId="1DA5F2BC" w14:textId="77777777" w:rsidR="00E70101" w:rsidRDefault="00E70101">
      <w:pPr>
        <w:spacing w:line="360" w:lineRule="auto"/>
        <w:rPr>
          <w:rFonts w:ascii="Arial" w:eastAsia="仿宋_GB2312;仿宋" w:hAnsi="Arial" w:cs="Arial"/>
          <w:sz w:val="28"/>
        </w:rPr>
      </w:pPr>
    </w:p>
    <w:sectPr w:rsidR="00E70101">
      <w:headerReference w:type="default" r:id="rId78"/>
      <w:footerReference w:type="default" r:id="rId79"/>
      <w:pgSz w:w="11906" w:h="16838"/>
      <w:pgMar w:top="1843" w:right="1304" w:bottom="1134" w:left="1304" w:header="1134" w:footer="907" w:gutter="0"/>
      <w:cols w:space="720"/>
      <w:formProt w:val="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未知作者" w:date="2024-08-16T11:08:00Z" w:initials="">
    <w:p w14:paraId="761D49BB" w14:textId="77777777" w:rsidR="0060680B" w:rsidRDefault="0060680B">
      <w:r>
        <w:rPr>
          <w:rFonts w:ascii="Liberation Serif" w:eastAsia="新宋体" w:hAnsi="Liberation Serif" w:cs="Lucida Sans"/>
          <w:kern w:val="2"/>
          <w:sz w:val="21"/>
          <w:szCs w:val="24"/>
          <w:lang w:bidi="hi-IN"/>
        </w:rPr>
        <w:t>已更名</w:t>
      </w:r>
    </w:p>
  </w:comment>
  <w:comment w:id="4" w:author="未知作者" w:date="2024-08-16T11:24:00Z" w:initials="">
    <w:p w14:paraId="5CA27D93" w14:textId="77777777" w:rsidR="0060680B" w:rsidRDefault="0060680B">
      <w:r>
        <w:rPr>
          <w:rFonts w:ascii="Liberation Serif" w:eastAsia="新宋体" w:hAnsi="Liberation Serif" w:cs="Lucida Sans"/>
          <w:kern w:val="2"/>
          <w:sz w:val="21"/>
          <w:szCs w:val="24"/>
          <w:lang w:bidi="hi-IN"/>
        </w:rPr>
        <w:t>同前</w:t>
      </w:r>
    </w:p>
  </w:comment>
  <w:comment w:id="9" w:author="未知作者" w:date="2024-08-16T11:26:00Z" w:initials="">
    <w:p w14:paraId="60B846F1" w14:textId="77777777" w:rsidR="0060680B" w:rsidRDefault="0060680B">
      <w:r>
        <w:rPr>
          <w:rFonts w:ascii="Liberation Serif" w:eastAsia="新宋体" w:hAnsi="Liberation Serif" w:cs="Lucida Sans"/>
          <w:kern w:val="2"/>
          <w:sz w:val="21"/>
          <w:szCs w:val="24"/>
          <w:lang w:bidi="hi-IN"/>
        </w:rPr>
        <w:t>不能又实际又设定</w:t>
      </w:r>
    </w:p>
  </w:comment>
  <w:comment w:id="15" w:author="未知作者" w:date="2024-08-16T11:29:00Z" w:initials="">
    <w:p w14:paraId="188683E3" w14:textId="77777777" w:rsidR="0060680B" w:rsidRDefault="0060680B">
      <w:r>
        <w:rPr>
          <w:rFonts w:ascii="Liberation Serif" w:eastAsia="新宋体" w:hAnsi="Liberation Serif" w:cs="Lucida Sans"/>
          <w:kern w:val="2"/>
          <w:sz w:val="20"/>
          <w:szCs w:val="24"/>
          <w:lang w:bidi="hi-IN"/>
        </w:rPr>
        <w:t>.</w:t>
      </w:r>
    </w:p>
  </w:comment>
  <w:comment w:id="19" w:author="未知作者" w:date="2024-08-16T11:34:00Z" w:initials="">
    <w:p w14:paraId="3BC355E4" w14:textId="77777777" w:rsidR="0060680B" w:rsidRDefault="0060680B">
      <w:r>
        <w:rPr>
          <w:rFonts w:ascii="Liberation Serif" w:eastAsia="新宋体" w:hAnsi="Liberation Serif" w:cs="Lucida Sans"/>
          <w:kern w:val="2"/>
          <w:sz w:val="21"/>
          <w:szCs w:val="24"/>
          <w:lang w:bidi="hi-IN"/>
        </w:rPr>
        <w:t>实际两字删掉？</w:t>
      </w:r>
    </w:p>
  </w:comment>
  <w:comment w:id="24" w:author="未知作者" w:date="2024-08-16T11:40:00Z" w:initials="">
    <w:p w14:paraId="4FC2D914" w14:textId="77777777" w:rsidR="0060680B" w:rsidRDefault="0060680B">
      <w:r>
        <w:rPr>
          <w:rFonts w:ascii="Liberation Serif" w:eastAsia="新宋体" w:hAnsi="Liberation Serif" w:cs="Lucida Sans"/>
          <w:kern w:val="2"/>
          <w:sz w:val="20"/>
          <w:szCs w:val="24"/>
          <w:lang w:bidi="hi-IN"/>
        </w:rPr>
        <w:t>.</w:t>
      </w:r>
    </w:p>
  </w:comment>
  <w:comment w:id="29" w:author="未知作者" w:date="2024-08-16T11:42:00Z" w:initials="">
    <w:p w14:paraId="010EB886" w14:textId="77777777" w:rsidR="0060680B" w:rsidRDefault="0060680B">
      <w:r>
        <w:rPr>
          <w:rFonts w:ascii="Liberation Serif" w:eastAsia="新宋体" w:hAnsi="Liberation Serif" w:cs="Lucida Sans"/>
          <w:kern w:val="2"/>
          <w:sz w:val="21"/>
          <w:szCs w:val="24"/>
          <w:lang w:bidi="hi-IN"/>
        </w:rPr>
        <w:t>忘了改哈</w:t>
      </w:r>
    </w:p>
  </w:comment>
  <w:comment w:id="32" w:author="未知作者" w:date="2024-08-16T11:43:00Z" w:initials="">
    <w:p w14:paraId="2CC9A181" w14:textId="77777777" w:rsidR="0060680B" w:rsidRDefault="0060680B">
      <w:r>
        <w:rPr>
          <w:rFonts w:ascii="Liberation Serif" w:eastAsia="新宋体" w:hAnsi="Liberation Serif" w:cs="Lucida Sans"/>
          <w:kern w:val="2"/>
          <w:sz w:val="20"/>
          <w:szCs w:val="24"/>
          <w:lang w:bidi="hi-IN"/>
        </w:rPr>
        <w:t>.</w:t>
      </w:r>
    </w:p>
  </w:comment>
  <w:comment w:id="40" w:author="未知作者" w:date="2024-08-16T11:44:00Z" w:initials="">
    <w:p w14:paraId="4E45ADE0" w14:textId="77777777" w:rsidR="0060680B" w:rsidRDefault="0060680B">
      <w:r>
        <w:rPr>
          <w:rFonts w:ascii="Liberation Serif" w:eastAsia="新宋体" w:hAnsi="Liberation Serif" w:cs="Lucida Sans"/>
          <w:kern w:val="2"/>
          <w:sz w:val="20"/>
          <w:szCs w:val="24"/>
          <w:lang w:bidi="hi-IN"/>
        </w:rPr>
        <w:t>.</w:t>
      </w:r>
    </w:p>
  </w:comment>
  <w:comment w:id="44" w:author="未知作者" w:date="2024-08-16T11:46:00Z" w:initials="">
    <w:p w14:paraId="594B7C37" w14:textId="77777777" w:rsidR="0060680B" w:rsidRDefault="0060680B">
      <w:r>
        <w:rPr>
          <w:rFonts w:ascii="Liberation Serif" w:eastAsia="新宋体" w:hAnsi="Liberation Serif" w:cs="Lucida Sans"/>
          <w:kern w:val="2"/>
          <w:sz w:val="20"/>
          <w:szCs w:val="24"/>
          <w:lang w:bidi="hi-IN"/>
        </w:rPr>
        <w:t>.</w:t>
      </w:r>
    </w:p>
  </w:comment>
  <w:comment w:id="48" w:author="未知作者" w:date="2024-08-16T11:46:00Z" w:initials="">
    <w:p w14:paraId="3FE93A26" w14:textId="77777777" w:rsidR="0060680B" w:rsidRDefault="0060680B">
      <w:r>
        <w:rPr>
          <w:rFonts w:ascii="Liberation Serif" w:eastAsia="新宋体" w:hAnsi="Liberation Serif" w:cs="Lucida Sans"/>
          <w:kern w:val="2"/>
          <w:sz w:val="20"/>
          <w:szCs w:val="24"/>
          <w:lang w:bidi="hi-IN"/>
        </w:rPr>
        <w:t>.</w:t>
      </w:r>
    </w:p>
  </w:comment>
  <w:comment w:id="50" w:author="未知作者" w:date="2024-08-16T11:48:00Z" w:initials="">
    <w:p w14:paraId="71689A6B" w14:textId="77777777" w:rsidR="0060680B" w:rsidRDefault="0060680B">
      <w:r>
        <w:rPr>
          <w:rFonts w:ascii="Liberation Serif" w:eastAsia="新宋体" w:hAnsi="Liberation Serif" w:cs="Lucida Sans"/>
          <w:kern w:val="2"/>
          <w:sz w:val="21"/>
          <w:szCs w:val="24"/>
          <w:lang w:bidi="hi-IN"/>
        </w:rPr>
        <w:t>北七家镇？</w:t>
      </w:r>
    </w:p>
  </w:comment>
  <w:comment w:id="51" w:author="未知作者" w:date="2024-08-16T11:48:00Z" w:initials="">
    <w:p w14:paraId="54F8FA2C" w14:textId="77777777" w:rsidR="0060680B" w:rsidRDefault="0060680B">
      <w:r>
        <w:rPr>
          <w:rFonts w:ascii="Liberation Serif" w:eastAsia="新宋体" w:hAnsi="Liberation Serif" w:cs="Lucida Sans"/>
          <w:kern w:val="2"/>
          <w:sz w:val="21"/>
          <w:szCs w:val="24"/>
          <w:lang w:bidi="hi-IN"/>
        </w:rPr>
        <w:t>？</w:t>
      </w:r>
    </w:p>
  </w:comment>
  <w:comment w:id="52" w:author="未知作者" w:date="2024-08-16T11:49:00Z" w:initials="">
    <w:p w14:paraId="6EA25B33" w14:textId="77777777" w:rsidR="0060680B" w:rsidRDefault="0060680B">
      <w:r>
        <w:rPr>
          <w:rFonts w:ascii="Liberation Serif" w:eastAsia="新宋体" w:hAnsi="Liberation Serif" w:cs="Lucida Sans"/>
          <w:kern w:val="2"/>
          <w:sz w:val="20"/>
          <w:szCs w:val="24"/>
          <w:lang w:bidi="hi-IN"/>
        </w:rPr>
        <w:t>.</w:t>
      </w:r>
    </w:p>
  </w:comment>
  <w:comment w:id="61" w:author="未知作者" w:date="2024-08-16T11:51:00Z" w:initials="">
    <w:p w14:paraId="65919EF9" w14:textId="77777777" w:rsidR="0060680B" w:rsidRDefault="0060680B">
      <w:r>
        <w:rPr>
          <w:rFonts w:ascii="Liberation Serif" w:eastAsia="新宋体" w:hAnsi="Liberation Serif" w:cs="Lucida Sans"/>
          <w:kern w:val="2"/>
          <w:sz w:val="21"/>
          <w:szCs w:val="24"/>
          <w:lang w:bidi="hi-IN"/>
        </w:rPr>
        <w:t>下面算式</w:t>
      </w:r>
      <w:r>
        <w:rPr>
          <w:rFonts w:ascii="Liberation Serif" w:eastAsia="新宋体" w:hAnsi="Liberation Serif" w:cs="Lucida Sans"/>
          <w:kern w:val="2"/>
          <w:sz w:val="21"/>
          <w:szCs w:val="24"/>
          <w:lang w:bidi="hi-IN"/>
        </w:rPr>
        <w:t>4.35</w:t>
      </w:r>
      <w:r>
        <w:rPr>
          <w:rFonts w:ascii="Liberation Serif" w:eastAsia="新宋体" w:hAnsi="Liberation Serif" w:cs="Lucida Sans"/>
          <w:kern w:val="2"/>
          <w:sz w:val="21"/>
          <w:szCs w:val="24"/>
          <w:lang w:bidi="hi-IN"/>
        </w:rPr>
        <w:t>？</w:t>
      </w:r>
    </w:p>
  </w:comment>
  <w:comment w:id="62" w:author="未知作者" w:date="2024-08-16T11:51:00Z" w:initials="">
    <w:p w14:paraId="1E8CA295" w14:textId="77777777" w:rsidR="0060680B" w:rsidRDefault="0060680B">
      <w:bookmarkStart w:id="63" w:name="_GoBack"/>
      <w:bookmarkEnd w:id="63"/>
      <w:r>
        <w:rPr>
          <w:rFonts w:ascii="Liberation Serif" w:eastAsia="新宋体" w:hAnsi="Liberation Serif" w:cs="Lucida Sans"/>
          <w:kern w:val="2"/>
          <w:sz w:val="21"/>
          <w:szCs w:val="24"/>
          <w:lang w:bidi="hi-I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1D49BB" w15:done="0"/>
  <w15:commentEx w15:paraId="5CA27D93" w15:done="0"/>
  <w15:commentEx w15:paraId="60B846F1" w15:done="0"/>
  <w15:commentEx w15:paraId="188683E3" w15:done="0"/>
  <w15:commentEx w15:paraId="3BC355E4" w15:done="0"/>
  <w15:commentEx w15:paraId="4FC2D914" w15:done="0"/>
  <w15:commentEx w15:paraId="010EB886" w15:done="0"/>
  <w15:commentEx w15:paraId="2CC9A181" w15:done="0"/>
  <w15:commentEx w15:paraId="4E45ADE0" w15:done="0"/>
  <w15:commentEx w15:paraId="594B7C37" w15:done="0"/>
  <w15:commentEx w15:paraId="3FE93A26" w15:done="0"/>
  <w15:commentEx w15:paraId="71689A6B" w15:done="0"/>
  <w15:commentEx w15:paraId="54F8FA2C" w15:done="0"/>
  <w15:commentEx w15:paraId="6EA25B33" w15:done="0"/>
  <w15:commentEx w15:paraId="65919EF9" w15:done="0"/>
  <w15:commentEx w15:paraId="1E8CA2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4276C" w14:textId="77777777" w:rsidR="008C1C49" w:rsidRDefault="008C1C49">
      <w:pPr>
        <w:spacing w:line="240" w:lineRule="auto"/>
      </w:pPr>
      <w:r>
        <w:separator/>
      </w:r>
    </w:p>
  </w:endnote>
  <w:endnote w:type="continuationSeparator" w:id="0">
    <w:p w14:paraId="4F2C00AA" w14:textId="77777777" w:rsidR="008C1C49" w:rsidRDefault="008C1C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仿宋">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楷体_GB2312;楷体">
    <w:altName w:val="宋体"/>
    <w:panose1 w:val="00000000000000000000"/>
    <w:charset w:val="86"/>
    <w:family w:val="roman"/>
    <w:notTrueType/>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panose1 w:val="00000000000000000000"/>
    <w:charset w:val="00"/>
    <w:family w:val="roman"/>
    <w:notTrueType/>
    <w:pitch w:val="default"/>
  </w:font>
  <w:font w:name="FZSSK--GBK1-0;Arial Unicode M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Liberation Sans">
    <w:altName w:val="Arial"/>
    <w:charset w:val="86"/>
    <w:family w:val="swiss"/>
    <w:pitch w:val="variable"/>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97834" w14:textId="77777777" w:rsidR="0060680B" w:rsidRDefault="0060680B">
    <w:pPr>
      <w:pStyle w:val="af8"/>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60680B" w:rsidRDefault="0060680B">
                          <w:pPr>
                            <w:pStyle w:val="af8"/>
                            <w:rPr>
                              <w:rStyle w:val="a3"/>
                              <w:sz w:val="21"/>
                            </w:rPr>
                          </w:pPr>
                        </w:p>
                      </w:txbxContent>
                    </wps:txbx>
                    <wps:bodyPr lIns="0" tIns="0" rIns="0" bIns="0" anchor="t">
                      <a:noAutofit/>
                    </wps:bodyPr>
                  </wps:wsp>
                </a:graphicData>
              </a:graphic>
            </wp:anchor>
          </w:drawing>
        </mc:Choice>
        <mc:Fallback>
          <w:pict>
            <v:shapetype w14:anchorId="79C03E0F" id="_x0000_t202" coordsize="21600,21600" o:spt="202" path="m,l,21600r21600,l21600,xe">
              <v:stroke joinstyle="miter"/>
              <v:path gradientshapeok="t" o:connecttype="rect"/>
            </v:shapetype>
            <v:shape id="框架3" o:spid="_x0000_s1034"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" stroked="f">
              <v:fill opacity="0"/>
              <v:textbox inset="0,0,0,0">
                <w:txbxContent>
                  <w:p w14:paraId="54D17867" w14:textId="77777777" w:rsidR="0060680B" w:rsidRDefault="0060680B">
                    <w:pPr>
                      <w:pStyle w:val="af8"/>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3D2CE"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7</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F04DB"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29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41988"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44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27B1"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34949"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46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3586F"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84A03" w14:textId="77777777" w:rsidR="0060680B" w:rsidRDefault="0060680B">
    <w:pPr>
      <w:pStyle w:val="af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4C48D"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9BA75" w14:textId="77777777" w:rsidR="0060680B" w:rsidRDefault="0060680B">
    <w:pPr>
      <w:pStyle w:val="af8"/>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78993"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06A21" w14:textId="77777777" w:rsidR="0060680B" w:rsidRDefault="0060680B">
    <w:pPr>
      <w:pStyle w:val="af8"/>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177D4"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BE76B"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502A3"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10</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2482E"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35</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EA10E"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45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C45F"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50</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06232"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52</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481B6"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57</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792CC"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61</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C7B60"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62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6C87C" w14:textId="77777777" w:rsidR="0060680B" w:rsidRDefault="0060680B">
    <w:pPr>
      <w:pStyle w:val="af8"/>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60680B" w:rsidRDefault="0060680B">
                          <w:pPr>
                            <w:pStyle w:val="af8"/>
                            <w:rPr>
                              <w:rStyle w:val="a3"/>
                              <w:sz w:val="21"/>
                            </w:rPr>
                          </w:pPr>
                        </w:p>
                      </w:txbxContent>
                    </wps:txbx>
                    <wps:bodyPr lIns="0" tIns="0" rIns="0" bIns="0" anchor="t">
                      <a:noAutofit/>
                    </wps:bodyPr>
                  </wps:wsp>
                </a:graphicData>
              </a:graphic>
            </wp:anchor>
          </w:drawing>
        </mc:Choice>
        <mc:Fallback>
          <w:pict>
            <v:shapetype w14:anchorId="7C3338A7" id="_x0000_t202" coordsize="21600,21600" o:spt="202" path="m,l,21600r21600,l21600,xe">
              <v:stroke joinstyle="miter"/>
              <v:path gradientshapeok="t" o:connecttype="rect"/>
            </v:shapetype>
            <v:shape id="框架4" o:spid="_x0000_s1035"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" stroked="f">
              <v:fill opacity="0"/>
              <v:textbox inset="0,0,0,0">
                <w:txbxContent>
                  <w:p w14:paraId="701F71AB" w14:textId="77777777" w:rsidR="0060680B" w:rsidRDefault="0060680B">
                    <w:pPr>
                      <w:pStyle w:val="af8"/>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6C465" w14:textId="77777777" w:rsidR="0060680B" w:rsidRDefault="0060680B">
    <w:pPr>
      <w:pStyle w:val="af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C56B8"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A688E"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ABE23" w14:textId="77777777" w:rsidR="0060680B" w:rsidRDefault="0060680B">
    <w:pPr>
      <w:pStyle w:val="af8"/>
      <w:pBdr>
        <w:top w:val="single" w:sz="8" w:space="15" w:color="000000"/>
      </w:pBdr>
    </w:pPr>
    <w:r>
      <w:rPr>
        <w:noProof/>
        <w:lang w:val="en-US"/>
      </w:rPr>
      <mc:AlternateContent>
        <mc:Choice Requires="wps">
          <w:drawing>
            <wp:anchor distT="0" distB="0" distL="0" distR="0" simplePos="0" relativeHeight="251659264"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60680B" w:rsidRDefault="0060680B">
                          <w:pPr>
                            <w:pStyle w:val="af8"/>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00035F04" id="_x0000_t202" coordsize="21600,21600" o:spt="202" path="m,l,21600r21600,l21600,xe">
              <v:stroke joinstyle="miter"/>
              <v:path gradientshapeok="t" o:connecttype="rect"/>
            </v:shapetype>
            <v:shape id="框架5" o:spid="_x0000_s1036"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" stroked="f">
              <v:fill opacity="0"/>
              <v:textbox inset="0,0,0,0">
                <w:txbxContent>
                  <w:p w14:paraId="3FAB2CAC" w14:textId="77777777" w:rsidR="0060680B" w:rsidRDefault="0060680B">
                    <w:pPr>
                      <w:pStyle w:val="af8"/>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C9AEA" w14:textId="77777777" w:rsidR="0060680B" w:rsidRDefault="0060680B">
    <w:pPr>
      <w:pStyle w:val="af8"/>
      <w:pBdr>
        <w:top w:val="single" w:sz="4" w:space="1" w:color="000000"/>
      </w:pBdr>
      <w:jc w:val="center"/>
    </w:pPr>
    <w:r>
      <w:fldChar w:fldCharType="begin"/>
    </w:r>
    <w:r>
      <w:instrText>PAGE</w:instrText>
    </w:r>
    <w:r>
      <w:fldChar w:fldCharType="separate"/>
    </w:r>
    <w:r w:rsidR="004E1915">
      <w:rPr>
        <w:noProof/>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9625" w14:textId="77777777" w:rsidR="0060680B" w:rsidRDefault="0060680B">
    <w:pPr>
      <w:pStyle w:val="af8"/>
      <w:pBdr>
        <w:top w:val="single" w:sz="8" w:space="15" w:color="000000"/>
      </w:pBdr>
    </w:pPr>
    <w:r>
      <w:rPr>
        <w:noProof/>
        <w:lang w:val="en-US"/>
      </w:rPr>
      <mc:AlternateContent>
        <mc:Choice Requires="wps">
          <w:drawing>
            <wp:anchor distT="0" distB="0" distL="0" distR="0" simplePos="0" relativeHeight="251660288"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60680B" w:rsidRDefault="0060680B">
                          <w:pPr>
                            <w:pStyle w:val="af8"/>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4DE8A7A5" id="_x0000_t202" coordsize="21600,21600" o:spt="202" path="m,l,21600r21600,l21600,xe">
              <v:stroke joinstyle="miter"/>
              <v:path gradientshapeok="t" o:connecttype="rect"/>
            </v:shapetype>
            <v:shape id="框架6" o:spid="_x0000_s1037" type="#_x0000_t202" style="position:absolute;margin-left:78pt;margin-top:17.05pt;width:694.35pt;height:1.6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" stroked="f">
              <v:fill opacity="0"/>
              <v:textbox inset="0,0,0,0">
                <w:txbxContent>
                  <w:p w14:paraId="65BD0E09" w14:textId="77777777" w:rsidR="0060680B" w:rsidRDefault="0060680B">
                    <w:pPr>
                      <w:pStyle w:val="af8"/>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7840A" w14:textId="77777777" w:rsidR="008C1C49" w:rsidRDefault="008C1C49">
      <w:pPr>
        <w:spacing w:line="240" w:lineRule="auto"/>
      </w:pPr>
      <w:r>
        <w:separator/>
      </w:r>
    </w:p>
  </w:footnote>
  <w:footnote w:type="continuationSeparator" w:id="0">
    <w:p w14:paraId="62B4EDB8" w14:textId="77777777" w:rsidR="008C1C49" w:rsidRDefault="008C1C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37382" w14:textId="77777777" w:rsidR="0060680B" w:rsidRDefault="0060680B">
    <w:pPr>
      <w:pStyle w:val="af7"/>
      <w:pBdr>
        <w:bottom w:val="nil"/>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D6183" w14:textId="77777777" w:rsidR="0060680B" w:rsidRDefault="0060680B">
    <w:pPr>
      <w:pStyle w:val="af7"/>
      <w:pBdr>
        <w:bottom w:val="nil"/>
      </w:pBdr>
    </w:pPr>
    <w:r>
      <w:rPr>
        <w:noProof/>
        <w:lang w:val="en-US"/>
      </w:rPr>
      <w:drawing>
        <wp:inline distT="0" distB="0" distL="0" distR="0" wp14:anchorId="165C7084" wp14:editId="73554101">
          <wp:extent cx="5889625" cy="277495"/>
          <wp:effectExtent l="0" t="0" r="0" b="0"/>
          <wp:docPr id="49"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1E596" w14:textId="77777777" w:rsidR="0060680B" w:rsidRDefault="0060680B">
    <w:pPr>
      <w:pStyle w:val="af7"/>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565F3" w14:textId="77777777" w:rsidR="0060680B" w:rsidRDefault="0060680B">
    <w:pPr>
      <w:pStyle w:val="af7"/>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2A688" w14:textId="77777777" w:rsidR="0060680B" w:rsidRDefault="0060680B">
    <w:pPr>
      <w:pStyle w:val="af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0D1A1" w14:textId="77777777" w:rsidR="0060680B" w:rsidRDefault="0060680B">
    <w:pPr>
      <w:pStyle w:val="af7"/>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60680B" w:rsidRDefault="0060680B">
    <w:pPr>
      <w:pStyle w:val="af7"/>
      <w:pBdr>
        <w:bottom w:val="nil"/>
      </w:pBdr>
      <w:jc w:val="both"/>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10266" w14:textId="77777777" w:rsidR="0060680B" w:rsidRDefault="0060680B">
    <w:pPr>
      <w:pStyle w:val="af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D4511" w14:textId="77777777" w:rsidR="0060680B" w:rsidRDefault="0060680B">
    <w:pPr>
      <w:pStyle w:val="af7"/>
      <w:pBdr>
        <w:bottom w:val="nil"/>
      </w:pBdr>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464C7" w14:textId="77777777" w:rsidR="0060680B" w:rsidRDefault="0060680B">
    <w:pPr>
      <w:pStyle w:val="af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F3E11" w14:textId="77777777" w:rsidR="0060680B" w:rsidRDefault="0060680B">
    <w:pPr>
      <w:pStyle w:val="af7"/>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7C7B9" w14:textId="77777777" w:rsidR="0060680B" w:rsidRDefault="0060680B">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6496D" w14:textId="77777777" w:rsidR="0060680B" w:rsidRDefault="0060680B">
    <w:pPr>
      <w:pStyle w:val="af7"/>
      <w:pBdr>
        <w:bottom w:val="nil"/>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58D7C" w14:textId="77777777" w:rsidR="0060680B" w:rsidRDefault="0060680B">
    <w:pPr>
      <w:pStyle w:val="af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E69A2" w14:textId="77777777" w:rsidR="0060680B" w:rsidRDefault="0060680B">
    <w:pPr>
      <w:pStyle w:val="af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AA291" w14:textId="77777777" w:rsidR="0060680B" w:rsidRDefault="0060680B">
    <w:pPr>
      <w:pStyle w:val="af7"/>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781E0" w14:textId="77777777" w:rsidR="0060680B" w:rsidRDefault="0060680B">
    <w:pPr>
      <w:pStyle w:val="af7"/>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D419D" w14:textId="77777777" w:rsidR="0060680B" w:rsidRDefault="0060680B">
    <w:pPr>
      <w:pStyle w:val="af7"/>
      <w:pBdr>
        <w:bottom w:val="nil"/>
      </w:pBdr>
    </w:pPr>
    <w:r>
      <w:rPr>
        <w:noProof/>
        <w:lang w:val="en-US"/>
      </w:rPr>
      <w:drawing>
        <wp:inline distT="0" distB="0" distL="0" distR="0" wp14:anchorId="53643960" wp14:editId="46FA01C0">
          <wp:extent cx="5889625" cy="277495"/>
          <wp:effectExtent l="0" t="0" r="0" b="0"/>
          <wp:docPr id="56"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4B214" w14:textId="77777777" w:rsidR="0060680B" w:rsidRDefault="0060680B">
    <w:pPr>
      <w:pStyle w:val="af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26E8F" w14:textId="77777777" w:rsidR="0060680B" w:rsidRDefault="0060680B">
    <w:pPr>
      <w:pStyle w:val="af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78B04" w14:textId="77777777" w:rsidR="0060680B" w:rsidRDefault="0060680B">
    <w:pPr>
      <w:pStyle w:val="af7"/>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44146" w14:textId="77777777" w:rsidR="0060680B" w:rsidRDefault="0060680B">
    <w:pPr>
      <w:pStyle w:val="af7"/>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10388" w14:textId="77777777" w:rsidR="0060680B" w:rsidRDefault="0060680B">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19F34" w14:textId="77777777" w:rsidR="0060680B" w:rsidRDefault="0060680B">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EBF64" w14:textId="77777777" w:rsidR="0060680B" w:rsidRDefault="0060680B">
    <w:pPr>
      <w:pStyle w:val="af7"/>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71C4C" w14:textId="77777777" w:rsidR="0060680B" w:rsidRDefault="0060680B">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CCC28" w14:textId="77777777" w:rsidR="0060680B" w:rsidRDefault="0060680B">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70661" w14:textId="77777777" w:rsidR="0060680B" w:rsidRDefault="0060680B">
    <w:pPr>
      <w:pStyle w:val="af7"/>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88E73" w14:textId="77777777" w:rsidR="0060680B" w:rsidRDefault="0060680B">
    <w:pPr>
      <w:pStyle w:val="af7"/>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52877" w14:textId="77777777" w:rsidR="0060680B" w:rsidRDefault="0060680B">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0"/>
  </w:num>
  <w:num w:numId="4">
    <w:abstractNumId w:val="1"/>
  </w:num>
  <w:num w:numId="5">
    <w:abstractNumId w:val="2"/>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101"/>
    <w:rsid w:val="004E1915"/>
    <w:rsid w:val="0060680B"/>
    <w:rsid w:val="00693E9D"/>
    <w:rsid w:val="007C6194"/>
    <w:rsid w:val="008C1C49"/>
    <w:rsid w:val="00E70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E163D"/>
  <w15:docId w15:val="{25822699-FE91-4375-855C-AE4849D78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a6">
    <w:name w:val="未处理的提及"/>
    <w:qFormat/>
    <w:rPr>
      <w:color w:val="605E5C"/>
      <w:shd w:val="clear" w:color="auto" w:fill="E1DFDD"/>
    </w:rPr>
  </w:style>
  <w:style w:type="character" w:customStyle="1" w:styleId="10">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7">
    <w:name w:val="批注文字 字符"/>
    <w:qFormat/>
    <w:rPr>
      <w:rFonts w:ascii="Times New Roman" w:hAnsi="Times New Roman" w:cs="Times New Roman"/>
      <w:sz w:val="24"/>
    </w:rPr>
  </w:style>
  <w:style w:type="character" w:customStyle="1" w:styleId="a8">
    <w:name w:val="页眉 字符"/>
    <w:qFormat/>
    <w:rPr>
      <w:rFonts w:ascii="Times New Roman" w:hAnsi="Times New Roman" w:cs="Times New Roman"/>
      <w:sz w:val="18"/>
      <w:szCs w:val="18"/>
    </w:rPr>
  </w:style>
  <w:style w:type="character" w:customStyle="1" w:styleId="a9">
    <w:name w:val="页脚 字符"/>
    <w:qFormat/>
    <w:rPr>
      <w:rFonts w:ascii="Times New Roman" w:hAnsi="Times New Roman" w:cs="Times New Roman"/>
      <w:sz w:val="18"/>
      <w:szCs w:val="18"/>
    </w:rPr>
  </w:style>
  <w:style w:type="character" w:customStyle="1" w:styleId="aa">
    <w:name w:val="正文文本 字符"/>
    <w:qFormat/>
    <w:rPr>
      <w:rFonts w:ascii="Times New Roman" w:hAnsi="Times New Roman" w:cs="Times New Roman"/>
      <w:sz w:val="24"/>
    </w:rPr>
  </w:style>
  <w:style w:type="character" w:customStyle="1" w:styleId="ab">
    <w:name w:val="正文文本缩进 字符"/>
    <w:qFormat/>
    <w:rPr>
      <w:rFonts w:ascii="Times New Roman" w:hAnsi="Times New Roman" w:cs="Times New Roman"/>
      <w:sz w:val="24"/>
    </w:rPr>
  </w:style>
  <w:style w:type="character" w:customStyle="1" w:styleId="ac">
    <w:name w:val="日期 字符"/>
    <w:qFormat/>
    <w:rPr>
      <w:rFonts w:ascii="Times New Roman" w:hAnsi="Times New Roman" w:cs="Times New Roman"/>
      <w:sz w:val="24"/>
    </w:rPr>
  </w:style>
  <w:style w:type="character" w:customStyle="1" w:styleId="ad">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e">
    <w:name w:val="文档结构图 字符"/>
    <w:qFormat/>
    <w:rPr>
      <w:rFonts w:ascii="Times New Roman" w:hAnsi="Times New Roman" w:cs="Times New Roman"/>
      <w:sz w:val="24"/>
      <w:shd w:val="clear" w:color="auto" w:fill="000080"/>
    </w:rPr>
  </w:style>
  <w:style w:type="character" w:customStyle="1" w:styleId="af">
    <w:name w:val="纯文本 字符"/>
    <w:qFormat/>
    <w:rPr>
      <w:rFonts w:ascii="等线" w:eastAsia="等线" w:hAnsi="等线" w:cs="Courier New"/>
      <w:sz w:val="24"/>
    </w:rPr>
  </w:style>
  <w:style w:type="character" w:customStyle="1" w:styleId="af0">
    <w:name w:val="批注主题 字符"/>
    <w:qFormat/>
    <w:rPr>
      <w:rFonts w:ascii="Times New Roman" w:hAnsi="Times New Roman" w:cs="Times New Roman"/>
      <w:b/>
      <w:bCs/>
      <w:sz w:val="24"/>
    </w:rPr>
  </w:style>
  <w:style w:type="character" w:customStyle="1" w:styleId="af1">
    <w:name w:val="批注框文本 字符"/>
    <w:qFormat/>
    <w:rPr>
      <w:rFonts w:ascii="Times New Roman" w:hAnsi="Times New Roman" w:cs="Times New Roman"/>
      <w:sz w:val="18"/>
      <w:szCs w:val="18"/>
    </w:rPr>
  </w:style>
  <w:style w:type="paragraph" w:customStyle="1" w:styleId="af2">
    <w:name w:val="标题样式"/>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pPr>
      <w:spacing w:line="240" w:lineRule="auto"/>
      <w:jc w:val="both"/>
      <w:textAlignment w:val="auto"/>
    </w:pPr>
    <w:rPr>
      <w:rFonts w:ascii="宋体;SimSun" w:hAnsi="宋体;SimSun"/>
      <w:sz w:val="30"/>
      <w:lang w:val="zh-CN"/>
    </w:rPr>
  </w:style>
  <w:style w:type="paragraph" w:styleId="af4">
    <w:name w:val="List"/>
    <w:basedOn w:val="af3"/>
    <w:rPr>
      <w:rFonts w:cs="Lucida Sans"/>
    </w:rPr>
  </w:style>
  <w:style w:type="paragraph" w:styleId="af5">
    <w:name w:val="caption"/>
    <w:basedOn w:val="a"/>
    <w:qFormat/>
    <w:pPr>
      <w:suppressLineNumbers/>
      <w:spacing w:before="120" w:after="120"/>
    </w:pPr>
    <w:rPr>
      <w:rFonts w:cs="Lucida Sans"/>
      <w:i/>
      <w:iCs/>
      <w:szCs w:val="24"/>
    </w:rPr>
  </w:style>
  <w:style w:type="paragraph" w:customStyle="1" w:styleId="af6">
    <w:name w:val="索引"/>
    <w:basedOn w:val="a"/>
    <w:qFormat/>
    <w:pPr>
      <w:suppressLineNumbers/>
    </w:pPr>
    <w:rPr>
      <w:rFonts w:cs="Lucida Sans"/>
    </w:rPr>
  </w:style>
  <w:style w:type="paragraph" w:styleId="af7">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8">
    <w:name w:val="footer"/>
    <w:basedOn w:val="a"/>
    <w:pPr>
      <w:tabs>
        <w:tab w:val="center" w:pos="4153"/>
        <w:tab w:val="right" w:pos="8306"/>
      </w:tabs>
      <w:spacing w:line="240" w:lineRule="atLeast"/>
    </w:pPr>
    <w:rPr>
      <w:sz w:val="18"/>
      <w:lang w:val="zh-CN"/>
    </w:rPr>
  </w:style>
  <w:style w:type="paragraph" w:styleId="af9">
    <w:name w:val="Document Map"/>
    <w:basedOn w:val="a"/>
    <w:qFormat/>
    <w:pPr>
      <w:shd w:val="clear" w:color="auto" w:fill="000080"/>
    </w:pPr>
    <w:rPr>
      <w:lang w:val="zh-CN"/>
    </w:rPr>
  </w:style>
  <w:style w:type="paragraph" w:styleId="afa">
    <w:name w:val="Body Text First Indent"/>
    <w:basedOn w:val="af3"/>
    <w:qFormat/>
    <w:pPr>
      <w:spacing w:after="120"/>
      <w:ind w:firstLine="420"/>
    </w:pPr>
    <w:rPr>
      <w:rFonts w:ascii="Times New Roman" w:hAnsi="Times New Roman"/>
    </w:rPr>
  </w:style>
  <w:style w:type="paragraph" w:styleId="afb">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c">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d">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e">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f">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0">
    <w:name w:val="annotation text"/>
    <w:basedOn w:val="a"/>
    <w:qFormat/>
    <w:rPr>
      <w:lang w:val="zh-CN"/>
    </w:rPr>
  </w:style>
  <w:style w:type="paragraph" w:styleId="aff1">
    <w:name w:val="annotation subject"/>
    <w:basedOn w:val="aff0"/>
    <w:next w:val="aff0"/>
    <w:qFormat/>
    <w:rPr>
      <w:b/>
      <w:bCs/>
    </w:rPr>
  </w:style>
  <w:style w:type="paragraph" w:styleId="aff2">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3">
    <w:name w:val="List Paragraph"/>
    <w:basedOn w:val="a"/>
    <w:qFormat/>
    <w:pPr>
      <w:ind w:firstLine="420"/>
    </w:pPr>
  </w:style>
  <w:style w:type="paragraph" w:styleId="11">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26">
    <w:name w:val="toc 2"/>
    <w:basedOn w:val="a"/>
    <w:next w:val="a"/>
    <w:uiPriority w:val="39"/>
    <w:pPr>
      <w:tabs>
        <w:tab w:val="right" w:leader="dot" w:pos="8931"/>
      </w:tabs>
      <w:spacing w:line="360" w:lineRule="auto"/>
      <w:ind w:left="480"/>
    </w:pPr>
  </w:style>
  <w:style w:type="paragraph" w:styleId="35">
    <w:name w:val="toc 3"/>
    <w:basedOn w:val="a"/>
    <w:next w:val="a"/>
    <w:uiPriority w:val="39"/>
    <w:pPr>
      <w:spacing w:line="240" w:lineRule="auto"/>
      <w:ind w:left="840"/>
      <w:jc w:val="both"/>
      <w:textAlignment w:val="auto"/>
    </w:pPr>
    <w:rPr>
      <w:rFonts w:ascii="Calibri" w:hAnsi="Calibri"/>
      <w:kern w:val="2"/>
      <w:sz w:val="21"/>
      <w:szCs w:val="22"/>
    </w:rPr>
  </w:style>
  <w:style w:type="paragraph" w:styleId="41">
    <w:name w:val="toc 4"/>
    <w:basedOn w:val="a"/>
    <w:next w:val="a"/>
    <w:uiPriority w:val="39"/>
    <w:pPr>
      <w:spacing w:line="240" w:lineRule="auto"/>
      <w:ind w:left="1260"/>
      <w:jc w:val="both"/>
      <w:textAlignment w:val="auto"/>
    </w:pPr>
    <w:rPr>
      <w:rFonts w:ascii="Calibri" w:hAnsi="Calibri"/>
      <w:kern w:val="2"/>
      <w:sz w:val="21"/>
      <w:szCs w:val="22"/>
    </w:rPr>
  </w:style>
  <w:style w:type="paragraph" w:styleId="5">
    <w:name w:val="toc 5"/>
    <w:basedOn w:val="a"/>
    <w:next w:val="a"/>
    <w:uiPriority w:val="39"/>
    <w:pPr>
      <w:spacing w:line="240" w:lineRule="auto"/>
      <w:ind w:left="1680"/>
      <w:jc w:val="both"/>
      <w:textAlignment w:val="auto"/>
    </w:pPr>
    <w:rPr>
      <w:rFonts w:ascii="Calibri" w:hAnsi="Calibri"/>
      <w:kern w:val="2"/>
      <w:sz w:val="21"/>
      <w:szCs w:val="22"/>
    </w:rPr>
  </w:style>
  <w:style w:type="paragraph" w:styleId="6">
    <w:name w:val="toc 6"/>
    <w:basedOn w:val="a"/>
    <w:next w:val="a"/>
    <w:uiPriority w:val="39"/>
    <w:pPr>
      <w:spacing w:line="240" w:lineRule="auto"/>
      <w:ind w:left="2100"/>
      <w:jc w:val="both"/>
      <w:textAlignment w:val="auto"/>
    </w:pPr>
    <w:rPr>
      <w:rFonts w:ascii="Calibri" w:hAnsi="Calibri"/>
      <w:kern w:val="2"/>
      <w:sz w:val="21"/>
      <w:szCs w:val="22"/>
    </w:rPr>
  </w:style>
  <w:style w:type="paragraph" w:styleId="7">
    <w:name w:val="toc 7"/>
    <w:basedOn w:val="a"/>
    <w:next w:val="a"/>
    <w:uiPriority w:val="39"/>
    <w:pPr>
      <w:spacing w:line="240" w:lineRule="auto"/>
      <w:ind w:left="2520"/>
      <w:jc w:val="both"/>
      <w:textAlignment w:val="auto"/>
    </w:pPr>
    <w:rPr>
      <w:rFonts w:ascii="Calibri" w:hAnsi="Calibri"/>
      <w:kern w:val="2"/>
      <w:sz w:val="21"/>
      <w:szCs w:val="22"/>
    </w:rPr>
  </w:style>
  <w:style w:type="paragraph" w:styleId="8">
    <w:name w:val="toc 8"/>
    <w:basedOn w:val="a"/>
    <w:next w:val="a"/>
    <w:uiPriority w:val="39"/>
    <w:pPr>
      <w:spacing w:line="240" w:lineRule="auto"/>
      <w:ind w:left="2940"/>
      <w:jc w:val="both"/>
      <w:textAlignment w:val="auto"/>
    </w:pPr>
    <w:rPr>
      <w:rFonts w:ascii="Calibri" w:hAnsi="Calibri"/>
      <w:kern w:val="2"/>
      <w:sz w:val="21"/>
      <w:szCs w:val="22"/>
    </w:rPr>
  </w:style>
  <w:style w:type="paragraph" w:styleId="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0">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7">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4">
    <w:name w:val="表格内容"/>
    <w:basedOn w:val="a"/>
    <w:qFormat/>
    <w:pPr>
      <w:suppressLineNumbers/>
    </w:pPr>
  </w:style>
  <w:style w:type="paragraph" w:customStyle="1" w:styleId="aff5">
    <w:name w:val="表格标题"/>
    <w:basedOn w:val="aff4"/>
    <w:qFormat/>
    <w:pPr>
      <w:jc w:val="center"/>
    </w:pPr>
    <w:rPr>
      <w:b/>
      <w:bCs/>
    </w:rPr>
  </w:style>
  <w:style w:type="paragraph" w:customStyle="1" w:styleId="aff6">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7">
    <w:name w:val="Hyperlink"/>
    <w:basedOn w:val="a0"/>
    <w:uiPriority w:val="99"/>
    <w:unhideWhenUsed/>
    <w:rsid w:val="004E19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footer" Target="footer13.xml"/><Relationship Id="rId47" Type="http://schemas.openxmlformats.org/officeDocument/2006/relationships/header" Target="header16.xml"/><Relationship Id="rId50" Type="http://schemas.openxmlformats.org/officeDocument/2006/relationships/footer" Target="footer17.xml"/><Relationship Id="rId55" Type="http://schemas.openxmlformats.org/officeDocument/2006/relationships/footer" Target="footer19.xml"/><Relationship Id="rId63" Type="http://schemas.openxmlformats.org/officeDocument/2006/relationships/footer" Target="footer23.xml"/><Relationship Id="rId68" Type="http://schemas.openxmlformats.org/officeDocument/2006/relationships/footer" Target="footer24.xml"/><Relationship Id="rId76" Type="http://schemas.openxmlformats.org/officeDocument/2006/relationships/header" Target="header28.xml"/><Relationship Id="rId7" Type="http://schemas.openxmlformats.org/officeDocument/2006/relationships/comments" Target="comments.xml"/><Relationship Id="rId71" Type="http://schemas.openxmlformats.org/officeDocument/2006/relationships/header" Target="header26.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10.png"/><Relationship Id="rId37" Type="http://schemas.openxmlformats.org/officeDocument/2006/relationships/hyperlink" Target="http://baike.baidu.com/item/&#22303;&#22320;&#25152;&#26377;&#26435;" TargetMode="Externa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hyperlink" Target="http://www.baidu.com/link?url=WR4ik0HfoP3GU1rlTYIFq3n2WBRxMHa-d8GcgMgJUtKKn1Pe8laCRZpZkd9wT3bWx0Da0HhCv5MAzf-34H8xnjpEjz3Kk8n4fMGDiYPYgW3" TargetMode="External"/><Relationship Id="rId58" Type="http://schemas.openxmlformats.org/officeDocument/2006/relationships/header" Target="header21.xml"/><Relationship Id="rId66" Type="http://schemas.openxmlformats.org/officeDocument/2006/relationships/image" Target="media/image17.png"/><Relationship Id="rId74" Type="http://schemas.openxmlformats.org/officeDocument/2006/relationships/header" Target="header27.xml"/><Relationship Id="rId79" Type="http://schemas.openxmlformats.org/officeDocument/2006/relationships/footer" Target="footer29.xml"/><Relationship Id="rId5" Type="http://schemas.openxmlformats.org/officeDocument/2006/relationships/footnotes" Target="footnotes.xml"/><Relationship Id="rId61" Type="http://schemas.openxmlformats.org/officeDocument/2006/relationships/footer" Target="footer2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9.png"/><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header" Target="header22.xml"/><Relationship Id="rId65" Type="http://schemas.openxmlformats.org/officeDocument/2006/relationships/hyperlink" Target="http://baike.baidu.com/item/&#22303;&#22320;&#20215;&#26684;" TargetMode="External"/><Relationship Id="rId73" Type="http://schemas.openxmlformats.org/officeDocument/2006/relationships/image" Target="media/image18.png"/><Relationship Id="rId78" Type="http://schemas.openxmlformats.org/officeDocument/2006/relationships/header" Target="header29.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image" Target="media/image8.png"/><Relationship Id="rId35" Type="http://schemas.openxmlformats.org/officeDocument/2006/relationships/footer" Target="footer11.xml"/><Relationship Id="rId43" Type="http://schemas.openxmlformats.org/officeDocument/2006/relationships/header" Target="header14.xml"/><Relationship Id="rId48" Type="http://schemas.openxmlformats.org/officeDocument/2006/relationships/footer" Target="footer16.xml"/><Relationship Id="rId56" Type="http://schemas.openxmlformats.org/officeDocument/2006/relationships/header" Target="header20.xml"/><Relationship Id="rId64" Type="http://schemas.openxmlformats.org/officeDocument/2006/relationships/hyperlink" Target="http://baike.baidu.com/item/&#22303;&#22320;&#25152;&#26377;&#26435;" TargetMode="External"/><Relationship Id="rId69" Type="http://schemas.openxmlformats.org/officeDocument/2006/relationships/header" Target="header25.xml"/><Relationship Id="rId77" Type="http://schemas.openxmlformats.org/officeDocument/2006/relationships/footer" Target="footer28.xml"/><Relationship Id="rId8" Type="http://schemas.microsoft.com/office/2011/relationships/commentsExtended" Target="commentsExtended.xml"/><Relationship Id="rId51" Type="http://schemas.openxmlformats.org/officeDocument/2006/relationships/header" Target="header18.xml"/><Relationship Id="rId72" Type="http://schemas.openxmlformats.org/officeDocument/2006/relationships/footer" Target="footer26.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11.png"/><Relationship Id="rId38" Type="http://schemas.openxmlformats.org/officeDocument/2006/relationships/hyperlink" Target="http://baike.baidu.com/item/&#22303;&#22320;&#20215;&#26684;" TargetMode="External"/><Relationship Id="rId46" Type="http://schemas.openxmlformats.org/officeDocument/2006/relationships/footer" Target="footer15.xml"/><Relationship Id="rId59" Type="http://schemas.openxmlformats.org/officeDocument/2006/relationships/footer" Target="footer21.xml"/><Relationship Id="rId67" Type="http://schemas.openxmlformats.org/officeDocument/2006/relationships/header" Target="header24.xml"/><Relationship Id="rId20" Type="http://schemas.openxmlformats.org/officeDocument/2006/relationships/footer" Target="footer6.xml"/><Relationship Id="rId41" Type="http://schemas.openxmlformats.org/officeDocument/2006/relationships/header" Target="header13.xml"/><Relationship Id="rId54" Type="http://schemas.openxmlformats.org/officeDocument/2006/relationships/header" Target="header19.xml"/><Relationship Id="rId62" Type="http://schemas.openxmlformats.org/officeDocument/2006/relationships/header" Target="header23.xml"/><Relationship Id="rId70" Type="http://schemas.openxmlformats.org/officeDocument/2006/relationships/footer" Target="footer25.xml"/><Relationship Id="rId75"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yperlink" Target="http://www.baidu.com/link?url=WR4ik0HfoP3GU1rlTYIFq3n2WBRxMHa-d8GcgMgJUtKKn1Pe8laCRZpZkd9wT3bWx0Da0HhCv5MAzf-34H8xnjpEjz3Kk8n4fMGDiYPYgW3" TargetMode="External"/><Relationship Id="rId49" Type="http://schemas.openxmlformats.org/officeDocument/2006/relationships/header" Target="header17.xml"/><Relationship Id="rId57" Type="http://schemas.openxmlformats.org/officeDocument/2006/relationships/footer" Target="footer20.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1" Type="http://schemas.openxmlformats.org/officeDocument/2006/relationships/image" Target="media/image12.jpeg"/></Relationships>
</file>

<file path=word/_rels/header14.xml.rels><?xml version="1.0" encoding="UTF-8" standalone="yes"?>
<Relationships xmlns="http://schemas.openxmlformats.org/package/2006/relationships"><Relationship Id="rId1" Type="http://schemas.openxmlformats.org/officeDocument/2006/relationships/image" Target="media/image13.jpeg"/></Relationships>
</file>

<file path=word/_rels/header18.xml.rels><?xml version="1.0" encoding="UTF-8" standalone="yes"?>
<Relationships xmlns="http://schemas.openxmlformats.org/package/2006/relationships"><Relationship Id="rId1" Type="http://schemas.openxmlformats.org/officeDocument/2006/relationships/image" Target="media/image14.jpeg"/></Relationships>
</file>

<file path=word/_rels/header22.xml.rels><?xml version="1.0" encoding="UTF-8" standalone="yes"?>
<Relationships xmlns="http://schemas.openxmlformats.org/package/2006/relationships"><Relationship Id="rId1" Type="http://schemas.openxmlformats.org/officeDocument/2006/relationships/image" Target="media/image15.jpeg"/></Relationships>
</file>

<file path=word/_rels/header23.xml.rels><?xml version="1.0" encoding="UTF-8" standalone="yes"?>
<Relationships xmlns="http://schemas.openxmlformats.org/package/2006/relationships"><Relationship Id="rId1" Type="http://schemas.openxmlformats.org/officeDocument/2006/relationships/image" Target="media/image16.jpeg"/></Relationships>
</file>

<file path=word/_rels/header24.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9.jpeg"/></Relationships>
</file>

<file path=word/_rels/header28.xml.rels><?xml version="1.0" encoding="UTF-8" standalone="yes"?>
<Relationships xmlns="http://schemas.openxmlformats.org/package/2006/relationships"><Relationship Id="rId1" Type="http://schemas.openxmlformats.org/officeDocument/2006/relationships/image" Target="media/image19.jpeg"/></Relationships>
</file>

<file path=word/_rels/header29.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113</Pages>
  <Words>9876</Words>
  <Characters>56297</Characters>
  <Application>Microsoft Office Word</Application>
  <DocSecurity>0</DocSecurity>
  <Lines>469</Lines>
  <Paragraphs>132</Paragraphs>
  <ScaleCrop>false</ScaleCrop>
  <Company/>
  <LinksUpToDate>false</LinksUpToDate>
  <CharactersWithSpaces>66041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win10</cp:lastModifiedBy>
  <cp:revision>4</cp:revision>
  <cp:lastPrinted>2023-11-13T14:04:00Z</cp:lastPrinted>
  <dcterms:created xsi:type="dcterms:W3CDTF">2024-08-16T05:36:00Z</dcterms:created>
  <dcterms:modified xsi:type="dcterms:W3CDTF">2024-08-16T05:52:00Z</dcterms:modified>
  <dc:language>zh-CN</dc:language>
</cp:coreProperties>
</file>