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315525"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7A9C3545"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55B4872F"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09B2FE4E"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32D29CDA"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54D8189B"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0134E21B"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64D2D995"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07F216AE"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6D5CBF37"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1A208F0E"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6E1CB91E"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5EF6941B"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349CB257"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7A7287F9"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16D74988"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5C2C9370"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35210FE5"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506BA6B9"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4CE7DB93"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75DF8478"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1AE9E948"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1AA72209"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18D17390"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364B08F2"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77A2F724"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41F00801"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306FE5CE"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4FCFE8B3"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761F0533" w14:textId="77777777" w:rsidR="00E70101" w:rsidRDefault="0060680B">
      <w:pPr>
        <w:pStyle w:val="aff3"/>
        <w:numPr>
          <w:ilvl w:val="0"/>
          <w:numId w:val="6"/>
        </w:numPr>
        <w:spacing w:line="320" w:lineRule="exact"/>
        <w:ind w:right="-93"/>
        <w:outlineLvl w:val="0"/>
        <w:rPr>
          <w:rFonts w:ascii="Arial" w:eastAsia="方正黑体简体;微软雅黑" w:hAnsi="Arial" w:cs="Arial"/>
          <w:b/>
          <w:bCs/>
          <w:sz w:val="21"/>
          <w:szCs w:val="21"/>
        </w:rPr>
      </w:pPr>
      <w:r>
        <w:rPr>
          <w:rFonts w:ascii="Arial" w:eastAsia="方正黑体简体;微软雅黑" w:hAnsi="Arial" w:cs="Arial"/>
          <w:b/>
          <w:bCs/>
          <w:sz w:val="21"/>
          <w:szCs w:val="21"/>
        </w:rPr>
        <w:t>项目名称：</w:t>
      </w:r>
    </w:p>
    <w:p w14:paraId="1F175E21" w14:textId="77777777" w:rsidR="00E70101" w:rsidRDefault="0060680B">
      <w:pPr>
        <w:pStyle w:val="aff3"/>
        <w:spacing w:line="320" w:lineRule="exact"/>
        <w:ind w:left="360" w:firstLine="0"/>
        <w:rPr>
          <w:rFonts w:ascii="Arial" w:eastAsia="方正黑体简体;微软雅黑" w:hAnsi="Arial" w:cs="Arial"/>
          <w:sz w:val="21"/>
          <w:szCs w:val="21"/>
        </w:rPr>
      </w:pPr>
      <w:r>
        <w:rPr>
          <w:rFonts w:ascii="Arial" w:eastAsia="方正黑体简体;微软雅黑" w:hAnsi="Arial" w:cs="Arial"/>
          <w:sz w:val="21"/>
          <w:szCs w:val="21"/>
        </w:rPr>
        <w:t>北京市昌平区北七家镇八仙庄村仓储用地划拨国有建设用地使用权收购补偿价格咨询</w:t>
      </w:r>
    </w:p>
    <w:p w14:paraId="5E82E157"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5E0BC023" w14:textId="77777777" w:rsidR="00E70101" w:rsidRDefault="0060680B">
      <w:pPr>
        <w:pStyle w:val="aff3"/>
        <w:numPr>
          <w:ilvl w:val="0"/>
          <w:numId w:val="6"/>
        </w:numPr>
        <w:spacing w:line="320" w:lineRule="exact"/>
        <w:rPr>
          <w:rFonts w:ascii="Arial" w:eastAsia="Adobe 黑体 Std R;微软雅黑" w:hAnsi="Arial" w:cs="Arial"/>
          <w:b/>
          <w:sz w:val="21"/>
          <w:szCs w:val="21"/>
        </w:rPr>
      </w:pPr>
      <w:r>
        <w:rPr>
          <w:rFonts w:ascii="Arial" w:eastAsia="Adobe 黑体 Std R;微软雅黑" w:hAnsi="Arial" w:cs="Arial"/>
          <w:b/>
          <w:sz w:val="21"/>
          <w:szCs w:val="21"/>
        </w:rPr>
        <w:t>委托方：</w:t>
      </w:r>
    </w:p>
    <w:p w14:paraId="03D6F063" w14:textId="1FD93486" w:rsidR="00E70101" w:rsidRDefault="0060680B">
      <w:pPr>
        <w:pStyle w:val="aff3"/>
        <w:spacing w:line="320" w:lineRule="exact"/>
        <w:ind w:left="360" w:firstLine="0"/>
        <w:rPr>
          <w:rFonts w:ascii="Arial" w:eastAsia="Adobe 黑体 Std R;微软雅黑" w:hAnsi="Arial" w:cs="Arial"/>
          <w:bCs/>
          <w:sz w:val="21"/>
          <w:szCs w:val="21"/>
        </w:rPr>
      </w:pPr>
      <w:r>
        <w:rPr>
          <w:rFonts w:ascii="Arial" w:eastAsia="Adobe 黑体 Std R;微软雅黑" w:hAnsi="Arial" w:cs="Arial"/>
          <w:bCs/>
          <w:sz w:val="21"/>
          <w:szCs w:val="21"/>
        </w:rPr>
        <w:t>北京保障房中心有限公司</w:t>
      </w:r>
    </w:p>
    <w:p w14:paraId="67D0A821" w14:textId="77777777" w:rsidR="00E70101" w:rsidRDefault="00E70101">
      <w:pPr>
        <w:pStyle w:val="aff3"/>
        <w:spacing w:line="320" w:lineRule="exact"/>
        <w:ind w:left="360" w:firstLine="0"/>
        <w:rPr>
          <w:rFonts w:ascii="Arial" w:eastAsia="Adobe 黑体 Std R;微软雅黑" w:hAnsi="Arial" w:cs="Arial"/>
          <w:bCs/>
          <w:sz w:val="21"/>
          <w:szCs w:val="21"/>
        </w:rPr>
      </w:pPr>
    </w:p>
    <w:p w14:paraId="4ACEF399" w14:textId="77777777" w:rsidR="00E70101" w:rsidRDefault="0060680B">
      <w:pPr>
        <w:pStyle w:val="aff3"/>
        <w:numPr>
          <w:ilvl w:val="0"/>
          <w:numId w:val="6"/>
        </w:numPr>
        <w:spacing w:line="320" w:lineRule="exact"/>
        <w:rPr>
          <w:rFonts w:ascii="Arial" w:eastAsia="Adobe 黑体 Std R;微软雅黑" w:hAnsi="Arial" w:cs="Arial"/>
          <w:b/>
          <w:sz w:val="21"/>
          <w:szCs w:val="21"/>
        </w:rPr>
      </w:pPr>
      <w:r>
        <w:rPr>
          <w:rFonts w:ascii="Arial" w:eastAsia="Adobe 黑体 Std R;微软雅黑" w:hAnsi="Arial" w:cs="Arial"/>
          <w:b/>
          <w:sz w:val="21"/>
          <w:szCs w:val="21"/>
        </w:rPr>
        <w:t>受托单位：</w:t>
      </w:r>
    </w:p>
    <w:p w14:paraId="006406DC" w14:textId="77777777" w:rsidR="00E70101" w:rsidRDefault="0060680B">
      <w:pPr>
        <w:pStyle w:val="aff3"/>
        <w:tabs>
          <w:tab w:val="left" w:pos="6912"/>
        </w:tabs>
        <w:spacing w:line="320" w:lineRule="exact"/>
        <w:ind w:left="360" w:firstLine="0"/>
        <w:rPr>
          <w:rFonts w:ascii="Arial" w:eastAsia="Adobe 黑体 Std R;微软雅黑" w:hAnsi="Arial" w:cs="Arial"/>
          <w:sz w:val="21"/>
          <w:szCs w:val="21"/>
        </w:rPr>
      </w:pPr>
      <w:r>
        <w:rPr>
          <w:rFonts w:ascii="Arial" w:eastAsia="Adobe 黑体 Std R;微软雅黑" w:hAnsi="Arial" w:cs="Arial"/>
          <w:sz w:val="21"/>
          <w:szCs w:val="21"/>
        </w:rPr>
        <w:t>北京康正宏基房地产评估有限公司</w:t>
      </w:r>
      <w:r>
        <w:rPr>
          <w:rFonts w:ascii="Arial" w:eastAsia="Adobe 黑体 Std R;微软雅黑" w:hAnsi="Arial" w:cs="Arial"/>
          <w:sz w:val="21"/>
          <w:szCs w:val="21"/>
        </w:rPr>
        <w:tab/>
      </w:r>
    </w:p>
    <w:p w14:paraId="1867C3F9"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5FD5D4B7" w14:textId="77777777" w:rsidR="00E70101" w:rsidRDefault="0060680B">
      <w:pPr>
        <w:pStyle w:val="aff3"/>
        <w:numPr>
          <w:ilvl w:val="0"/>
          <w:numId w:val="6"/>
        </w:numPr>
        <w:spacing w:line="320" w:lineRule="exact"/>
        <w:rPr>
          <w:rFonts w:ascii="Arial" w:eastAsia="Adobe 黑体 Std R;微软雅黑" w:hAnsi="Arial" w:cs="Arial"/>
          <w:sz w:val="21"/>
          <w:szCs w:val="21"/>
        </w:rPr>
      </w:pPr>
      <w:r>
        <w:rPr>
          <w:rFonts w:ascii="Arial" w:eastAsia="Adobe 黑体 Std R;微软雅黑" w:hAnsi="Arial" w:cs="Arial"/>
          <w:b/>
          <w:sz w:val="21"/>
          <w:szCs w:val="21"/>
        </w:rPr>
        <w:t>报告编号：</w:t>
      </w:r>
    </w:p>
    <w:p w14:paraId="294E4D99" w14:textId="77777777" w:rsidR="00E70101" w:rsidRDefault="0060680B">
      <w:pPr>
        <w:pStyle w:val="aff3"/>
        <w:spacing w:line="320" w:lineRule="exact"/>
        <w:ind w:left="360" w:firstLine="0"/>
      </w:pPr>
      <w:r>
        <w:rPr>
          <w:rFonts w:ascii="Arial" w:eastAsia="Adobe 黑体 Std R;微软雅黑" w:hAnsi="Arial" w:cs="Arial"/>
          <w:sz w:val="21"/>
          <w:szCs w:val="21"/>
        </w:rPr>
        <w:t>康正评字</w:t>
      </w:r>
      <w:r>
        <w:rPr>
          <w:rFonts w:ascii="Arial" w:eastAsia="方正黑体简体;微软雅黑" w:hAnsi="Arial" w:cs="Arial"/>
          <w:sz w:val="21"/>
          <w:szCs w:val="21"/>
        </w:rPr>
        <w:t>2024-1-0271-F01SGCB6</w:t>
      </w:r>
      <w:r>
        <w:rPr>
          <w:rFonts w:ascii="Arial" w:eastAsia="Adobe 黑体 Std R;微软雅黑" w:hAnsi="Arial" w:cs="Arial"/>
          <w:sz w:val="21"/>
          <w:szCs w:val="21"/>
        </w:rPr>
        <w:t>号</w:t>
      </w:r>
    </w:p>
    <w:p w14:paraId="3C03BFD2"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76E2C1F0" w14:textId="77777777" w:rsidR="00E70101" w:rsidRDefault="0060680B">
      <w:pPr>
        <w:pStyle w:val="aff3"/>
        <w:numPr>
          <w:ilvl w:val="0"/>
          <w:numId w:val="6"/>
        </w:numPr>
        <w:spacing w:line="320" w:lineRule="exact"/>
        <w:rPr>
          <w:rFonts w:ascii="Arial" w:eastAsia="Adobe 黑体 Std R;微软雅黑" w:hAnsi="Arial" w:cs="Arial"/>
          <w:sz w:val="21"/>
          <w:szCs w:val="21"/>
        </w:rPr>
      </w:pPr>
      <w:r>
        <w:rPr>
          <w:rFonts w:ascii="Arial" w:eastAsia="Adobe 黑体 Std R;微软雅黑" w:hAnsi="Arial" w:cs="Arial"/>
          <w:b/>
          <w:sz w:val="21"/>
          <w:szCs w:val="21"/>
        </w:rPr>
        <w:t>提交报告日期：</w:t>
      </w:r>
    </w:p>
    <w:p w14:paraId="74370E8B" w14:textId="77777777" w:rsidR="00E70101" w:rsidRDefault="0060680B">
      <w:pPr>
        <w:pStyle w:val="aff3"/>
        <w:spacing w:line="320" w:lineRule="exact"/>
        <w:ind w:left="360" w:firstLine="0"/>
      </w:pPr>
      <w:r>
        <w:rPr>
          <w:rFonts w:ascii="Arial" w:eastAsia="Adobe 黑体 Std R;微软雅黑" w:hAnsi="Arial" w:cs="Arial"/>
          <w:sz w:val="21"/>
          <w:szCs w:val="21"/>
        </w:rPr>
        <w:t>2024</w:t>
      </w:r>
      <w:r>
        <w:rPr>
          <w:rFonts w:ascii="Arial" w:eastAsia="Adobe 黑体 Std R;微软雅黑" w:hAnsi="Arial" w:cs="Arial"/>
          <w:sz w:val="21"/>
          <w:szCs w:val="21"/>
        </w:rPr>
        <w:t>年</w:t>
      </w:r>
      <w:r>
        <w:rPr>
          <w:rFonts w:ascii="Arial" w:eastAsia="Adobe 黑体 Std R;微软雅黑" w:hAnsi="Arial" w:cs="Arial"/>
          <w:sz w:val="21"/>
          <w:szCs w:val="21"/>
        </w:rPr>
        <w:t>4</w:t>
      </w:r>
      <w:r>
        <w:rPr>
          <w:rFonts w:ascii="Arial" w:eastAsia="Adobe 黑体 Std R;微软雅黑" w:hAnsi="Arial" w:cs="Arial"/>
          <w:sz w:val="21"/>
          <w:szCs w:val="21"/>
        </w:rPr>
        <w:t>月</w:t>
      </w:r>
      <w:r>
        <w:rPr>
          <w:rFonts w:ascii="Arial" w:eastAsia="Adobe 黑体 Std R;微软雅黑" w:hAnsi="Arial" w:cs="Arial"/>
          <w:sz w:val="21"/>
          <w:szCs w:val="21"/>
        </w:rPr>
        <w:t>2</w:t>
      </w:r>
      <w:r>
        <w:rPr>
          <w:rFonts w:ascii="Arial" w:eastAsia="Adobe 黑体 Std R;微软雅黑" w:hAnsi="Arial" w:cs="Arial"/>
          <w:sz w:val="21"/>
          <w:szCs w:val="21"/>
        </w:rPr>
        <w:t>日</w:t>
      </w:r>
    </w:p>
    <w:p w14:paraId="7F35DC29" w14:textId="77777777" w:rsidR="00E70101" w:rsidRDefault="00E70101">
      <w:pPr>
        <w:pStyle w:val="aff3"/>
        <w:spacing w:line="320" w:lineRule="exact"/>
        <w:ind w:left="360" w:firstLine="0"/>
        <w:rPr>
          <w:rFonts w:ascii="Arial" w:eastAsia="Adobe 黑体 Std R;微软雅黑" w:hAnsi="Arial" w:cs="Arial"/>
          <w:sz w:val="21"/>
          <w:szCs w:val="21"/>
        </w:rPr>
      </w:pPr>
    </w:p>
    <w:tbl>
      <w:tblPr>
        <w:tblW w:w="5000" w:type="pct"/>
        <w:tblInd w:w="-45" w:type="dxa"/>
        <w:tblCellMar>
          <w:top w:w="15" w:type="dxa"/>
          <w:left w:w="15" w:type="dxa"/>
          <w:bottom w:w="15" w:type="dxa"/>
          <w:right w:w="15" w:type="dxa"/>
        </w:tblCellMar>
        <w:tblLook w:val="0000" w:firstRow="0" w:lastRow="0" w:firstColumn="0" w:lastColumn="0" w:noHBand="0" w:noVBand="0"/>
      </w:tblPr>
      <w:tblGrid>
        <w:gridCol w:w="8663"/>
      </w:tblGrid>
      <w:tr w:rsidR="00E70101" w14:paraId="0EA39B94" w14:textId="77777777">
        <w:tc>
          <w:tcPr>
            <w:tcW w:w="8663" w:type="dxa"/>
            <w:shd w:val="clear" w:color="auto" w:fill="auto"/>
            <w:vAlign w:val="center"/>
          </w:tcPr>
          <w:p w14:paraId="504BFFDD" w14:textId="77777777" w:rsidR="00E70101" w:rsidRDefault="00E70101">
            <w:pPr>
              <w:widowControl/>
              <w:snapToGrid w:val="0"/>
              <w:rPr>
                <w:szCs w:val="24"/>
              </w:rPr>
            </w:pPr>
          </w:p>
        </w:tc>
      </w:tr>
      <w:tr w:rsidR="00E70101" w14:paraId="10567459" w14:textId="77777777">
        <w:tc>
          <w:tcPr>
            <w:tcW w:w="8663" w:type="dxa"/>
            <w:shd w:val="clear" w:color="auto" w:fill="auto"/>
            <w:vAlign w:val="center"/>
          </w:tcPr>
          <w:p w14:paraId="35942B86" w14:textId="77777777" w:rsidR="00E70101" w:rsidRDefault="00E70101">
            <w:pPr>
              <w:snapToGrid w:val="0"/>
              <w:rPr>
                <w:rFonts w:ascii="Calibri" w:hAnsi="Calibri" w:cs="Calibri"/>
                <w:sz w:val="20"/>
                <w:szCs w:val="24"/>
              </w:rPr>
            </w:pPr>
          </w:p>
        </w:tc>
      </w:tr>
    </w:tbl>
    <w:p w14:paraId="5FBA2471" w14:textId="77777777" w:rsidR="00E70101" w:rsidRDefault="00E70101">
      <w:pPr>
        <w:spacing w:line="432" w:lineRule="auto"/>
        <w:jc w:val="center"/>
        <w:rPr>
          <w:rFonts w:ascii="Arial" w:eastAsia="仿宋_GB2312;仿宋" w:hAnsi="Arial" w:cs="Arial"/>
          <w:b/>
          <w:sz w:val="32"/>
        </w:rPr>
      </w:pPr>
    </w:p>
    <w:p w14:paraId="0314E00A" w14:textId="77777777" w:rsidR="00E70101" w:rsidRDefault="00E70101">
      <w:pPr>
        <w:spacing w:line="432" w:lineRule="auto"/>
        <w:jc w:val="center"/>
        <w:rPr>
          <w:rFonts w:ascii="Arial" w:eastAsia="仿宋_GB2312;仿宋" w:hAnsi="Arial" w:cs="Arial"/>
          <w:b/>
          <w:sz w:val="32"/>
        </w:rPr>
      </w:pPr>
    </w:p>
    <w:p w14:paraId="52E3A311" w14:textId="77777777" w:rsidR="00E70101" w:rsidRDefault="00E70101">
      <w:pPr>
        <w:spacing w:line="432" w:lineRule="auto"/>
        <w:jc w:val="center"/>
        <w:rPr>
          <w:rFonts w:ascii="Arial" w:eastAsia="仿宋_GB2312;仿宋" w:hAnsi="Arial" w:cs="Arial"/>
          <w:b/>
          <w:sz w:val="32"/>
        </w:rPr>
      </w:pPr>
    </w:p>
    <w:p w14:paraId="01F3AF4E" w14:textId="77777777" w:rsidR="00E70101" w:rsidRDefault="00E70101">
      <w:pPr>
        <w:spacing w:line="432" w:lineRule="auto"/>
        <w:jc w:val="center"/>
        <w:rPr>
          <w:rFonts w:ascii="Arial" w:eastAsia="仿宋_GB2312;仿宋" w:hAnsi="Arial" w:cs="Arial"/>
          <w:b/>
          <w:sz w:val="32"/>
        </w:rPr>
      </w:pPr>
    </w:p>
    <w:p w14:paraId="7C98EB92" w14:textId="77777777" w:rsidR="00E70101" w:rsidRDefault="00E70101">
      <w:pPr>
        <w:spacing w:line="432" w:lineRule="auto"/>
        <w:jc w:val="center"/>
        <w:rPr>
          <w:rFonts w:ascii="Arial" w:eastAsia="仿宋_GB2312;仿宋" w:hAnsi="Arial" w:cs="Arial"/>
          <w:b/>
          <w:sz w:val="32"/>
        </w:rPr>
      </w:pPr>
    </w:p>
    <w:p w14:paraId="11922EA4" w14:textId="77777777" w:rsidR="00E70101" w:rsidRDefault="00E70101">
      <w:pPr>
        <w:spacing w:line="432" w:lineRule="auto"/>
        <w:jc w:val="center"/>
        <w:rPr>
          <w:rFonts w:ascii="Arial" w:eastAsia="仿宋_GB2312;仿宋" w:hAnsi="Arial" w:cs="Arial"/>
          <w:b/>
          <w:sz w:val="32"/>
        </w:rPr>
      </w:pPr>
    </w:p>
    <w:p w14:paraId="3013F1AB" w14:textId="77777777" w:rsidR="00E70101" w:rsidRDefault="0060680B">
      <w:pPr>
        <w:spacing w:line="432" w:lineRule="auto"/>
        <w:jc w:val="center"/>
      </w:pPr>
      <w:r>
        <w:rPr>
          <w:rFonts w:ascii="Arial" w:hAnsi="Arial" w:cs="Arial"/>
          <w:b/>
          <w:sz w:val="44"/>
        </w:rPr>
        <w:t>土</w:t>
      </w:r>
      <w:r>
        <w:rPr>
          <w:rFonts w:ascii="Arial" w:eastAsia="Arial" w:hAnsi="Arial" w:cs="Arial"/>
          <w:b/>
          <w:sz w:val="44"/>
        </w:rPr>
        <w:t xml:space="preserve"> </w:t>
      </w:r>
      <w:r>
        <w:rPr>
          <w:rFonts w:ascii="Arial" w:hAnsi="Arial" w:cs="Arial"/>
          <w:b/>
          <w:sz w:val="44"/>
        </w:rPr>
        <w:t>地</w:t>
      </w:r>
      <w:r>
        <w:rPr>
          <w:rFonts w:ascii="Arial" w:eastAsia="Arial" w:hAnsi="Arial" w:cs="Arial"/>
          <w:b/>
          <w:sz w:val="44"/>
        </w:rPr>
        <w:t xml:space="preserve"> </w:t>
      </w:r>
      <w:r>
        <w:rPr>
          <w:rFonts w:ascii="Arial" w:hAnsi="Arial" w:cs="Arial"/>
          <w:b/>
          <w:sz w:val="44"/>
        </w:rPr>
        <w:t>咨</w:t>
      </w:r>
      <w:r>
        <w:rPr>
          <w:rFonts w:ascii="Arial" w:eastAsia="Arial" w:hAnsi="Arial" w:cs="Arial"/>
          <w:b/>
          <w:sz w:val="44"/>
        </w:rPr>
        <w:t xml:space="preserve"> </w:t>
      </w:r>
      <w:r>
        <w:rPr>
          <w:rFonts w:ascii="Arial" w:hAnsi="Arial" w:cs="Arial"/>
          <w:b/>
          <w:sz w:val="44"/>
        </w:rPr>
        <w:t>询</w:t>
      </w:r>
      <w:r>
        <w:rPr>
          <w:rFonts w:ascii="Arial" w:eastAsia="Arial" w:hAnsi="Arial" w:cs="Arial"/>
          <w:b/>
          <w:sz w:val="44"/>
        </w:rPr>
        <w:t xml:space="preserve"> </w:t>
      </w:r>
      <w:r>
        <w:rPr>
          <w:rFonts w:ascii="Arial" w:hAnsi="Arial" w:cs="Arial"/>
          <w:b/>
          <w:sz w:val="44"/>
        </w:rPr>
        <w:t>报</w:t>
      </w:r>
      <w:r>
        <w:rPr>
          <w:rFonts w:ascii="Arial" w:eastAsia="Arial" w:hAnsi="Arial" w:cs="Arial"/>
          <w:b/>
          <w:sz w:val="44"/>
        </w:rPr>
        <w:t xml:space="preserve"> </w:t>
      </w:r>
      <w:r>
        <w:rPr>
          <w:rFonts w:ascii="Arial" w:hAnsi="Arial" w:cs="Arial"/>
          <w:b/>
          <w:sz w:val="44"/>
        </w:rPr>
        <w:t>告</w:t>
      </w:r>
    </w:p>
    <w:p w14:paraId="082AE76B" w14:textId="29517A63" w:rsidR="00E70101" w:rsidRDefault="0060680B" w:rsidP="0060680B">
      <w:pPr>
        <w:tabs>
          <w:tab w:val="left" w:pos="4824"/>
        </w:tabs>
        <w:spacing w:line="432" w:lineRule="auto"/>
        <w:rPr>
          <w:rFonts w:ascii="Arial" w:eastAsia="昆仑仿宋;黑体" w:hAnsi="Arial" w:cs="Arial"/>
          <w:b/>
          <w:sz w:val="44"/>
        </w:rPr>
      </w:pPr>
      <w:r>
        <w:rPr>
          <w:rFonts w:ascii="Arial" w:eastAsia="昆仑仿宋;黑体" w:hAnsi="Arial" w:cs="Arial"/>
          <w:b/>
          <w:sz w:val="44"/>
        </w:rPr>
        <w:tab/>
      </w:r>
    </w:p>
    <w:p w14:paraId="70FCB37C" w14:textId="77777777" w:rsidR="00E70101" w:rsidRDefault="00E70101">
      <w:pPr>
        <w:spacing w:line="432" w:lineRule="auto"/>
        <w:jc w:val="center"/>
        <w:rPr>
          <w:rFonts w:ascii="Arial" w:eastAsia="昆仑仿宋;黑体" w:hAnsi="Arial" w:cs="Arial"/>
          <w:b/>
          <w:sz w:val="44"/>
        </w:rPr>
      </w:pPr>
    </w:p>
    <w:p w14:paraId="297E7E0E" w14:textId="77777777" w:rsidR="00E70101" w:rsidRDefault="00E70101">
      <w:pPr>
        <w:spacing w:line="432" w:lineRule="auto"/>
        <w:jc w:val="center"/>
        <w:rPr>
          <w:rFonts w:ascii="Arial" w:eastAsia="楷体_GB2312;楷体" w:hAnsi="Arial" w:cs="Arial"/>
          <w:b/>
          <w:sz w:val="32"/>
        </w:rPr>
      </w:pPr>
    </w:p>
    <w:p w14:paraId="74B6A90A" w14:textId="77777777" w:rsidR="00E70101" w:rsidRDefault="0060680B">
      <w:pPr>
        <w:spacing w:line="360" w:lineRule="auto"/>
        <w:ind w:left="2201" w:hanging="2201"/>
        <w:jc w:val="both"/>
        <w:rPr>
          <w:rFonts w:ascii="Arial" w:eastAsia="楷体_GB2312;楷体" w:hAnsi="Arial" w:cs="Arial"/>
          <w:b/>
          <w:i/>
          <w:sz w:val="28"/>
          <w:szCs w:val="28"/>
        </w:rPr>
      </w:pPr>
      <w:r>
        <w:rPr>
          <w:rFonts w:ascii="Arial" w:eastAsia="楷体_GB2312;楷体" w:hAnsi="Arial" w:cs="Arial"/>
          <w:b/>
          <w:sz w:val="32"/>
        </w:rPr>
        <w:t>项</w:t>
      </w:r>
      <w:r>
        <w:rPr>
          <w:rFonts w:ascii="Arial" w:eastAsia="Arial" w:hAnsi="Arial" w:cs="Arial"/>
          <w:b/>
          <w:sz w:val="32"/>
        </w:rPr>
        <w:t xml:space="preserve"> </w:t>
      </w:r>
      <w:r>
        <w:rPr>
          <w:rFonts w:ascii="Arial" w:eastAsia="楷体_GB2312;楷体" w:hAnsi="Arial" w:cs="Arial"/>
          <w:b/>
          <w:sz w:val="32"/>
        </w:rPr>
        <w:t>目</w:t>
      </w:r>
      <w:r>
        <w:rPr>
          <w:rFonts w:ascii="Arial" w:eastAsia="Arial" w:hAnsi="Arial" w:cs="Arial"/>
          <w:b/>
          <w:sz w:val="32"/>
        </w:rPr>
        <w:t xml:space="preserve"> </w:t>
      </w:r>
      <w:r>
        <w:rPr>
          <w:rFonts w:ascii="Arial" w:eastAsia="楷体_GB2312;楷体" w:hAnsi="Arial" w:cs="Arial"/>
          <w:b/>
          <w:sz w:val="32"/>
        </w:rPr>
        <w:t>名</w:t>
      </w:r>
      <w:r>
        <w:rPr>
          <w:rFonts w:ascii="Arial" w:eastAsia="Arial" w:hAnsi="Arial" w:cs="Arial"/>
          <w:b/>
          <w:sz w:val="32"/>
        </w:rPr>
        <w:t xml:space="preserve"> </w:t>
      </w:r>
      <w:r>
        <w:rPr>
          <w:rFonts w:ascii="Arial" w:eastAsia="楷体_GB2312;楷体" w:hAnsi="Arial" w:cs="Arial"/>
          <w:b/>
          <w:sz w:val="32"/>
        </w:rPr>
        <w:t>称：北京市昌平区北七家镇八仙庄村仓储用地划拨国有建设用地使用权收购补偿价格咨询</w:t>
      </w:r>
    </w:p>
    <w:p w14:paraId="1E7FC930" w14:textId="77777777" w:rsidR="00E70101" w:rsidRDefault="00E70101">
      <w:pPr>
        <w:spacing w:line="360" w:lineRule="auto"/>
        <w:ind w:left="1925" w:hanging="1925"/>
        <w:jc w:val="both"/>
        <w:rPr>
          <w:rFonts w:ascii="Arial" w:eastAsia="楷体_GB2312;楷体" w:hAnsi="Arial" w:cs="Arial"/>
          <w:b/>
          <w:i/>
          <w:sz w:val="28"/>
          <w:szCs w:val="28"/>
        </w:rPr>
      </w:pPr>
    </w:p>
    <w:p w14:paraId="27560749" w14:textId="77777777" w:rsidR="00E70101" w:rsidRDefault="0060680B">
      <w:pPr>
        <w:spacing w:line="360" w:lineRule="auto"/>
        <w:jc w:val="both"/>
      </w:pPr>
      <w:r>
        <w:rPr>
          <w:rFonts w:ascii="Arial" w:eastAsia="楷体_GB2312;楷体" w:hAnsi="Arial" w:cs="Arial"/>
          <w:b/>
          <w:sz w:val="32"/>
        </w:rPr>
        <w:t>受</w:t>
      </w:r>
      <w:r>
        <w:rPr>
          <w:rFonts w:ascii="Arial" w:eastAsia="Arial" w:hAnsi="Arial" w:cs="Arial"/>
          <w:b/>
          <w:sz w:val="32"/>
        </w:rPr>
        <w:t xml:space="preserve"> </w:t>
      </w:r>
      <w:r>
        <w:rPr>
          <w:rFonts w:ascii="Arial" w:eastAsia="楷体_GB2312;楷体" w:hAnsi="Arial" w:cs="Arial"/>
          <w:b/>
          <w:sz w:val="32"/>
        </w:rPr>
        <w:t>托</w:t>
      </w:r>
      <w:r>
        <w:rPr>
          <w:rFonts w:ascii="Arial" w:eastAsia="Arial" w:hAnsi="Arial" w:cs="Arial"/>
          <w:b/>
          <w:sz w:val="32"/>
        </w:rPr>
        <w:t xml:space="preserve"> </w:t>
      </w:r>
      <w:r>
        <w:rPr>
          <w:rFonts w:ascii="Arial" w:eastAsia="楷体_GB2312;楷体" w:hAnsi="Arial" w:cs="Arial"/>
          <w:b/>
          <w:sz w:val="32"/>
        </w:rPr>
        <w:t>单</w:t>
      </w:r>
      <w:r>
        <w:rPr>
          <w:rFonts w:ascii="Arial" w:eastAsia="Arial" w:hAnsi="Arial" w:cs="Arial"/>
          <w:b/>
          <w:sz w:val="32"/>
        </w:rPr>
        <w:t xml:space="preserve"> </w:t>
      </w:r>
      <w:r>
        <w:rPr>
          <w:rFonts w:ascii="Arial" w:eastAsia="楷体_GB2312;楷体" w:hAnsi="Arial" w:cs="Arial"/>
          <w:b/>
          <w:sz w:val="32"/>
        </w:rPr>
        <w:t>位：北京康正宏基房地产评估有限公司</w:t>
      </w:r>
    </w:p>
    <w:p w14:paraId="2A6254FC" w14:textId="77777777" w:rsidR="00E70101" w:rsidRDefault="00E70101">
      <w:pPr>
        <w:spacing w:line="360" w:lineRule="auto"/>
        <w:jc w:val="both"/>
        <w:rPr>
          <w:rFonts w:ascii="Arial" w:eastAsia="楷体_GB2312;楷体" w:hAnsi="Arial" w:cs="Arial"/>
          <w:b/>
          <w:sz w:val="32"/>
        </w:rPr>
      </w:pPr>
    </w:p>
    <w:p w14:paraId="19631CBE" w14:textId="77777777" w:rsidR="00E70101" w:rsidRDefault="0060680B">
      <w:pPr>
        <w:spacing w:line="360" w:lineRule="auto"/>
        <w:jc w:val="both"/>
      </w:pPr>
      <w:r>
        <w:rPr>
          <w:rFonts w:ascii="Arial" w:eastAsia="楷体_GB2312;楷体" w:hAnsi="Arial" w:cs="Arial"/>
          <w:b/>
          <w:sz w:val="32"/>
        </w:rPr>
        <w:t>报</w:t>
      </w:r>
      <w:r>
        <w:rPr>
          <w:rFonts w:ascii="Arial" w:eastAsia="Arial" w:hAnsi="Arial" w:cs="Arial"/>
          <w:b/>
          <w:sz w:val="32"/>
        </w:rPr>
        <w:t xml:space="preserve"> </w:t>
      </w:r>
      <w:r>
        <w:rPr>
          <w:rFonts w:ascii="Arial" w:eastAsia="楷体_GB2312;楷体" w:hAnsi="Arial" w:cs="Arial"/>
          <w:b/>
          <w:sz w:val="32"/>
        </w:rPr>
        <w:t>告</w:t>
      </w:r>
      <w:r>
        <w:rPr>
          <w:rFonts w:ascii="Arial" w:eastAsia="Arial" w:hAnsi="Arial" w:cs="Arial"/>
          <w:b/>
          <w:sz w:val="32"/>
        </w:rPr>
        <w:t xml:space="preserve"> </w:t>
      </w:r>
      <w:r>
        <w:rPr>
          <w:rFonts w:ascii="Arial" w:eastAsia="楷体_GB2312;楷体" w:hAnsi="Arial" w:cs="Arial"/>
          <w:b/>
          <w:sz w:val="32"/>
        </w:rPr>
        <w:t>编</w:t>
      </w:r>
      <w:r>
        <w:rPr>
          <w:rFonts w:ascii="Arial" w:eastAsia="Arial" w:hAnsi="Arial" w:cs="Arial"/>
          <w:b/>
          <w:sz w:val="32"/>
        </w:rPr>
        <w:t xml:space="preserve"> </w:t>
      </w:r>
      <w:r>
        <w:rPr>
          <w:rFonts w:ascii="Arial" w:eastAsia="楷体_GB2312;楷体" w:hAnsi="Arial" w:cs="Arial"/>
          <w:b/>
          <w:sz w:val="32"/>
        </w:rPr>
        <w:t>号：康正评字</w:t>
      </w:r>
      <w:r>
        <w:rPr>
          <w:rFonts w:ascii="Arial" w:eastAsia="楷体_GB2312;楷体" w:hAnsi="Arial" w:cs="Arial"/>
          <w:b/>
          <w:sz w:val="32"/>
        </w:rPr>
        <w:t>2024-1-0271-F01SGCB6</w:t>
      </w:r>
      <w:r>
        <w:rPr>
          <w:rFonts w:ascii="Arial" w:eastAsia="楷体_GB2312;楷体" w:hAnsi="Arial" w:cs="Arial"/>
          <w:b/>
          <w:sz w:val="32"/>
        </w:rPr>
        <w:t>号</w:t>
      </w:r>
    </w:p>
    <w:p w14:paraId="0A526CA9" w14:textId="77777777" w:rsidR="00E70101" w:rsidRDefault="00E70101">
      <w:pPr>
        <w:spacing w:line="360" w:lineRule="auto"/>
        <w:jc w:val="both"/>
        <w:rPr>
          <w:rFonts w:ascii="Arial" w:eastAsia="楷体_GB2312;楷体" w:hAnsi="Arial" w:cs="Arial"/>
          <w:b/>
          <w:sz w:val="32"/>
        </w:rPr>
      </w:pPr>
    </w:p>
    <w:p w14:paraId="171F3563" w14:textId="77777777" w:rsidR="00E70101" w:rsidRDefault="0060680B">
      <w:pPr>
        <w:spacing w:line="360" w:lineRule="auto"/>
        <w:jc w:val="both"/>
        <w:rPr>
          <w:rFonts w:ascii="Arial" w:eastAsia="楷体_GB2312;楷体" w:hAnsi="Arial" w:cs="Arial"/>
          <w:b/>
          <w:spacing w:val="-20"/>
          <w:sz w:val="32"/>
        </w:rPr>
        <w:sectPr w:rsidR="00E70101">
          <w:headerReference w:type="default" r:id="rId7"/>
          <w:footerReference w:type="default" r:id="rId8"/>
          <w:headerReference w:type="first" r:id="rId9"/>
          <w:footerReference w:type="first" r:id="rId10"/>
          <w:pgSz w:w="11906" w:h="16838"/>
          <w:pgMar w:top="1440" w:right="1440" w:bottom="1440" w:left="1803" w:header="851" w:footer="1134" w:gutter="0"/>
          <w:pgNumType w:start="0"/>
          <w:cols w:space="720"/>
          <w:formProt w:val="0"/>
          <w:titlePg/>
          <w:docGrid w:linePitch="360"/>
        </w:sectPr>
      </w:pPr>
      <w:r>
        <w:rPr>
          <w:rFonts w:ascii="Arial" w:eastAsia="楷体_GB2312;楷体" w:hAnsi="Arial" w:cs="Arial"/>
          <w:b/>
          <w:sz w:val="32"/>
        </w:rPr>
        <w:t>提交报告日期：</w:t>
      </w:r>
      <w:r>
        <w:rPr>
          <w:rFonts w:ascii="Arial" w:eastAsia="楷体_GB2312;楷体" w:hAnsi="Arial" w:cs="Arial"/>
          <w:b/>
          <w:sz w:val="32"/>
        </w:rPr>
        <w:t>2024</w:t>
      </w:r>
      <w:r>
        <w:rPr>
          <w:rFonts w:ascii="Arial" w:eastAsia="楷体_GB2312;楷体" w:hAnsi="Arial" w:cs="Arial"/>
          <w:b/>
          <w:sz w:val="32"/>
        </w:rPr>
        <w:t>年</w:t>
      </w:r>
      <w:r>
        <w:rPr>
          <w:rFonts w:ascii="Arial" w:eastAsia="楷体_GB2312;楷体" w:hAnsi="Arial" w:cs="Arial"/>
          <w:b/>
          <w:sz w:val="32"/>
        </w:rPr>
        <w:t>4</w:t>
      </w:r>
      <w:r>
        <w:rPr>
          <w:rFonts w:ascii="Arial" w:eastAsia="楷体_GB2312;楷体" w:hAnsi="Arial" w:cs="Arial"/>
          <w:b/>
          <w:sz w:val="32"/>
        </w:rPr>
        <w:t>月</w:t>
      </w:r>
      <w:r>
        <w:rPr>
          <w:rFonts w:ascii="Arial" w:eastAsia="楷体_GB2312;楷体" w:hAnsi="Arial" w:cs="Arial"/>
          <w:b/>
          <w:sz w:val="32"/>
        </w:rPr>
        <w:t>2</w:t>
      </w:r>
      <w:r>
        <w:rPr>
          <w:rFonts w:ascii="Arial" w:eastAsia="楷体_GB2312;楷体" w:hAnsi="Arial" w:cs="Arial"/>
          <w:b/>
          <w:sz w:val="32"/>
        </w:rPr>
        <w:t>日</w:t>
      </w:r>
    </w:p>
    <w:p w14:paraId="234FCDF7" w14:textId="77777777" w:rsidR="00E70101" w:rsidRDefault="0060680B">
      <w:pPr>
        <w:spacing w:line="360" w:lineRule="auto"/>
        <w:jc w:val="center"/>
        <w:rPr>
          <w:rFonts w:cs="Arial"/>
        </w:rPr>
      </w:pPr>
      <w:r>
        <w:rPr>
          <w:rFonts w:ascii="Arial" w:hAnsi="Arial" w:cs="Arial"/>
          <w:b/>
          <w:sz w:val="32"/>
          <w:szCs w:val="32"/>
        </w:rPr>
        <w:t>目录</w:t>
      </w:r>
    </w:p>
    <w:sdt>
      <w:sdtPr>
        <w:id w:val="-1277254362"/>
        <w:docPartObj>
          <w:docPartGallery w:val="Table of Contents"/>
          <w:docPartUnique/>
        </w:docPartObj>
      </w:sdtPr>
      <w:sdtEndPr/>
      <w:sdtContent>
        <w:p w14:paraId="479D3CA5" w14:textId="77777777" w:rsidR="00E70101" w:rsidRDefault="0060680B">
          <w:pPr>
            <w:pStyle w:val="11"/>
            <w:rPr>
              <w:rFonts w:ascii="Arial" w:hAnsi="Arial"/>
              <w:kern w:val="2"/>
            </w:rPr>
          </w:pPr>
          <w:r>
            <w:fldChar w:fldCharType="begin"/>
          </w:r>
          <w:r>
            <w:rPr>
              <w:rFonts w:ascii="Arial" w:hAnsi="Arial"/>
            </w:rPr>
            <w:instrText>TOC \o "1-2" \h \z \u</w:instrText>
          </w:r>
          <w:r>
            <w:rPr>
              <w:rFonts w:ascii="Arial" w:hAnsi="Arial"/>
            </w:rPr>
            <w:fldChar w:fldCharType="separate"/>
          </w:r>
          <w:hyperlink w:anchor="__RefHeading___Toc469066127">
            <w:r>
              <w:rPr>
                <w:rFonts w:ascii="Arial" w:hAnsi="Arial"/>
                <w:color w:val="000000"/>
              </w:rPr>
              <w:t>第一部分</w:t>
            </w:r>
            <w:r>
              <w:rPr>
                <w:rFonts w:ascii="Arial" w:eastAsia="Arial" w:hAnsi="Arial"/>
                <w:color w:val="000000"/>
              </w:rPr>
              <w:t xml:space="preserve">  </w:t>
            </w:r>
            <w:r>
              <w:rPr>
                <w:rFonts w:ascii="Arial" w:hAnsi="Arial"/>
                <w:color w:val="000000"/>
              </w:rPr>
              <w:t>摘</w:t>
            </w:r>
            <w:r>
              <w:rPr>
                <w:rFonts w:ascii="Arial" w:eastAsia="Arial" w:hAnsi="Arial"/>
                <w:color w:val="000000"/>
              </w:rPr>
              <w:t xml:space="preserve">  </w:t>
            </w:r>
            <w:r>
              <w:rPr>
                <w:rFonts w:ascii="Arial" w:hAnsi="Arial"/>
                <w:color w:val="000000"/>
              </w:rPr>
              <w:t>要</w:t>
            </w:r>
            <w:r>
              <w:rPr>
                <w:rFonts w:ascii="Arial" w:hAnsi="Arial"/>
              </w:rPr>
              <w:tab/>
              <w:t>1</w:t>
            </w:r>
          </w:hyperlink>
        </w:p>
        <w:p w14:paraId="762C5D74" w14:textId="77777777" w:rsidR="00E70101" w:rsidRDefault="00E25FDE">
          <w:pPr>
            <w:pStyle w:val="26"/>
            <w:rPr>
              <w:rFonts w:ascii="Arial" w:hAnsi="Arial" w:cs="Arial"/>
              <w:kern w:val="2"/>
              <w:lang w:val="zh-CN"/>
            </w:rPr>
          </w:pPr>
          <w:hyperlink w:anchor="__RefHeading___Toc469066128">
            <w:r w:rsidR="0060680B">
              <w:rPr>
                <w:rFonts w:ascii="Arial" w:eastAsia="仿宋_GB2312;仿宋" w:hAnsi="Arial" w:cs="Arial"/>
                <w:bCs/>
                <w:color w:val="000000"/>
                <w:szCs w:val="24"/>
                <w:lang w:val="zh-CN"/>
              </w:rPr>
              <w:t>一、项目名称</w:t>
            </w:r>
            <w:r w:rsidR="0060680B">
              <w:rPr>
                <w:rFonts w:ascii="Arial" w:hAnsi="Arial" w:cs="Arial"/>
                <w:lang w:val="zh-CN"/>
              </w:rPr>
              <w:tab/>
              <w:t>1</w:t>
            </w:r>
          </w:hyperlink>
        </w:p>
        <w:p w14:paraId="1F0A3157" w14:textId="77777777" w:rsidR="00E70101" w:rsidRDefault="00E25FDE">
          <w:pPr>
            <w:pStyle w:val="26"/>
            <w:rPr>
              <w:rFonts w:ascii="Arial" w:hAnsi="Arial" w:cs="Arial"/>
              <w:kern w:val="2"/>
              <w:lang w:val="zh-CN"/>
            </w:rPr>
          </w:pPr>
          <w:hyperlink w:anchor="__RefHeading___Toc469066129">
            <w:r w:rsidR="0060680B">
              <w:rPr>
                <w:rFonts w:ascii="Arial" w:eastAsia="仿宋_GB2312;仿宋" w:hAnsi="Arial" w:cs="Arial"/>
                <w:bCs/>
                <w:color w:val="000000"/>
                <w:szCs w:val="24"/>
                <w:lang w:val="zh-CN"/>
              </w:rPr>
              <w:t>二、委托方</w:t>
            </w:r>
            <w:r w:rsidR="0060680B">
              <w:rPr>
                <w:rFonts w:ascii="Arial" w:hAnsi="Arial" w:cs="Arial"/>
                <w:lang w:val="zh-CN"/>
              </w:rPr>
              <w:tab/>
              <w:t>1</w:t>
            </w:r>
          </w:hyperlink>
        </w:p>
        <w:p w14:paraId="6513965E" w14:textId="77777777" w:rsidR="00E70101" w:rsidRDefault="00E25FDE">
          <w:pPr>
            <w:pStyle w:val="26"/>
            <w:rPr>
              <w:rFonts w:ascii="Arial" w:hAnsi="Arial" w:cs="Arial"/>
              <w:kern w:val="2"/>
              <w:lang w:val="zh-CN"/>
            </w:rPr>
          </w:pPr>
          <w:hyperlink w:anchor="__RefHeading___Toc469066130">
            <w:r w:rsidR="0060680B">
              <w:rPr>
                <w:rFonts w:ascii="Arial" w:eastAsia="仿宋_GB2312;仿宋" w:hAnsi="Arial" w:cs="Arial"/>
                <w:bCs/>
                <w:color w:val="000000"/>
                <w:szCs w:val="24"/>
                <w:lang w:val="zh-CN"/>
              </w:rPr>
              <w:t>三、咨询目的</w:t>
            </w:r>
            <w:r w:rsidR="0060680B">
              <w:rPr>
                <w:rFonts w:ascii="Arial" w:hAnsi="Arial" w:cs="Arial"/>
                <w:lang w:val="zh-CN"/>
              </w:rPr>
              <w:tab/>
              <w:t>1</w:t>
            </w:r>
          </w:hyperlink>
        </w:p>
        <w:p w14:paraId="3B7C8418" w14:textId="77777777" w:rsidR="00E70101" w:rsidRDefault="00E25FDE">
          <w:pPr>
            <w:pStyle w:val="26"/>
            <w:rPr>
              <w:rFonts w:ascii="Arial" w:hAnsi="Arial" w:cs="Arial"/>
              <w:kern w:val="2"/>
              <w:lang w:val="zh-CN"/>
            </w:rPr>
          </w:pPr>
          <w:hyperlink w:anchor="__RefHeading___Toc469066131">
            <w:r w:rsidR="0060680B">
              <w:rPr>
                <w:rFonts w:ascii="Arial" w:eastAsia="仿宋_GB2312;仿宋" w:hAnsi="Arial" w:cs="Arial"/>
                <w:bCs/>
                <w:color w:val="000000"/>
                <w:szCs w:val="24"/>
                <w:lang w:val="zh-CN"/>
              </w:rPr>
              <w:t>四、咨询期日</w:t>
            </w:r>
            <w:r w:rsidR="0060680B">
              <w:rPr>
                <w:rFonts w:ascii="Arial" w:hAnsi="Arial" w:cs="Arial"/>
                <w:lang w:val="zh-CN"/>
              </w:rPr>
              <w:tab/>
              <w:t>1</w:t>
            </w:r>
          </w:hyperlink>
        </w:p>
        <w:p w14:paraId="32E44E6F" w14:textId="77777777" w:rsidR="00E70101" w:rsidRDefault="00E25FDE">
          <w:pPr>
            <w:pStyle w:val="26"/>
            <w:rPr>
              <w:rFonts w:ascii="Arial" w:hAnsi="Arial" w:cs="Arial"/>
              <w:kern w:val="2"/>
              <w:lang w:val="zh-CN"/>
            </w:rPr>
          </w:pPr>
          <w:hyperlink w:anchor="__RefHeading___Toc469066132">
            <w:r w:rsidR="0060680B">
              <w:rPr>
                <w:rFonts w:ascii="Arial" w:eastAsia="仿宋_GB2312;仿宋" w:hAnsi="Arial" w:cs="Arial"/>
                <w:bCs/>
                <w:color w:val="000000"/>
                <w:szCs w:val="24"/>
                <w:lang w:val="zh-CN"/>
              </w:rPr>
              <w:t>五、咨询日期</w:t>
            </w:r>
            <w:r w:rsidR="0060680B">
              <w:rPr>
                <w:rFonts w:ascii="Arial" w:hAnsi="Arial" w:cs="Arial"/>
                <w:lang w:val="zh-CN"/>
              </w:rPr>
              <w:tab/>
              <w:t>1</w:t>
            </w:r>
          </w:hyperlink>
        </w:p>
        <w:p w14:paraId="7BA1B743" w14:textId="77777777" w:rsidR="00E70101" w:rsidRDefault="00E25FDE">
          <w:pPr>
            <w:pStyle w:val="26"/>
            <w:rPr>
              <w:rFonts w:ascii="Arial" w:hAnsi="Arial" w:cs="Arial"/>
              <w:kern w:val="2"/>
              <w:lang w:val="zh-CN"/>
            </w:rPr>
          </w:pPr>
          <w:hyperlink w:anchor="__RefHeading___Toc469066133">
            <w:r w:rsidR="0060680B">
              <w:rPr>
                <w:rFonts w:ascii="Arial" w:eastAsia="仿宋_GB2312;仿宋" w:hAnsi="Arial" w:cs="Arial"/>
                <w:bCs/>
                <w:color w:val="000000"/>
                <w:szCs w:val="24"/>
                <w:lang w:val="zh-CN"/>
              </w:rPr>
              <w:t>六、地价定义</w:t>
            </w:r>
            <w:r w:rsidR="0060680B">
              <w:rPr>
                <w:rFonts w:ascii="Arial" w:hAnsi="Arial" w:cs="Arial"/>
                <w:lang w:val="zh-CN"/>
              </w:rPr>
              <w:tab/>
              <w:t>1</w:t>
            </w:r>
          </w:hyperlink>
        </w:p>
        <w:p w14:paraId="0600755D" w14:textId="77777777" w:rsidR="00E70101" w:rsidRDefault="00E25FDE">
          <w:pPr>
            <w:pStyle w:val="26"/>
            <w:rPr>
              <w:rFonts w:ascii="Arial" w:hAnsi="Arial" w:cs="Arial"/>
              <w:kern w:val="2"/>
              <w:lang w:val="zh-CN"/>
            </w:rPr>
          </w:pPr>
          <w:hyperlink w:anchor="__RefHeading___Toc469066134">
            <w:r w:rsidR="0060680B">
              <w:rPr>
                <w:rFonts w:ascii="Arial" w:eastAsia="仿宋_GB2312;仿宋" w:hAnsi="Arial" w:cs="Arial"/>
                <w:color w:val="000000"/>
                <w:szCs w:val="24"/>
                <w:lang w:val="zh-CN"/>
              </w:rPr>
              <w:t>七、咨询结果</w:t>
            </w:r>
            <w:r w:rsidR="0060680B">
              <w:rPr>
                <w:rFonts w:ascii="Arial" w:hAnsi="Arial" w:cs="Arial"/>
                <w:lang w:val="zh-CN"/>
              </w:rPr>
              <w:tab/>
              <w:t>6</w:t>
            </w:r>
          </w:hyperlink>
        </w:p>
        <w:p w14:paraId="5AA3132D" w14:textId="77777777" w:rsidR="00E70101" w:rsidRDefault="00E25FDE">
          <w:pPr>
            <w:pStyle w:val="26"/>
            <w:rPr>
              <w:rFonts w:ascii="Arial" w:hAnsi="Arial" w:cs="Arial"/>
              <w:kern w:val="2"/>
              <w:lang w:val="zh-CN"/>
            </w:rPr>
          </w:pPr>
          <w:hyperlink w:anchor="__RefHeading___Toc469066136">
            <w:r w:rsidR="0060680B">
              <w:rPr>
                <w:rFonts w:ascii="Arial" w:eastAsia="仿宋_GB2312;仿宋" w:hAnsi="Arial" w:cs="Arial"/>
                <w:color w:val="000000"/>
                <w:szCs w:val="24"/>
                <w:lang w:val="zh-CN"/>
              </w:rPr>
              <w:t>八、受托单位</w:t>
            </w:r>
            <w:r w:rsidR="0060680B">
              <w:rPr>
                <w:rFonts w:ascii="Arial" w:hAnsi="Arial" w:cs="Arial"/>
                <w:lang w:val="zh-CN"/>
              </w:rPr>
              <w:tab/>
              <w:t>8</w:t>
            </w:r>
          </w:hyperlink>
        </w:p>
        <w:p w14:paraId="3D238D80" w14:textId="77777777" w:rsidR="00E70101" w:rsidRDefault="00E25FDE">
          <w:pPr>
            <w:pStyle w:val="26"/>
            <w:rPr>
              <w:rFonts w:ascii="Arial" w:hAnsi="Arial" w:cs="Arial"/>
              <w:kern w:val="2"/>
              <w:lang w:val="zh-CN"/>
            </w:rPr>
          </w:pPr>
          <w:hyperlink w:anchor="__RefHeading___Toc469066137">
            <w:r w:rsidR="0060680B">
              <w:rPr>
                <w:rFonts w:ascii="Arial" w:eastAsia="仿宋_GB2312;仿宋" w:hAnsi="Arial" w:cs="Arial"/>
                <w:bCs/>
                <w:color w:val="000000"/>
                <w:szCs w:val="24"/>
                <w:lang w:val="zh-CN"/>
              </w:rPr>
              <w:t>附</w:t>
            </w:r>
            <w:r w:rsidR="0060680B">
              <w:rPr>
                <w:rFonts w:ascii="Arial" w:eastAsia="仿宋_GB2312;仿宋" w:hAnsi="Arial" w:cs="Arial"/>
                <w:color w:val="000000"/>
                <w:szCs w:val="24"/>
                <w:lang w:val="zh-CN"/>
              </w:rPr>
              <w:t>：咨询结果一览表</w:t>
            </w:r>
            <w:r w:rsidR="0060680B">
              <w:rPr>
                <w:rFonts w:ascii="Arial" w:hAnsi="Arial" w:cs="Arial"/>
                <w:lang w:val="zh-CN"/>
              </w:rPr>
              <w:tab/>
              <w:t>9</w:t>
            </w:r>
          </w:hyperlink>
        </w:p>
        <w:p w14:paraId="17F82D69" w14:textId="77777777" w:rsidR="00E70101" w:rsidRDefault="00E25FDE">
          <w:pPr>
            <w:pStyle w:val="11"/>
            <w:rPr>
              <w:rFonts w:ascii="Arial" w:hAnsi="Arial"/>
              <w:kern w:val="2"/>
            </w:rPr>
          </w:pPr>
          <w:hyperlink w:anchor="__RefHeading___Toc469066138">
            <w:r w:rsidR="0060680B">
              <w:rPr>
                <w:rFonts w:ascii="Arial" w:hAnsi="Arial"/>
                <w:color w:val="000000"/>
              </w:rPr>
              <w:t>第二部分</w:t>
            </w:r>
            <w:r w:rsidR="0060680B">
              <w:rPr>
                <w:rFonts w:ascii="Arial" w:eastAsia="Arial" w:hAnsi="Arial"/>
                <w:color w:val="000000"/>
              </w:rPr>
              <w:t xml:space="preserve">  </w:t>
            </w:r>
            <w:r w:rsidR="0060680B">
              <w:rPr>
                <w:rFonts w:ascii="Arial" w:hAnsi="Arial"/>
                <w:color w:val="000000"/>
              </w:rPr>
              <w:t>咨询对象界定</w:t>
            </w:r>
            <w:r w:rsidR="0060680B">
              <w:rPr>
                <w:rFonts w:ascii="Arial" w:hAnsi="Arial"/>
              </w:rPr>
              <w:tab/>
              <w:t>8</w:t>
            </w:r>
          </w:hyperlink>
        </w:p>
        <w:p w14:paraId="26F2DAAE" w14:textId="77777777" w:rsidR="00E70101" w:rsidRDefault="00E25FDE">
          <w:pPr>
            <w:pStyle w:val="26"/>
            <w:rPr>
              <w:rFonts w:ascii="Arial" w:hAnsi="Arial" w:cs="Arial"/>
              <w:kern w:val="2"/>
              <w:lang w:val="zh-CN"/>
            </w:rPr>
          </w:pPr>
          <w:hyperlink w:anchor="__RefHeading___Toc469066139">
            <w:r w:rsidR="0060680B">
              <w:rPr>
                <w:rFonts w:ascii="Arial" w:eastAsia="仿宋_GB2312;仿宋" w:hAnsi="Arial" w:cs="Arial"/>
                <w:color w:val="000000"/>
                <w:szCs w:val="24"/>
                <w:lang w:val="zh-CN"/>
              </w:rPr>
              <w:t>一、委托方</w:t>
            </w:r>
            <w:r w:rsidR="0060680B">
              <w:rPr>
                <w:rFonts w:ascii="Arial" w:hAnsi="Arial" w:cs="Arial"/>
                <w:lang w:val="zh-CN"/>
              </w:rPr>
              <w:tab/>
              <w:t>8</w:t>
            </w:r>
          </w:hyperlink>
        </w:p>
        <w:p w14:paraId="4DBC0E44" w14:textId="77777777" w:rsidR="00E70101" w:rsidRDefault="00E25FDE">
          <w:pPr>
            <w:pStyle w:val="26"/>
            <w:rPr>
              <w:rFonts w:ascii="Arial" w:hAnsi="Arial" w:cs="Arial"/>
              <w:kern w:val="2"/>
              <w:lang w:val="zh-CN"/>
            </w:rPr>
          </w:pPr>
          <w:hyperlink w:anchor="__RefHeading___Toc469066140">
            <w:r w:rsidR="0060680B">
              <w:rPr>
                <w:rFonts w:ascii="Arial" w:eastAsia="仿宋_GB2312;仿宋" w:hAnsi="Arial" w:cs="Arial"/>
                <w:color w:val="000000"/>
                <w:szCs w:val="24"/>
                <w:lang w:val="zh-CN"/>
              </w:rPr>
              <w:t>二、咨询对象</w:t>
            </w:r>
            <w:r w:rsidR="0060680B">
              <w:rPr>
                <w:rFonts w:ascii="Arial" w:hAnsi="Arial" w:cs="Arial"/>
                <w:lang w:val="zh-CN"/>
              </w:rPr>
              <w:tab/>
              <w:t>8</w:t>
            </w:r>
          </w:hyperlink>
        </w:p>
        <w:p w14:paraId="427C245D" w14:textId="77777777" w:rsidR="00E70101" w:rsidRDefault="00E25FDE">
          <w:pPr>
            <w:pStyle w:val="26"/>
            <w:rPr>
              <w:rFonts w:ascii="Arial" w:hAnsi="Arial" w:cs="Arial"/>
              <w:kern w:val="2"/>
              <w:lang w:val="zh-CN"/>
            </w:rPr>
          </w:pPr>
          <w:hyperlink w:anchor="__RefHeading___Toc469066141">
            <w:r w:rsidR="0060680B">
              <w:rPr>
                <w:rFonts w:ascii="Arial" w:eastAsia="仿宋_GB2312;仿宋" w:hAnsi="Arial" w:cs="Arial"/>
                <w:color w:val="000000"/>
                <w:szCs w:val="24"/>
                <w:lang w:val="zh-CN"/>
              </w:rPr>
              <w:t>三、咨询对象概况</w:t>
            </w:r>
            <w:r w:rsidR="0060680B">
              <w:rPr>
                <w:rFonts w:ascii="Arial" w:hAnsi="Arial" w:cs="Arial"/>
                <w:lang w:val="zh-CN"/>
              </w:rPr>
              <w:tab/>
              <w:t>8</w:t>
            </w:r>
          </w:hyperlink>
        </w:p>
        <w:p w14:paraId="2F8BDF93" w14:textId="77777777" w:rsidR="00E70101" w:rsidRDefault="00E25FDE">
          <w:pPr>
            <w:pStyle w:val="26"/>
            <w:rPr>
              <w:rFonts w:ascii="Arial" w:hAnsi="Arial" w:cs="Arial"/>
              <w:kern w:val="2"/>
              <w:lang w:val="zh-CN"/>
            </w:rPr>
          </w:pPr>
          <w:hyperlink w:anchor="__RefHeading___Toc469066142">
            <w:r w:rsidR="0060680B">
              <w:rPr>
                <w:rFonts w:ascii="Arial" w:eastAsia="仿宋_GB2312;仿宋" w:hAnsi="Arial" w:cs="Arial"/>
                <w:color w:val="000000"/>
                <w:szCs w:val="24"/>
                <w:lang w:val="zh-CN"/>
              </w:rPr>
              <w:t>四、影响地价的因素说明</w:t>
            </w:r>
            <w:r w:rsidR="0060680B">
              <w:rPr>
                <w:rFonts w:ascii="Arial" w:hAnsi="Arial" w:cs="Arial"/>
                <w:lang w:val="zh-CN"/>
              </w:rPr>
              <w:tab/>
              <w:t>10</w:t>
            </w:r>
          </w:hyperlink>
        </w:p>
        <w:p w14:paraId="240CD170" w14:textId="77777777" w:rsidR="00E70101" w:rsidRDefault="00E25FDE">
          <w:pPr>
            <w:pStyle w:val="11"/>
            <w:rPr>
              <w:rFonts w:ascii="Arial" w:hAnsi="Arial"/>
              <w:kern w:val="2"/>
            </w:rPr>
          </w:pPr>
          <w:hyperlink w:anchor="__RefHeading___Toc469066144">
            <w:r w:rsidR="0060680B">
              <w:rPr>
                <w:rFonts w:ascii="Arial" w:hAnsi="Arial"/>
                <w:color w:val="000000"/>
              </w:rPr>
              <w:t>第三部分</w:t>
            </w:r>
            <w:r w:rsidR="0060680B">
              <w:rPr>
                <w:rFonts w:ascii="Arial" w:eastAsia="Arial" w:hAnsi="Arial"/>
                <w:color w:val="000000"/>
              </w:rPr>
              <w:t xml:space="preserve">  </w:t>
            </w:r>
            <w:r w:rsidR="0060680B">
              <w:rPr>
                <w:rFonts w:ascii="Arial" w:hAnsi="Arial"/>
                <w:color w:val="000000"/>
              </w:rPr>
              <w:t>土地咨询结果及其使用</w:t>
            </w:r>
            <w:r w:rsidR="0060680B">
              <w:rPr>
                <w:rFonts w:ascii="Arial" w:hAnsi="Arial"/>
              </w:rPr>
              <w:tab/>
              <w:t>30</w:t>
            </w:r>
          </w:hyperlink>
        </w:p>
        <w:p w14:paraId="1ACB70A9" w14:textId="77777777" w:rsidR="00E70101" w:rsidRDefault="00E25FDE">
          <w:pPr>
            <w:pStyle w:val="26"/>
            <w:rPr>
              <w:rFonts w:ascii="Arial" w:hAnsi="Arial" w:cs="Arial"/>
              <w:kern w:val="2"/>
              <w:lang w:val="zh-CN"/>
            </w:rPr>
          </w:pPr>
          <w:hyperlink w:anchor="__RefHeading___Toc469066145">
            <w:r w:rsidR="0060680B">
              <w:rPr>
                <w:rFonts w:ascii="Arial" w:eastAsia="仿宋_GB2312;仿宋" w:hAnsi="Arial" w:cs="Arial"/>
                <w:color w:val="000000"/>
                <w:szCs w:val="24"/>
                <w:lang w:val="zh-CN"/>
              </w:rPr>
              <w:t>一、咨询依据</w:t>
            </w:r>
            <w:r w:rsidR="0060680B">
              <w:rPr>
                <w:rFonts w:ascii="Arial" w:hAnsi="Arial" w:cs="Arial"/>
                <w:lang w:val="zh-CN"/>
              </w:rPr>
              <w:tab/>
              <w:t>30</w:t>
            </w:r>
          </w:hyperlink>
        </w:p>
        <w:p w14:paraId="09ADB500" w14:textId="77777777" w:rsidR="00E70101" w:rsidRDefault="00E25FDE">
          <w:pPr>
            <w:pStyle w:val="26"/>
            <w:rPr>
              <w:rFonts w:ascii="Arial" w:hAnsi="Arial" w:cs="Arial"/>
              <w:kern w:val="2"/>
              <w:lang w:val="zh-CN"/>
            </w:rPr>
          </w:pPr>
          <w:hyperlink w:anchor="__RefHeading___Toc469066146">
            <w:r w:rsidR="0060680B">
              <w:rPr>
                <w:rFonts w:ascii="Arial" w:eastAsia="仿宋_GB2312;仿宋" w:hAnsi="Arial" w:cs="Arial"/>
                <w:color w:val="000000"/>
                <w:szCs w:val="24"/>
                <w:lang w:val="zh-CN"/>
              </w:rPr>
              <w:t>二、土地咨询</w:t>
            </w:r>
            <w:r w:rsidR="0060680B">
              <w:rPr>
                <w:rFonts w:ascii="Arial" w:hAnsi="Arial" w:cs="Arial"/>
                <w:lang w:val="zh-CN"/>
              </w:rPr>
              <w:tab/>
              <w:t>33</w:t>
            </w:r>
          </w:hyperlink>
        </w:p>
        <w:p w14:paraId="68057DEA" w14:textId="77777777" w:rsidR="00E70101" w:rsidRDefault="00E25FDE">
          <w:pPr>
            <w:pStyle w:val="26"/>
            <w:rPr>
              <w:rFonts w:ascii="Arial" w:hAnsi="Arial" w:cs="Arial"/>
              <w:kern w:val="2"/>
              <w:lang w:val="zh-CN"/>
            </w:rPr>
          </w:pPr>
          <w:hyperlink w:anchor="__RefHeading___Toc469066147">
            <w:r w:rsidR="0060680B">
              <w:rPr>
                <w:rFonts w:ascii="Arial" w:eastAsia="仿宋_GB2312;仿宋" w:hAnsi="Arial" w:cs="Arial"/>
                <w:color w:val="000000"/>
                <w:szCs w:val="24"/>
                <w:lang w:val="zh-CN"/>
              </w:rPr>
              <w:t>三、咨询结果和咨询报告的使用</w:t>
            </w:r>
            <w:r w:rsidR="0060680B">
              <w:rPr>
                <w:rFonts w:ascii="Arial" w:hAnsi="Arial" w:cs="Arial"/>
                <w:lang w:val="zh-CN"/>
              </w:rPr>
              <w:tab/>
              <w:t>42</w:t>
            </w:r>
          </w:hyperlink>
        </w:p>
        <w:p w14:paraId="35BC6DB3" w14:textId="77777777" w:rsidR="00E70101" w:rsidRDefault="00E25FDE">
          <w:pPr>
            <w:pStyle w:val="11"/>
            <w:rPr>
              <w:rFonts w:ascii="Arial" w:hAnsi="Arial"/>
              <w:kern w:val="2"/>
            </w:rPr>
          </w:pPr>
          <w:hyperlink w:anchor="__RefHeading___Toc469066148">
            <w:r w:rsidR="0060680B">
              <w:rPr>
                <w:rFonts w:ascii="Arial" w:hAnsi="Arial"/>
                <w:color w:val="000000"/>
              </w:rPr>
              <w:t>第四部分</w:t>
            </w:r>
            <w:r w:rsidR="0060680B">
              <w:rPr>
                <w:rFonts w:ascii="Arial" w:eastAsia="Arial" w:hAnsi="Arial"/>
                <w:color w:val="000000"/>
              </w:rPr>
              <w:t xml:space="preserve">  </w:t>
            </w:r>
            <w:r w:rsidR="0060680B">
              <w:rPr>
                <w:rFonts w:ascii="Arial" w:hAnsi="Arial"/>
                <w:color w:val="000000"/>
              </w:rPr>
              <w:t>附</w:t>
            </w:r>
            <w:r w:rsidR="0060680B">
              <w:rPr>
                <w:rFonts w:ascii="Arial" w:eastAsia="Arial" w:hAnsi="Arial"/>
                <w:color w:val="000000"/>
              </w:rPr>
              <w:t xml:space="preserve">  </w:t>
            </w:r>
            <w:r w:rsidR="0060680B">
              <w:rPr>
                <w:rFonts w:ascii="Arial" w:hAnsi="Arial"/>
                <w:color w:val="000000"/>
              </w:rPr>
              <w:t>件</w:t>
            </w:r>
            <w:r w:rsidR="0060680B">
              <w:rPr>
                <w:rFonts w:ascii="Arial" w:hAnsi="Arial"/>
              </w:rPr>
              <w:tab/>
              <w:t>46</w:t>
            </w:r>
          </w:hyperlink>
          <w:r w:rsidR="0060680B">
            <w:rPr>
              <w:rFonts w:ascii="Arial" w:hAnsi="Arial"/>
            </w:rPr>
            <w:fldChar w:fldCharType="end"/>
          </w:r>
        </w:p>
      </w:sdtContent>
    </w:sdt>
    <w:p w14:paraId="18C930E4" w14:textId="77777777" w:rsidR="00E70101" w:rsidRDefault="00E70101">
      <w:pPr>
        <w:spacing w:line="360" w:lineRule="auto"/>
        <w:jc w:val="center"/>
        <w:rPr>
          <w:rFonts w:ascii="Arial" w:eastAsia="仿宋_GB2312;仿宋" w:hAnsi="Arial" w:cs="Arial"/>
          <w:kern w:val="2"/>
          <w:sz w:val="44"/>
          <w:szCs w:val="28"/>
        </w:rPr>
      </w:pPr>
    </w:p>
    <w:p w14:paraId="79654B87" w14:textId="77777777" w:rsidR="00E70101" w:rsidRDefault="00E70101">
      <w:pPr>
        <w:rPr>
          <w:rFonts w:ascii="Arial" w:eastAsia="仿宋_GB2312;仿宋" w:hAnsi="Arial" w:cs="Arial"/>
          <w:sz w:val="44"/>
        </w:rPr>
      </w:pPr>
    </w:p>
    <w:p w14:paraId="3E0F7CCB" w14:textId="77777777" w:rsidR="00E70101" w:rsidRDefault="00E70101">
      <w:pPr>
        <w:sectPr w:rsidR="00E70101">
          <w:headerReference w:type="default" r:id="rId11"/>
          <w:footerReference w:type="default" r:id="rId12"/>
          <w:headerReference w:type="first" r:id="rId13"/>
          <w:footerReference w:type="first" r:id="rId14"/>
          <w:pgSz w:w="11906" w:h="16838"/>
          <w:pgMar w:top="1843" w:right="1134" w:bottom="1134" w:left="1474" w:header="1134" w:footer="907" w:gutter="0"/>
          <w:pgNumType w:start="0"/>
          <w:cols w:space="720"/>
          <w:formProt w:val="0"/>
          <w:titlePg/>
          <w:docGrid w:linePitch="326"/>
        </w:sectPr>
      </w:pPr>
    </w:p>
    <w:p w14:paraId="7333503C" w14:textId="77777777" w:rsidR="00E70101" w:rsidRDefault="0060680B">
      <w:pPr>
        <w:spacing w:line="360" w:lineRule="auto"/>
        <w:jc w:val="center"/>
      </w:pPr>
      <w:r>
        <w:rPr>
          <w:rFonts w:ascii="Arial" w:hAnsi="Arial" w:cs="Arial"/>
          <w:b/>
          <w:sz w:val="32"/>
        </w:rPr>
        <w:t>土</w:t>
      </w:r>
      <w:r>
        <w:rPr>
          <w:rFonts w:ascii="Arial" w:eastAsia="Arial" w:hAnsi="Arial" w:cs="Arial"/>
          <w:b/>
          <w:sz w:val="32"/>
        </w:rPr>
        <w:t xml:space="preserve"> </w:t>
      </w:r>
      <w:r>
        <w:rPr>
          <w:rFonts w:ascii="Arial" w:hAnsi="Arial" w:cs="Arial"/>
          <w:b/>
          <w:sz w:val="32"/>
        </w:rPr>
        <w:t>地</w:t>
      </w:r>
      <w:r>
        <w:rPr>
          <w:rFonts w:ascii="Arial" w:eastAsia="Arial" w:hAnsi="Arial" w:cs="Arial"/>
          <w:b/>
          <w:sz w:val="32"/>
        </w:rPr>
        <w:t xml:space="preserve"> </w:t>
      </w:r>
      <w:r>
        <w:rPr>
          <w:rFonts w:ascii="Arial" w:hAnsi="Arial" w:cs="Arial"/>
          <w:b/>
          <w:sz w:val="32"/>
        </w:rPr>
        <w:t>咨</w:t>
      </w:r>
      <w:r>
        <w:rPr>
          <w:rFonts w:ascii="Arial" w:eastAsia="Arial" w:hAnsi="Arial" w:cs="Arial"/>
          <w:b/>
          <w:sz w:val="32"/>
        </w:rPr>
        <w:t xml:space="preserve"> </w:t>
      </w:r>
      <w:r>
        <w:rPr>
          <w:rFonts w:ascii="Arial" w:hAnsi="Arial" w:cs="Arial"/>
          <w:b/>
          <w:sz w:val="32"/>
        </w:rPr>
        <w:t>询</w:t>
      </w:r>
      <w:r>
        <w:rPr>
          <w:rFonts w:ascii="Arial" w:eastAsia="Arial" w:hAnsi="Arial" w:cs="Arial"/>
          <w:b/>
          <w:sz w:val="32"/>
        </w:rPr>
        <w:t xml:space="preserve"> </w:t>
      </w:r>
      <w:r>
        <w:rPr>
          <w:rFonts w:ascii="Arial" w:hAnsi="Arial" w:cs="Arial"/>
          <w:b/>
          <w:sz w:val="32"/>
        </w:rPr>
        <w:t>报</w:t>
      </w:r>
      <w:r>
        <w:rPr>
          <w:rFonts w:ascii="Arial" w:eastAsia="Arial" w:hAnsi="Arial" w:cs="Arial"/>
          <w:b/>
          <w:sz w:val="32"/>
        </w:rPr>
        <w:t xml:space="preserve"> </w:t>
      </w:r>
      <w:r>
        <w:rPr>
          <w:rFonts w:ascii="Arial" w:hAnsi="Arial" w:cs="Arial"/>
          <w:b/>
          <w:sz w:val="32"/>
        </w:rPr>
        <w:t>告</w:t>
      </w:r>
    </w:p>
    <w:p w14:paraId="1299FB7F" w14:textId="77777777" w:rsidR="00E70101" w:rsidRDefault="00E70101">
      <w:pPr>
        <w:spacing w:line="360" w:lineRule="auto"/>
        <w:rPr>
          <w:rFonts w:ascii="Arial" w:eastAsia="楷体_GB2312;楷体" w:hAnsi="Arial" w:cs="Arial"/>
          <w:b/>
          <w:sz w:val="32"/>
        </w:rPr>
      </w:pPr>
    </w:p>
    <w:p w14:paraId="3851E79E" w14:textId="77777777" w:rsidR="00E70101" w:rsidRDefault="0060680B">
      <w:pPr>
        <w:tabs>
          <w:tab w:val="center" w:pos="4332"/>
          <w:tab w:val="right" w:pos="8664"/>
        </w:tabs>
        <w:spacing w:line="360" w:lineRule="auto"/>
        <w:outlineLvl w:val="0"/>
        <w:rPr>
          <w:rFonts w:ascii="Arial" w:hAnsi="Arial" w:cs="Arial"/>
          <w:sz w:val="32"/>
        </w:rPr>
      </w:pPr>
      <w:r>
        <w:rPr>
          <w:rFonts w:ascii="Arial" w:hAnsi="Arial" w:cs="Arial"/>
          <w:b/>
          <w:sz w:val="32"/>
        </w:rPr>
        <w:tab/>
      </w:r>
      <w:bookmarkStart w:id="0" w:name="__RefHeading___Toc469066127"/>
      <w:r>
        <w:rPr>
          <w:rFonts w:ascii="Arial" w:hAnsi="Arial" w:cs="Arial"/>
          <w:b/>
          <w:sz w:val="32"/>
        </w:rPr>
        <w:t xml:space="preserve">    </w:t>
      </w:r>
      <w:r>
        <w:rPr>
          <w:rFonts w:ascii="Arial" w:hAnsi="Arial" w:cs="Arial"/>
          <w:b/>
          <w:sz w:val="32"/>
        </w:rPr>
        <w:t>第一部分</w:t>
      </w:r>
      <w:r>
        <w:rPr>
          <w:rFonts w:ascii="Arial" w:eastAsia="Arial" w:hAnsi="Arial" w:cs="Arial"/>
          <w:b/>
          <w:sz w:val="32"/>
        </w:rPr>
        <w:t xml:space="preserve">  </w:t>
      </w:r>
      <w:r>
        <w:rPr>
          <w:rFonts w:ascii="Arial" w:hAnsi="Arial" w:cs="Arial"/>
          <w:b/>
          <w:sz w:val="32"/>
        </w:rPr>
        <w:t>摘</w:t>
      </w:r>
      <w:r>
        <w:rPr>
          <w:rFonts w:ascii="Arial" w:eastAsia="Arial" w:hAnsi="Arial" w:cs="Arial"/>
          <w:b/>
          <w:sz w:val="32"/>
        </w:rPr>
        <w:t xml:space="preserve">  </w:t>
      </w:r>
      <w:r>
        <w:rPr>
          <w:rFonts w:ascii="Arial" w:hAnsi="Arial" w:cs="Arial"/>
          <w:b/>
          <w:sz w:val="32"/>
        </w:rPr>
        <w:t>要</w:t>
      </w:r>
      <w:bookmarkEnd w:id="0"/>
      <w:r>
        <w:rPr>
          <w:rFonts w:ascii="Arial" w:hAnsi="Arial" w:cs="Arial"/>
          <w:b/>
          <w:sz w:val="32"/>
        </w:rPr>
        <w:tab/>
      </w:r>
    </w:p>
    <w:p w14:paraId="392F5FE1" w14:textId="77777777" w:rsidR="00E70101" w:rsidRDefault="0060680B">
      <w:pPr>
        <w:spacing w:line="360" w:lineRule="auto"/>
        <w:jc w:val="both"/>
        <w:outlineLvl w:val="1"/>
      </w:pPr>
      <w:bookmarkStart w:id="1" w:name="__RefHeading___Toc469066128"/>
      <w:bookmarkEnd w:id="1"/>
      <w:r>
        <w:rPr>
          <w:rFonts w:ascii="Arial" w:eastAsia="仿宋_GB2312;仿宋" w:hAnsi="Arial" w:cs="Arial"/>
          <w:b/>
          <w:bCs/>
          <w:sz w:val="28"/>
        </w:rPr>
        <w:t>一、项目名称</w:t>
      </w:r>
    </w:p>
    <w:p w14:paraId="697E1F84" w14:textId="77777777" w:rsidR="00E70101" w:rsidRDefault="0060680B">
      <w:pPr>
        <w:spacing w:line="360" w:lineRule="auto"/>
        <w:ind w:firstLine="557"/>
        <w:jc w:val="both"/>
        <w:rPr>
          <w:rFonts w:ascii="Arial" w:eastAsia="仿宋_GB2312;仿宋" w:hAnsi="Arial" w:cs="Arial"/>
          <w:sz w:val="28"/>
        </w:rPr>
      </w:pPr>
      <w:r>
        <w:rPr>
          <w:rFonts w:ascii="Arial" w:eastAsia="仿宋_GB2312;仿宋" w:hAnsi="Arial" w:cs="Arial"/>
          <w:sz w:val="28"/>
        </w:rPr>
        <w:t>北京市昌平区北七家镇八仙庄村仓储用地划拨国有建设用地使用权收购补偿价格咨询</w:t>
      </w:r>
    </w:p>
    <w:p w14:paraId="268BF08F" w14:textId="77777777" w:rsidR="00E70101" w:rsidRDefault="00E70101">
      <w:pPr>
        <w:spacing w:line="360" w:lineRule="auto"/>
        <w:jc w:val="both"/>
        <w:rPr>
          <w:rFonts w:ascii="Arial" w:eastAsia="仿宋_GB2312;仿宋" w:hAnsi="Arial" w:cs="Arial"/>
          <w:b/>
          <w:bCs/>
          <w:sz w:val="28"/>
        </w:rPr>
      </w:pPr>
    </w:p>
    <w:p w14:paraId="61985D1D" w14:textId="77777777" w:rsidR="00E70101" w:rsidRDefault="0060680B">
      <w:pPr>
        <w:spacing w:line="360" w:lineRule="auto"/>
        <w:jc w:val="both"/>
        <w:outlineLvl w:val="1"/>
        <w:rPr>
          <w:rFonts w:ascii="Arial" w:eastAsia="仿宋_GB2312;仿宋" w:hAnsi="Arial" w:cs="Arial"/>
          <w:b/>
          <w:bCs/>
          <w:sz w:val="28"/>
        </w:rPr>
      </w:pPr>
      <w:bookmarkStart w:id="2" w:name="__RefHeading___Toc469066129"/>
      <w:r>
        <w:rPr>
          <w:rFonts w:ascii="Arial" w:eastAsia="仿宋_GB2312;仿宋" w:hAnsi="Arial" w:cs="Arial"/>
          <w:b/>
          <w:bCs/>
          <w:sz w:val="28"/>
        </w:rPr>
        <w:t>二、</w:t>
      </w:r>
      <w:bookmarkEnd w:id="2"/>
      <w:r>
        <w:rPr>
          <w:rFonts w:ascii="Arial" w:eastAsia="仿宋_GB2312;仿宋" w:hAnsi="Arial" w:cs="Arial"/>
          <w:b/>
          <w:bCs/>
          <w:sz w:val="28"/>
        </w:rPr>
        <w:t>委托方</w:t>
      </w:r>
    </w:p>
    <w:p w14:paraId="2D390019" w14:textId="0014641E" w:rsidR="00E70101" w:rsidRDefault="0060680B">
      <w:pPr>
        <w:spacing w:line="360" w:lineRule="auto"/>
        <w:ind w:firstLine="560"/>
        <w:jc w:val="both"/>
        <w:rPr>
          <w:rFonts w:ascii="Arial" w:eastAsia="仿宋_GB2312;仿宋" w:hAnsi="Arial" w:cs="Arial"/>
          <w:bCs/>
          <w:sz w:val="28"/>
        </w:rPr>
      </w:pPr>
      <w:r>
        <w:rPr>
          <w:rFonts w:ascii="Arial" w:eastAsia="仿宋_GB2312;仿宋" w:hAnsi="Arial" w:cs="Arial"/>
          <w:bCs/>
          <w:sz w:val="28"/>
        </w:rPr>
        <w:t>单位名称：北京保障房中心有限公司</w:t>
      </w:r>
    </w:p>
    <w:p w14:paraId="7EC57B65" w14:textId="77777777" w:rsidR="00E70101" w:rsidRDefault="0060680B">
      <w:pPr>
        <w:spacing w:line="360" w:lineRule="auto"/>
        <w:ind w:firstLine="560"/>
        <w:jc w:val="both"/>
      </w:pPr>
      <w:r>
        <w:rPr>
          <w:rFonts w:ascii="仿宋_GB2312;仿宋" w:eastAsia="仿宋_GB2312;仿宋" w:hAnsi="仿宋_GB2312;仿宋" w:cs="Arial Narrow"/>
          <w:sz w:val="28"/>
        </w:rPr>
        <w:t>地    址：北京市丰台区南</w:t>
      </w:r>
      <w:r>
        <w:rPr>
          <w:rFonts w:ascii="Arial" w:eastAsia="仿宋_GB2312;仿宋" w:hAnsi="Arial" w:cs="Arial"/>
          <w:sz w:val="28"/>
        </w:rPr>
        <w:t>四环中路</w:t>
      </w:r>
      <w:r>
        <w:rPr>
          <w:rFonts w:ascii="Arial" w:eastAsia="仿宋_GB2312;仿宋" w:hAnsi="Arial" w:cs="Arial"/>
          <w:sz w:val="28"/>
        </w:rPr>
        <w:t>10</w:t>
      </w:r>
      <w:r>
        <w:rPr>
          <w:rFonts w:ascii="仿宋_GB2312;仿宋" w:eastAsia="仿宋_GB2312;仿宋" w:hAnsi="仿宋_GB2312;仿宋" w:cs="Arial Narrow"/>
          <w:sz w:val="28"/>
        </w:rPr>
        <w:t>号</w:t>
      </w:r>
    </w:p>
    <w:p w14:paraId="791BDA5C"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联</w:t>
      </w:r>
      <w:r>
        <w:rPr>
          <w:rFonts w:ascii="Arial" w:eastAsia="Arial" w:hAnsi="Arial" w:cs="Arial"/>
          <w:sz w:val="28"/>
        </w:rPr>
        <w:t xml:space="preserve"> </w:t>
      </w:r>
      <w:r>
        <w:rPr>
          <w:rFonts w:ascii="Arial" w:eastAsia="仿宋_GB2312;仿宋" w:hAnsi="Arial" w:cs="Arial"/>
          <w:sz w:val="28"/>
        </w:rPr>
        <w:t>系</w:t>
      </w:r>
      <w:r>
        <w:rPr>
          <w:rFonts w:ascii="Arial" w:eastAsia="Arial" w:hAnsi="Arial" w:cs="Arial"/>
          <w:sz w:val="28"/>
        </w:rPr>
        <w:t xml:space="preserve"> </w:t>
      </w:r>
      <w:r>
        <w:rPr>
          <w:rFonts w:ascii="Arial" w:eastAsia="仿宋_GB2312;仿宋" w:hAnsi="Arial" w:cs="Arial"/>
          <w:sz w:val="28"/>
        </w:rPr>
        <w:t>人：岳翠兰</w:t>
      </w:r>
    </w:p>
    <w:p w14:paraId="3C94E140" w14:textId="77777777" w:rsidR="00E70101" w:rsidRDefault="00E70101">
      <w:pPr>
        <w:spacing w:line="360" w:lineRule="auto"/>
        <w:ind w:left="1" w:right="-85" w:firstLine="562"/>
        <w:jc w:val="both"/>
        <w:rPr>
          <w:rFonts w:ascii="Arial" w:eastAsia="仿宋_GB2312;仿宋" w:hAnsi="Arial" w:cs="Arial"/>
          <w:b/>
          <w:bCs/>
          <w:sz w:val="28"/>
        </w:rPr>
      </w:pPr>
    </w:p>
    <w:p w14:paraId="36922865" w14:textId="77777777" w:rsidR="00E70101" w:rsidRDefault="0060680B">
      <w:pPr>
        <w:spacing w:line="360" w:lineRule="auto"/>
        <w:jc w:val="both"/>
        <w:outlineLvl w:val="1"/>
        <w:rPr>
          <w:rFonts w:ascii="Arial" w:eastAsia="仿宋_GB2312;仿宋" w:hAnsi="Arial" w:cs="Arial"/>
          <w:b/>
          <w:bCs/>
          <w:sz w:val="28"/>
        </w:rPr>
      </w:pPr>
      <w:bookmarkStart w:id="3" w:name="__RefHeading___Toc469066130"/>
      <w:bookmarkEnd w:id="3"/>
      <w:r>
        <w:rPr>
          <w:rFonts w:ascii="Arial" w:eastAsia="仿宋_GB2312;仿宋" w:hAnsi="Arial" w:cs="Arial"/>
          <w:b/>
          <w:bCs/>
          <w:sz w:val="28"/>
        </w:rPr>
        <w:t>三、咨询目的</w:t>
      </w:r>
    </w:p>
    <w:p w14:paraId="202483DC"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本报告目的是为委托方了解拟收购国有建设用地使用权可能形成的补偿价格提供参考依据。</w:t>
      </w:r>
    </w:p>
    <w:p w14:paraId="33E3483E" w14:textId="77777777" w:rsidR="00E70101" w:rsidRDefault="00E70101">
      <w:pPr>
        <w:spacing w:line="360" w:lineRule="auto"/>
        <w:ind w:firstLine="562"/>
        <w:jc w:val="both"/>
        <w:rPr>
          <w:rFonts w:ascii="Arial" w:eastAsia="仿宋_GB2312;仿宋" w:hAnsi="Arial" w:cs="Arial"/>
          <w:b/>
          <w:bCs/>
          <w:sz w:val="28"/>
        </w:rPr>
      </w:pPr>
    </w:p>
    <w:p w14:paraId="31574AA4" w14:textId="77777777" w:rsidR="00E70101" w:rsidRDefault="0060680B">
      <w:pPr>
        <w:spacing w:line="360" w:lineRule="auto"/>
        <w:jc w:val="both"/>
        <w:outlineLvl w:val="1"/>
        <w:rPr>
          <w:rFonts w:ascii="Arial" w:eastAsia="仿宋_GB2312;仿宋" w:hAnsi="Arial" w:cs="Arial"/>
          <w:b/>
          <w:bCs/>
          <w:sz w:val="28"/>
        </w:rPr>
      </w:pPr>
      <w:bookmarkStart w:id="4" w:name="__RefHeading___Toc469066131"/>
      <w:bookmarkEnd w:id="4"/>
      <w:r>
        <w:rPr>
          <w:rFonts w:ascii="Arial" w:eastAsia="仿宋_GB2312;仿宋" w:hAnsi="Arial" w:cs="Arial"/>
          <w:b/>
          <w:bCs/>
          <w:sz w:val="28"/>
        </w:rPr>
        <w:t>四、咨询期日</w:t>
      </w:r>
    </w:p>
    <w:p w14:paraId="7CD7406E" w14:textId="77777777" w:rsidR="00E70101" w:rsidRDefault="0060680B">
      <w:pPr>
        <w:spacing w:line="360" w:lineRule="auto"/>
        <w:ind w:firstLine="560"/>
        <w:jc w:val="both"/>
      </w:pPr>
      <w:r>
        <w:rPr>
          <w:rFonts w:ascii="Arial" w:eastAsia="仿宋_GB2312;仿宋" w:hAnsi="Arial" w:cs="Arial"/>
          <w:sz w:val="28"/>
        </w:rPr>
        <w:t>2024</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31</w:t>
      </w:r>
      <w:r>
        <w:rPr>
          <w:rFonts w:ascii="Arial" w:eastAsia="仿宋_GB2312;仿宋" w:hAnsi="Arial" w:cs="Arial"/>
          <w:sz w:val="28"/>
        </w:rPr>
        <w:t>日（评估专业人员勘察现场之日）</w:t>
      </w:r>
    </w:p>
    <w:p w14:paraId="68CFA768" w14:textId="77777777" w:rsidR="00E70101" w:rsidRDefault="00E70101">
      <w:pPr>
        <w:spacing w:line="360" w:lineRule="auto"/>
        <w:ind w:firstLine="562"/>
        <w:jc w:val="both"/>
        <w:rPr>
          <w:rFonts w:ascii="Arial" w:eastAsia="仿宋_GB2312;仿宋" w:hAnsi="Arial" w:cs="Arial"/>
          <w:b/>
          <w:bCs/>
          <w:sz w:val="28"/>
        </w:rPr>
      </w:pPr>
    </w:p>
    <w:p w14:paraId="01562CE8" w14:textId="77777777" w:rsidR="00E70101" w:rsidRDefault="0060680B">
      <w:pPr>
        <w:tabs>
          <w:tab w:val="left" w:pos="6957"/>
        </w:tabs>
        <w:spacing w:line="360" w:lineRule="auto"/>
        <w:jc w:val="both"/>
        <w:outlineLvl w:val="1"/>
        <w:rPr>
          <w:rFonts w:ascii="Arial" w:eastAsia="仿宋_GB2312;仿宋" w:hAnsi="Arial" w:cs="Arial"/>
          <w:b/>
          <w:bCs/>
          <w:sz w:val="28"/>
        </w:rPr>
      </w:pPr>
      <w:bookmarkStart w:id="5" w:name="__RefHeading___Toc469066132"/>
      <w:r>
        <w:rPr>
          <w:rFonts w:ascii="Arial" w:eastAsia="仿宋_GB2312;仿宋" w:hAnsi="Arial" w:cs="Arial"/>
          <w:b/>
          <w:bCs/>
          <w:sz w:val="28"/>
        </w:rPr>
        <w:t>五、</w:t>
      </w:r>
      <w:bookmarkEnd w:id="5"/>
      <w:r>
        <w:rPr>
          <w:rFonts w:ascii="Arial" w:eastAsia="仿宋_GB2312;仿宋" w:hAnsi="Arial" w:cs="Arial"/>
          <w:b/>
          <w:bCs/>
          <w:sz w:val="28"/>
        </w:rPr>
        <w:t>咨询日期</w:t>
      </w:r>
      <w:r>
        <w:rPr>
          <w:rFonts w:ascii="Arial" w:eastAsia="仿宋_GB2312;仿宋" w:hAnsi="Arial" w:cs="Arial"/>
          <w:b/>
          <w:bCs/>
          <w:sz w:val="28"/>
        </w:rPr>
        <w:tab/>
      </w:r>
    </w:p>
    <w:p w14:paraId="620577E0"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2024</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31</w:t>
      </w:r>
      <w:r>
        <w:rPr>
          <w:rFonts w:ascii="Arial" w:eastAsia="仿宋_GB2312;仿宋" w:hAnsi="Arial" w:cs="Arial"/>
          <w:sz w:val="28"/>
        </w:rPr>
        <w:t>日至</w:t>
      </w:r>
      <w:bookmarkStart w:id="6" w:name="__RefHeading___Toc469066133"/>
      <w:r>
        <w:rPr>
          <w:rFonts w:ascii="Arial" w:eastAsia="仿宋_GB2312;仿宋" w:hAnsi="Arial" w:cs="Arial"/>
          <w:sz w:val="28"/>
        </w:rPr>
        <w:t>2024</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w:t>
      </w:r>
    </w:p>
    <w:p w14:paraId="06D4C40A" w14:textId="77777777" w:rsidR="00E70101" w:rsidRDefault="00E70101">
      <w:pPr>
        <w:spacing w:line="360" w:lineRule="auto"/>
        <w:ind w:firstLine="560"/>
        <w:jc w:val="both"/>
        <w:rPr>
          <w:rFonts w:ascii="Arial" w:eastAsia="仿宋_GB2312;仿宋" w:hAnsi="Arial" w:cs="Arial"/>
          <w:sz w:val="28"/>
        </w:rPr>
      </w:pPr>
    </w:p>
    <w:p w14:paraId="2B7175A5" w14:textId="77777777" w:rsidR="00E70101" w:rsidRDefault="0060680B">
      <w:pPr>
        <w:spacing w:line="360" w:lineRule="auto"/>
        <w:jc w:val="both"/>
      </w:pPr>
      <w:r>
        <w:rPr>
          <w:rFonts w:ascii="Arial" w:eastAsia="仿宋_GB2312;仿宋" w:hAnsi="Arial" w:cs="Arial"/>
          <w:b/>
          <w:bCs/>
          <w:sz w:val="28"/>
        </w:rPr>
        <w:t>六、地价定义</w:t>
      </w:r>
      <w:bookmarkEnd w:id="6"/>
    </w:p>
    <w:p w14:paraId="3ABB15C1"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价格内涵：企业国有建设用地使用权收购补偿价格是对被收购企业国有建设用地使用权进行补偿的全部价格，包括：土地使用权价格、建（构）筑物价格、附属物价格、因土地收购造成的无法恢复使用的设施设备补偿价格、因土地收购造成的停产停业损失补偿费用及搬迁补偿费用。</w:t>
      </w:r>
    </w:p>
    <w:p w14:paraId="363E6CA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其中：</w:t>
      </w:r>
      <w:r>
        <w:rPr>
          <w:rFonts w:ascii="Arial" w:eastAsia="Arial" w:hAnsi="Arial" w:cs="Arial"/>
          <w:sz w:val="28"/>
        </w:rPr>
        <w:t xml:space="preserve"> </w:t>
      </w:r>
    </w:p>
    <w:p w14:paraId="13DAE67D"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（一）土地使用权价格</w:t>
      </w:r>
    </w:p>
    <w:p w14:paraId="4FC8F624" w14:textId="77777777" w:rsidR="00E70101" w:rsidRDefault="0060680B">
      <w:pPr>
        <w:spacing w:line="360" w:lineRule="auto"/>
        <w:ind w:firstLine="560"/>
        <w:jc w:val="both"/>
      </w:pPr>
      <w:r>
        <w:rPr>
          <w:rFonts w:ascii="Arial" w:eastAsia="仿宋_GB2312;仿宋" w:hAnsi="Arial" w:cs="Arial"/>
          <w:sz w:val="28"/>
        </w:rPr>
        <w:t>咨询对象位于北京市昌平区北七家镇八仙庄村仓储用地，根据咨询目的及估算依据，结合委托方提供的资料及专业人员现场勘查，在咨询期日的地价定义如下。</w:t>
      </w:r>
    </w:p>
    <w:p w14:paraId="6B97ADC6" w14:textId="77777777" w:rsidR="00E70101" w:rsidRDefault="0060680B">
      <w:pPr>
        <w:numPr>
          <w:ilvl w:val="0"/>
          <w:numId w:val="4"/>
        </w:numPr>
        <w:spacing w:line="360" w:lineRule="auto"/>
        <w:jc w:val="both"/>
        <w:rPr>
          <w:rFonts w:ascii="Arial" w:eastAsia="仿宋_GB2312;仿宋" w:hAnsi="Arial" w:cs="Arial"/>
          <w:sz w:val="28"/>
        </w:rPr>
      </w:pPr>
      <w:r>
        <w:rPr>
          <w:rFonts w:ascii="Arial" w:eastAsia="仿宋_GB2312;仿宋" w:hAnsi="Arial" w:cs="Arial"/>
          <w:sz w:val="28"/>
        </w:rPr>
        <w:t>咨询期日：</w:t>
      </w:r>
    </w:p>
    <w:p w14:paraId="34F277F2" w14:textId="77777777" w:rsidR="00E70101" w:rsidRDefault="0060680B">
      <w:pPr>
        <w:spacing w:line="360" w:lineRule="auto"/>
        <w:ind w:firstLine="560"/>
        <w:jc w:val="both"/>
      </w:pPr>
      <w:r>
        <w:rPr>
          <w:rFonts w:ascii="Arial" w:eastAsia="仿宋_GB2312;仿宋" w:hAnsi="Arial" w:cs="Arial"/>
          <w:sz w:val="28"/>
        </w:rPr>
        <w:t>评估专业人员于</w:t>
      </w:r>
      <w:r>
        <w:rPr>
          <w:rFonts w:ascii="Arial" w:eastAsia="仿宋_GB2312;仿宋" w:hAnsi="Arial" w:cs="Arial"/>
          <w:sz w:val="28"/>
        </w:rPr>
        <w:t>2024</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31</w:t>
      </w:r>
      <w:r>
        <w:rPr>
          <w:rFonts w:ascii="Arial" w:eastAsia="仿宋_GB2312;仿宋" w:hAnsi="Arial" w:cs="Arial"/>
          <w:sz w:val="28"/>
        </w:rPr>
        <w:t>日对咨询对象进行实地查勘，本次评估设定咨询期日即为</w:t>
      </w:r>
      <w:r>
        <w:rPr>
          <w:rFonts w:ascii="Arial" w:eastAsia="仿宋_GB2312;仿宋" w:hAnsi="Arial" w:cs="Arial"/>
          <w:sz w:val="28"/>
        </w:rPr>
        <w:t>2024</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31</w:t>
      </w:r>
      <w:r>
        <w:rPr>
          <w:rFonts w:ascii="Arial" w:eastAsia="仿宋_GB2312;仿宋" w:hAnsi="Arial" w:cs="Arial"/>
          <w:sz w:val="28"/>
        </w:rPr>
        <w:t>日。</w:t>
      </w:r>
    </w:p>
    <w:p w14:paraId="54F051DC" w14:textId="77777777" w:rsidR="00E70101" w:rsidRDefault="0060680B">
      <w:pPr>
        <w:spacing w:line="360" w:lineRule="auto"/>
        <w:ind w:firstLine="560"/>
        <w:jc w:val="both"/>
      </w:pPr>
      <w:r>
        <w:rPr>
          <w:rFonts w:ascii="Arial" w:eastAsia="仿宋_GB2312;仿宋" w:hAnsi="Arial" w:cs="Arial"/>
          <w:sz w:val="28"/>
        </w:rPr>
        <w:t>2.</w:t>
      </w:r>
      <w:r>
        <w:rPr>
          <w:rFonts w:ascii="Arial" w:eastAsia="仿宋_GB2312;仿宋" w:hAnsi="Arial" w:cs="Arial"/>
          <w:sz w:val="28"/>
        </w:rPr>
        <w:t>土地用途设定：</w:t>
      </w:r>
    </w:p>
    <w:p w14:paraId="228141AF"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根据委托方介绍，本次评估咨询对象用途为仓储用地，故本次评估设定用途为仓储用地。</w:t>
      </w:r>
    </w:p>
    <w:p w14:paraId="53C1AB78" w14:textId="77777777" w:rsidR="00E70101" w:rsidRDefault="0060680B">
      <w:pPr>
        <w:spacing w:line="360" w:lineRule="auto"/>
        <w:ind w:firstLine="560"/>
        <w:jc w:val="both"/>
      </w:pPr>
      <w:r>
        <w:rPr>
          <w:rFonts w:ascii="Arial" w:eastAsia="仿宋_GB2312;仿宋" w:hAnsi="Arial" w:cs="Arial"/>
          <w:sz w:val="28"/>
        </w:rPr>
        <w:t>3.</w:t>
      </w:r>
      <w:r>
        <w:rPr>
          <w:rFonts w:ascii="Arial" w:eastAsia="仿宋_GB2312;仿宋" w:hAnsi="Arial" w:cs="Arial"/>
          <w:sz w:val="28"/>
        </w:rPr>
        <w:t>土地使用权类型：</w:t>
      </w:r>
    </w:p>
    <w:p w14:paraId="47DBECB7"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根据委托方介绍，咨询对象土地使用权类型为划拨，故本次评估的是其划拨国有建设用地使用权价格。</w:t>
      </w:r>
    </w:p>
    <w:p w14:paraId="5B150551" w14:textId="77777777" w:rsidR="00E70101" w:rsidRDefault="0060680B">
      <w:pPr>
        <w:spacing w:line="360" w:lineRule="auto"/>
        <w:ind w:firstLine="560"/>
        <w:jc w:val="both"/>
      </w:pPr>
      <w:r>
        <w:rPr>
          <w:rFonts w:ascii="Arial" w:eastAsia="仿宋_GB2312;仿宋" w:hAnsi="Arial" w:cs="Arial"/>
          <w:sz w:val="28"/>
        </w:rPr>
        <w:t>4.</w:t>
      </w:r>
      <w:r>
        <w:rPr>
          <w:rFonts w:ascii="Arial" w:eastAsia="仿宋_GB2312;仿宋" w:hAnsi="Arial" w:cs="Arial"/>
          <w:sz w:val="28"/>
        </w:rPr>
        <w:t>土地开发程度设定：</w:t>
      </w:r>
    </w:p>
    <w:p w14:paraId="5079D04A" w14:textId="77777777" w:rsidR="00E70101" w:rsidRDefault="0060680B">
      <w:pPr>
        <w:spacing w:line="360" w:lineRule="auto"/>
        <w:ind w:firstLine="560"/>
        <w:jc w:val="both"/>
      </w:pPr>
      <w:r>
        <w:rPr>
          <w:rFonts w:ascii="Arial" w:eastAsia="仿宋_GB2312;仿宋" w:hAnsi="Arial" w:cs="Arial"/>
          <w:sz w:val="28"/>
        </w:rPr>
        <w:t>根据委托方介绍及评估专业人员调查，咨询对象所属工业类七级地价区，该级别土地开发程度为宗地红线外</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（通路、通电、通讯、通上水、通下水、通燃气、通热）。本次咨询设定土地开发程度为红线外市政基础设施达</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w:t>
      </w:r>
    </w:p>
    <w:p w14:paraId="6C3874E1" w14:textId="77777777" w:rsidR="00E70101" w:rsidRDefault="0060680B">
      <w:pPr>
        <w:spacing w:line="360" w:lineRule="auto"/>
        <w:ind w:firstLine="560"/>
        <w:jc w:val="both"/>
      </w:pPr>
      <w:r>
        <w:rPr>
          <w:rFonts w:ascii="Arial" w:eastAsia="仿宋_GB2312;仿宋" w:hAnsi="Arial" w:cs="Arial"/>
          <w:sz w:val="28"/>
        </w:rPr>
        <w:t>5.</w:t>
      </w:r>
      <w:r>
        <w:rPr>
          <w:rFonts w:ascii="Arial" w:eastAsia="仿宋_GB2312;仿宋" w:hAnsi="Arial" w:cs="Arial"/>
          <w:sz w:val="28"/>
        </w:rPr>
        <w:t>土地使用权年限设定：</w:t>
      </w:r>
    </w:p>
    <w:p w14:paraId="4CE8DF50" w14:textId="77777777" w:rsidR="00E70101" w:rsidRDefault="0060680B">
      <w:pPr>
        <w:spacing w:line="360" w:lineRule="auto"/>
        <w:ind w:firstLine="560"/>
        <w:jc w:val="both"/>
        <w:rPr>
          <w:rFonts w:eastAsia="仿宋_GB2312;仿宋"/>
        </w:rPr>
      </w:pPr>
      <w:r>
        <w:rPr>
          <w:rFonts w:ascii="Arial" w:eastAsia="仿宋_GB2312;仿宋" w:hAnsi="Arial" w:cs="Arial"/>
          <w:sz w:val="28"/>
        </w:rPr>
        <w:t>本次咨询对象为划拨国有建设用地使用权，根据委托方提供的资料及其介绍，咨询对象使用权类型为划拨，故土地使用权年期为无年期限制。</w:t>
      </w:r>
      <w:r>
        <w:rPr>
          <w:rFonts w:ascii="Arial" w:eastAsia="Arial" w:hAnsi="Arial" w:cs="Arial"/>
          <w:sz w:val="28"/>
        </w:rPr>
        <w:t xml:space="preserve">     </w:t>
      </w:r>
    </w:p>
    <w:p w14:paraId="1CCBD868" w14:textId="77777777" w:rsidR="00E70101" w:rsidRDefault="0060680B">
      <w:pPr>
        <w:spacing w:line="360" w:lineRule="auto"/>
        <w:ind w:firstLine="560"/>
        <w:jc w:val="both"/>
        <w:rPr>
          <w:rFonts w:eastAsia="仿宋_GB2312;仿宋"/>
        </w:rPr>
      </w:pPr>
      <w:r>
        <w:rPr>
          <w:rFonts w:ascii="Arial" w:eastAsia="仿宋_GB2312;仿宋" w:hAnsi="Arial" w:cs="Arial"/>
          <w:sz w:val="28"/>
        </w:rPr>
        <w:t>6</w:t>
      </w:r>
      <w:r>
        <w:rPr>
          <w:rFonts w:ascii="Arial" w:eastAsia="仿宋_GB2312;仿宋" w:hAnsi="Arial" w:cs="Arial"/>
          <w:sz w:val="28"/>
        </w:rPr>
        <w:t>．利用条件及容积率的设定：</w:t>
      </w:r>
      <w:r>
        <w:rPr>
          <w:rFonts w:ascii="Arial" w:eastAsia="Arial" w:hAnsi="Arial" w:cs="Arial"/>
          <w:sz w:val="28"/>
        </w:rPr>
        <w:t xml:space="preserve"> </w:t>
      </w:r>
    </w:p>
    <w:p w14:paraId="5339C72D" w14:textId="4A1B0FC1"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根据委托方介绍，咨询对象用地面积为</w:t>
      </w:r>
      <w:r>
        <w:rPr>
          <w:rFonts w:ascii="Arial" w:eastAsia="仿宋_GB2312;仿宋" w:hAnsi="Arial" w:cs="Arial"/>
          <w:sz w:val="28"/>
        </w:rPr>
        <w:t>370379.14</w:t>
      </w:r>
      <w:r>
        <w:rPr>
          <w:rFonts w:ascii="Arial" w:eastAsia="仿宋_GB2312;仿宋" w:hAnsi="Arial" w:cs="Arial"/>
          <w:sz w:val="28"/>
        </w:rPr>
        <w:t>平方米，容积率设定为</w:t>
      </w:r>
      <w:r>
        <w:rPr>
          <w:rFonts w:ascii="Arial" w:eastAsia="仿宋_GB2312;仿宋" w:hAnsi="Arial" w:cs="Arial"/>
          <w:sz w:val="28"/>
        </w:rPr>
        <w:t>1.0</w:t>
      </w:r>
      <w:r>
        <w:rPr>
          <w:rFonts w:ascii="Arial" w:eastAsia="仿宋_GB2312;仿宋" w:hAnsi="Arial" w:cs="Arial"/>
          <w:sz w:val="28"/>
        </w:rPr>
        <w:t>，建筑面积设定为</w:t>
      </w:r>
      <w:r>
        <w:rPr>
          <w:rFonts w:ascii="Arial" w:eastAsia="仿宋_GB2312;仿宋" w:hAnsi="Arial" w:cs="Arial"/>
          <w:sz w:val="28"/>
        </w:rPr>
        <w:t>370379.14</w:t>
      </w:r>
      <w:r>
        <w:rPr>
          <w:rFonts w:ascii="Arial" w:eastAsia="仿宋_GB2312;仿宋" w:hAnsi="Arial" w:cs="Arial"/>
          <w:sz w:val="28"/>
        </w:rPr>
        <w:t>平方米。</w:t>
      </w:r>
    </w:p>
    <w:p w14:paraId="6A9AE86E"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7.</w:t>
      </w:r>
      <w:r>
        <w:rPr>
          <w:rFonts w:ascii="Arial" w:eastAsia="仿宋_GB2312;仿宋" w:hAnsi="Arial" w:cs="Arial"/>
          <w:sz w:val="28"/>
        </w:rPr>
        <w:t>价值类型：</w:t>
      </w:r>
    </w:p>
    <w:p w14:paraId="53D3B10E" w14:textId="77777777" w:rsidR="00E70101" w:rsidRDefault="0060680B">
      <w:pPr>
        <w:spacing w:line="360" w:lineRule="auto"/>
        <w:ind w:firstLine="560"/>
        <w:jc w:val="both"/>
      </w:pPr>
      <w:r>
        <w:rPr>
          <w:rFonts w:ascii="Arial" w:eastAsia="仿宋_GB2312;仿宋" w:hAnsi="Arial" w:cs="Arial"/>
          <w:sz w:val="28"/>
        </w:rPr>
        <w:t>本次评估咨询目的：为委托方了解收购国有建设用地使用权可能形成的补偿价格提供参考依据。故本次估算咨询结果为特定条件下的土地使用权价格，即土地使用权收购补偿价格。</w:t>
      </w:r>
    </w:p>
    <w:p w14:paraId="7B3C51E8" w14:textId="77777777" w:rsidR="00E70101" w:rsidRDefault="0060680B">
      <w:pPr>
        <w:spacing w:line="360" w:lineRule="auto"/>
        <w:ind w:firstLine="560"/>
        <w:jc w:val="both"/>
        <w:rPr>
          <w:rFonts w:eastAsia="仿宋_GB2312;仿宋"/>
        </w:rPr>
      </w:pPr>
      <w:r>
        <w:rPr>
          <w:rFonts w:ascii="Arial" w:eastAsia="仿宋_GB2312;仿宋" w:hAnsi="Arial" w:cs="Arial"/>
          <w:sz w:val="28"/>
        </w:rPr>
        <w:t>综上所述，本报告所估算的土地价格为：咨询对象在咨询期日</w:t>
      </w:r>
      <w:r>
        <w:rPr>
          <w:rFonts w:ascii="Arial" w:eastAsia="仿宋_GB2312;仿宋" w:hAnsi="Arial" w:cs="Arial"/>
          <w:sz w:val="28"/>
        </w:rPr>
        <w:t>2024</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31</w:t>
      </w:r>
      <w:r>
        <w:rPr>
          <w:rFonts w:ascii="Arial" w:eastAsia="仿宋_GB2312;仿宋" w:hAnsi="Arial" w:cs="Arial"/>
          <w:sz w:val="28"/>
        </w:rPr>
        <w:t>日，设定土地用途为仓储、土地使用权类型为划拨、土地开发程度为宗地红线外</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（通路、通电、通讯、通上水、通下水、通燃气、通热）、宗地内场地平整、容积率为</w:t>
      </w:r>
      <w:r>
        <w:rPr>
          <w:rFonts w:ascii="Arial" w:eastAsia="仿宋_GB2312;仿宋" w:hAnsi="Arial" w:cs="Arial"/>
          <w:sz w:val="28"/>
        </w:rPr>
        <w:t>1.0</w:t>
      </w:r>
      <w:r>
        <w:rPr>
          <w:rFonts w:ascii="Arial" w:eastAsia="仿宋_GB2312;仿宋" w:hAnsi="Arial" w:cs="Arial"/>
          <w:sz w:val="28"/>
        </w:rPr>
        <w:t>，于上述设定条件下国有建设用地土地使用权收购补偿价格。</w:t>
      </w:r>
      <w:r>
        <w:rPr>
          <w:rFonts w:ascii="Arial" w:eastAsia="Arial" w:hAnsi="Arial" w:cs="Arial"/>
          <w:sz w:val="28"/>
        </w:rPr>
        <w:t xml:space="preserve"> </w:t>
      </w:r>
    </w:p>
    <w:p w14:paraId="541F19BB"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（二）建（构）筑物价格</w:t>
      </w:r>
    </w:p>
    <w:p w14:paraId="482AFCDD"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按照《指引》，房地分开评估时，建（构）筑物价格的估算采用北京市相应的房屋重置成新价评估技术标准。补偿价格参考《北京市房屋重置成新价评估技术标准》</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10</w:t>
      </w:r>
      <w:r>
        <w:rPr>
          <w:rFonts w:ascii="Arial" w:eastAsia="仿宋_GB2312;仿宋" w:hAnsi="Arial" w:cs="Arial"/>
          <w:sz w:val="28"/>
        </w:rPr>
        <w:t>日发布）进行评估。经委托方介绍，设定咨询对象宗地现状不存在建（构）筑物。</w:t>
      </w:r>
    </w:p>
    <w:p w14:paraId="343393A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（三）附属物价格</w:t>
      </w:r>
    </w:p>
    <w:p w14:paraId="39B39687"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附属物包括树木、院墙、院地及其他，补偿价格参照《北京市房屋重置成新价评估技术标准》</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仿宋_GB2312;仿宋" w:eastAsia="仿宋_GB2312;仿宋" w:hAnsi="仿宋_GB2312;仿宋" w:cs="仿宋"/>
          <w:sz w:val="28"/>
        </w:rPr>
        <w:t xml:space="preserve"> 进行评估</w:t>
      </w:r>
      <w:r>
        <w:rPr>
          <w:rFonts w:ascii="Arial" w:eastAsia="仿宋_GB2312;仿宋" w:hAnsi="Arial" w:cs="Arial"/>
          <w:sz w:val="28"/>
        </w:rPr>
        <w:t>、《关于调整〈北京市房屋重置成新价评估技术标准〉相关系数的通知》（</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10</w:t>
      </w:r>
      <w:r>
        <w:rPr>
          <w:rFonts w:ascii="Arial" w:eastAsia="仿宋_GB2312;仿宋" w:hAnsi="Arial" w:cs="Arial"/>
          <w:sz w:val="28"/>
        </w:rPr>
        <w:t>日发布）进行评估。经委托方介绍，设定咨询对象宗地现状不存在附属物。</w:t>
      </w:r>
    </w:p>
    <w:p w14:paraId="39A2895E"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（四）无法恢复使用的设施设备补偿价格</w:t>
      </w:r>
    </w:p>
    <w:p w14:paraId="2B7CAA33" w14:textId="77777777" w:rsidR="00E70101" w:rsidRDefault="0060680B">
      <w:pPr>
        <w:spacing w:line="360" w:lineRule="auto"/>
        <w:ind w:firstLine="560"/>
        <w:jc w:val="both"/>
      </w:pPr>
      <w:r>
        <w:rPr>
          <w:rFonts w:ascii="Arial" w:eastAsia="仿宋_GB2312;仿宋" w:hAnsi="Arial" w:cs="Arial"/>
          <w:sz w:val="28"/>
        </w:rPr>
        <w:t>经委托方介绍，由于咨询对象宗地并未进行生产使用，不存在因土地收购造成的无法恢复使用的设施设备情况。</w:t>
      </w:r>
    </w:p>
    <w:p w14:paraId="689A3234"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（五）因土地收购造成的停产停业损失补偿费用</w:t>
      </w:r>
    </w:p>
    <w:p w14:paraId="7E84E04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停产停业损失补偿包括房屋停产停业期间租金、净利润损失、员工生活补助费，参照《北京市国有土地上房屋征收停产停业损失补偿暂行办法》</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2018</w:t>
      </w:r>
      <w:r>
        <w:rPr>
          <w:rFonts w:ascii="Arial" w:eastAsia="仿宋_GB2312;仿宋" w:hAnsi="Arial" w:cs="Arial"/>
          <w:sz w:val="28"/>
        </w:rPr>
        <w:t>）</w:t>
      </w:r>
      <w:r>
        <w:rPr>
          <w:rFonts w:ascii="Arial" w:eastAsia="仿宋_GB2312;仿宋" w:hAnsi="Arial" w:cs="Arial"/>
          <w:sz w:val="28"/>
        </w:rPr>
        <w:t>004</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4A9C4F58"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经委托方介绍，由于咨询对象宗地未进行生产使用，不存在</w:t>
      </w:r>
      <w:r>
        <w:rPr>
          <w:rFonts w:ascii="仿宋_GB2312;仿宋" w:eastAsia="仿宋_GB2312;仿宋" w:hAnsi="仿宋_GB2312;仿宋" w:cs="Arial"/>
          <w:sz w:val="28"/>
        </w:rPr>
        <w:t>因土地收购造成的停产停业损失补偿</w:t>
      </w:r>
      <w:r>
        <w:rPr>
          <w:rFonts w:ascii="Arial" w:eastAsia="仿宋_GB2312;仿宋" w:hAnsi="Arial" w:cs="Arial"/>
          <w:sz w:val="28"/>
        </w:rPr>
        <w:t>情况。</w:t>
      </w:r>
    </w:p>
    <w:p w14:paraId="699CB71C" w14:textId="77777777" w:rsidR="00E70101" w:rsidRDefault="0060680B">
      <w:pPr>
        <w:snapToGrid w:val="0"/>
        <w:spacing w:line="360" w:lineRule="auto"/>
        <w:ind w:left="560"/>
        <w:jc w:val="both"/>
        <w:rPr>
          <w:rFonts w:ascii="Arial" w:eastAsia="仿宋_GB2312;仿宋" w:hAnsi="Arial" w:cs="Arial"/>
          <w:sz w:val="28"/>
        </w:rPr>
      </w:pPr>
      <w:r>
        <w:rPr>
          <w:rFonts w:ascii="Arial" w:eastAsia="仿宋_GB2312;仿宋" w:hAnsi="Arial" w:cs="Arial"/>
          <w:sz w:val="28"/>
        </w:rPr>
        <w:t>（六）搬迁、临时安置补助费</w:t>
      </w:r>
    </w:p>
    <w:p w14:paraId="3C29ACB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补偿费用参照《关于国有土地上房屋征收与补偿中有关事项的通知》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hAnsi="Arial" w:cs="Arial"/>
          <w:sz w:val="28"/>
        </w:rPr>
        <w:t>（</w:t>
      </w:r>
      <w:r>
        <w:rPr>
          <w:rFonts w:ascii="Arial" w:eastAsia="仿宋_GB2312;仿宋" w:hAnsi="Arial" w:cs="Arial"/>
          <w:sz w:val="28"/>
        </w:rPr>
        <w:t>2012</w:t>
      </w:r>
      <w:r>
        <w:rPr>
          <w:rFonts w:ascii="Arial"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25D32EB6" w14:textId="77777777" w:rsidR="00E70101" w:rsidRDefault="00E70101">
      <w:pPr>
        <w:spacing w:line="360" w:lineRule="auto"/>
        <w:ind w:firstLine="560"/>
        <w:jc w:val="both"/>
        <w:rPr>
          <w:rFonts w:ascii="Arial" w:eastAsia="仿宋_GB2312;仿宋" w:hAnsi="Arial" w:cs="Arial"/>
          <w:sz w:val="28"/>
        </w:rPr>
      </w:pPr>
    </w:p>
    <w:p w14:paraId="31B3D43C" w14:textId="77777777" w:rsidR="00E70101" w:rsidRDefault="0060680B">
      <w:pPr>
        <w:spacing w:line="360" w:lineRule="auto"/>
        <w:outlineLvl w:val="1"/>
        <w:rPr>
          <w:rFonts w:ascii="Arial" w:eastAsia="仿宋_GB2312;仿宋" w:hAnsi="Arial" w:cs="Arial"/>
          <w:b/>
          <w:sz w:val="28"/>
        </w:rPr>
      </w:pPr>
      <w:bookmarkStart w:id="7" w:name="__RefHeading___Toc469066134"/>
      <w:bookmarkEnd w:id="7"/>
      <w:r>
        <w:rPr>
          <w:rFonts w:ascii="Arial" w:eastAsia="仿宋_GB2312;仿宋" w:hAnsi="Arial" w:cs="Arial"/>
          <w:b/>
          <w:sz w:val="28"/>
        </w:rPr>
        <w:t>七、咨询结果</w:t>
      </w:r>
    </w:p>
    <w:p w14:paraId="5AE1CCA6" w14:textId="77777777" w:rsidR="00E70101" w:rsidRDefault="0060680B">
      <w:pPr>
        <w:spacing w:line="360" w:lineRule="auto"/>
        <w:ind w:firstLine="560"/>
        <w:jc w:val="both"/>
        <w:rPr>
          <w:rFonts w:ascii="Arial" w:eastAsia="仿宋_GB2312;仿宋" w:hAnsi="Arial" w:cs="Arial"/>
          <w:kern w:val="2"/>
          <w:sz w:val="28"/>
        </w:rPr>
      </w:pPr>
      <w:r>
        <w:rPr>
          <w:rFonts w:ascii="Arial" w:eastAsia="仿宋_GB2312;仿宋" w:hAnsi="Arial" w:cs="Arial"/>
          <w:kern w:val="2"/>
          <w:sz w:val="28"/>
        </w:rPr>
        <w:t>评估专业人员根据咨询的目的，按照估算的程序，采用科学的咨询方法（市场比较法和成本逼近法），在认真分析现有资料的基础上，通过仔细测算和认真分析各种影响</w:t>
      </w:r>
      <w:r>
        <w:rPr>
          <w:rFonts w:ascii="Arial" w:eastAsia="仿宋_GB2312;仿宋" w:hAnsi="Arial" w:cs="Arial"/>
          <w:sz w:val="28"/>
        </w:rPr>
        <w:t>土地</w:t>
      </w:r>
      <w:r>
        <w:rPr>
          <w:rFonts w:ascii="Arial" w:eastAsia="仿宋_GB2312;仿宋" w:hAnsi="Arial" w:cs="Arial"/>
          <w:kern w:val="2"/>
          <w:sz w:val="28"/>
        </w:rPr>
        <w:t>价格的因素，</w:t>
      </w:r>
      <w:r>
        <w:rPr>
          <w:rFonts w:ascii="Arial" w:eastAsia="仿宋_GB2312;仿宋" w:hAnsi="Arial" w:cs="Arial"/>
          <w:sz w:val="28"/>
          <w:szCs w:val="28"/>
        </w:rPr>
        <w:t>确定咨询对象</w:t>
      </w:r>
      <w:r>
        <w:rPr>
          <w:rFonts w:ascii="Arial" w:eastAsia="仿宋_GB2312;仿宋" w:hAnsi="Arial" w:cs="Arial"/>
          <w:kern w:val="2"/>
          <w:sz w:val="28"/>
        </w:rPr>
        <w:t>在咨询期日</w:t>
      </w:r>
      <w:r>
        <w:rPr>
          <w:rFonts w:ascii="Arial" w:eastAsia="仿宋_GB2312;仿宋" w:hAnsi="Arial" w:cs="Arial"/>
          <w:kern w:val="2"/>
          <w:sz w:val="28"/>
        </w:rPr>
        <w:t>2024</w:t>
      </w:r>
      <w:r>
        <w:rPr>
          <w:rFonts w:ascii="Arial" w:eastAsia="仿宋_GB2312;仿宋" w:hAnsi="Arial" w:cs="Arial"/>
          <w:kern w:val="2"/>
          <w:sz w:val="28"/>
        </w:rPr>
        <w:t>年</w:t>
      </w:r>
      <w:r>
        <w:rPr>
          <w:rFonts w:ascii="Arial" w:eastAsia="仿宋_GB2312;仿宋" w:hAnsi="Arial" w:cs="Arial"/>
          <w:kern w:val="2"/>
          <w:sz w:val="28"/>
        </w:rPr>
        <w:t>3</w:t>
      </w:r>
      <w:r>
        <w:rPr>
          <w:rFonts w:ascii="Arial" w:eastAsia="仿宋_GB2312;仿宋" w:hAnsi="Arial" w:cs="Arial"/>
          <w:kern w:val="2"/>
          <w:sz w:val="28"/>
        </w:rPr>
        <w:t>月</w:t>
      </w:r>
      <w:r>
        <w:rPr>
          <w:rFonts w:ascii="Arial" w:eastAsia="仿宋_GB2312;仿宋" w:hAnsi="Arial" w:cs="Arial"/>
          <w:kern w:val="2"/>
          <w:sz w:val="28"/>
        </w:rPr>
        <w:t>31</w:t>
      </w:r>
      <w:r>
        <w:rPr>
          <w:rFonts w:ascii="Arial" w:eastAsia="仿宋_GB2312;仿宋" w:hAnsi="Arial" w:cs="Arial"/>
          <w:kern w:val="2"/>
          <w:sz w:val="28"/>
        </w:rPr>
        <w:t>的土地使用权收购补偿价格约为</w:t>
      </w:r>
      <w:r>
        <w:rPr>
          <w:rFonts w:ascii="Arial" w:eastAsia="仿宋_GB2312;仿宋" w:hAnsi="Arial" w:cs="Arial"/>
          <w:b/>
          <w:kern w:val="2"/>
          <w:sz w:val="28"/>
        </w:rPr>
        <w:t>人民币</w:t>
      </w:r>
      <w:r>
        <w:rPr>
          <w:rFonts w:ascii="Arial" w:eastAsia="仿宋_GB2312;仿宋" w:hAnsi="Arial" w:cs="Arial"/>
          <w:b/>
          <w:kern w:val="2"/>
          <w:sz w:val="28"/>
        </w:rPr>
        <w:t>156654</w:t>
      </w:r>
      <w:r>
        <w:rPr>
          <w:rFonts w:ascii="Arial" w:eastAsia="仿宋_GB2312;仿宋" w:hAnsi="Arial" w:cs="Arial"/>
          <w:b/>
          <w:kern w:val="2"/>
          <w:sz w:val="28"/>
        </w:rPr>
        <w:t>万元，大写壹拾伍亿陆仟陆佰伍拾肆万元整</w:t>
      </w:r>
      <w:r>
        <w:rPr>
          <w:rFonts w:ascii="Arial" w:eastAsia="仿宋_GB2312;仿宋" w:hAnsi="Arial" w:cs="Arial"/>
          <w:kern w:val="2"/>
          <w:sz w:val="28"/>
        </w:rPr>
        <w:t>。</w:t>
      </w:r>
      <w:r>
        <w:rPr>
          <w:rFonts w:ascii="Arial" w:eastAsia="仿宋_GB2312;仿宋" w:hAnsi="Arial" w:cs="Arial"/>
          <w:sz w:val="28"/>
        </w:rPr>
        <w:t>咨询结果明细如下：</w:t>
      </w:r>
    </w:p>
    <w:p w14:paraId="2374E7C1" w14:textId="77777777" w:rsidR="00E70101" w:rsidRDefault="0060680B">
      <w:pPr>
        <w:spacing w:line="360" w:lineRule="auto"/>
        <w:ind w:firstLine="560"/>
        <w:jc w:val="both"/>
        <w:rPr>
          <w:rFonts w:ascii="Arial" w:eastAsia="仿宋_GB2312;仿宋" w:hAnsi="Arial" w:cs="Arial"/>
          <w:sz w:val="28"/>
          <w:szCs w:val="28"/>
        </w:rPr>
      </w:pPr>
      <w:r>
        <w:rPr>
          <w:rFonts w:ascii="Arial" w:eastAsia="仿宋_GB2312;仿宋" w:hAnsi="Arial" w:cs="Arial"/>
          <w:sz w:val="28"/>
          <w:szCs w:val="28"/>
        </w:rPr>
        <w:t>（转下页）</w:t>
      </w:r>
      <w:r>
        <w:br w:type="page"/>
      </w:r>
    </w:p>
    <w:p w14:paraId="56EB9CB8" w14:textId="77777777" w:rsidR="00E70101" w:rsidRDefault="0060680B">
      <w:pPr>
        <w:spacing w:line="360" w:lineRule="auto"/>
        <w:jc w:val="center"/>
        <w:rPr>
          <w:rFonts w:cs="Arial"/>
        </w:rPr>
      </w:pPr>
      <w:r>
        <w:rPr>
          <w:rFonts w:ascii="Arial" w:eastAsia="仿宋_GB2312;仿宋" w:hAnsi="Arial" w:cs="Arial"/>
          <w:b/>
          <w:bCs/>
          <w:sz w:val="28"/>
          <w:szCs w:val="28"/>
        </w:rPr>
        <w:t>收购补偿价格咨询结果</w:t>
      </w:r>
    </w:p>
    <w:tbl>
      <w:tblPr>
        <w:tblW w:w="5000" w:type="pct"/>
        <w:jc w:val="center"/>
        <w:tblLook w:val="0000" w:firstRow="0" w:lastRow="0" w:firstColumn="0" w:lastColumn="0" w:noHBand="0" w:noVBand="0"/>
      </w:tblPr>
      <w:tblGrid>
        <w:gridCol w:w="889"/>
        <w:gridCol w:w="3069"/>
        <w:gridCol w:w="2106"/>
        <w:gridCol w:w="3224"/>
      </w:tblGrid>
      <w:tr w:rsidR="00E70101" w14:paraId="3781C63E" w14:textId="77777777">
        <w:trPr>
          <w:trHeight w:val="454"/>
          <w:jc w:val="center"/>
        </w:trPr>
        <w:tc>
          <w:tcPr>
            <w:tcW w:w="890" w:type="dxa"/>
            <w:tcBorders>
              <w:top w:val="single" w:sz="4" w:space="0" w:color="000000"/>
              <w:left w:val="single" w:sz="4" w:space="0" w:color="000000"/>
              <w:bottom w:val="single" w:sz="4" w:space="0" w:color="000000"/>
            </w:tcBorders>
            <w:shd w:val="clear" w:color="auto" w:fill="auto"/>
            <w:vAlign w:val="center"/>
          </w:tcPr>
          <w:p w14:paraId="27E8353B"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4" w:type="dxa"/>
            <w:tcBorders>
              <w:top w:val="single" w:sz="4" w:space="0" w:color="000000"/>
              <w:left w:val="single" w:sz="4" w:space="0" w:color="000000"/>
              <w:bottom w:val="single" w:sz="4" w:space="0" w:color="000000"/>
            </w:tcBorders>
            <w:shd w:val="clear" w:color="auto" w:fill="auto"/>
            <w:vAlign w:val="center"/>
          </w:tcPr>
          <w:p w14:paraId="124EF1FA"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2108" w:type="dxa"/>
            <w:tcBorders>
              <w:top w:val="single" w:sz="4" w:space="0" w:color="000000"/>
              <w:left w:val="single" w:sz="4" w:space="0" w:color="000000"/>
              <w:bottom w:val="single" w:sz="4" w:space="0" w:color="000000"/>
            </w:tcBorders>
            <w:shd w:val="clear" w:color="auto" w:fill="auto"/>
            <w:vAlign w:val="center"/>
          </w:tcPr>
          <w:p w14:paraId="79A5B99E"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咨询价格</w:t>
            </w:r>
          </w:p>
          <w:p w14:paraId="65CECC45"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F663B"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E70101" w14:paraId="1DABBF1C" w14:textId="77777777">
        <w:trPr>
          <w:trHeight w:val="454"/>
          <w:jc w:val="center"/>
        </w:trPr>
        <w:tc>
          <w:tcPr>
            <w:tcW w:w="890" w:type="dxa"/>
            <w:tcBorders>
              <w:left w:val="single" w:sz="4" w:space="0" w:color="000000"/>
              <w:bottom w:val="single" w:sz="4" w:space="0" w:color="000000"/>
            </w:tcBorders>
            <w:shd w:val="clear" w:color="auto" w:fill="auto"/>
            <w:vAlign w:val="center"/>
          </w:tcPr>
          <w:p w14:paraId="089F0614"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4" w:type="dxa"/>
            <w:tcBorders>
              <w:left w:val="single" w:sz="4" w:space="0" w:color="000000"/>
              <w:bottom w:val="single" w:sz="4" w:space="0" w:color="000000"/>
            </w:tcBorders>
            <w:shd w:val="clear" w:color="auto" w:fill="auto"/>
            <w:vAlign w:val="center"/>
          </w:tcPr>
          <w:p w14:paraId="57B8E0AA"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2108" w:type="dxa"/>
            <w:tcBorders>
              <w:left w:val="single" w:sz="4" w:space="0" w:color="000000"/>
              <w:bottom w:val="single" w:sz="4" w:space="0" w:color="000000"/>
            </w:tcBorders>
            <w:shd w:val="clear" w:color="auto" w:fill="auto"/>
            <w:vAlign w:val="center"/>
          </w:tcPr>
          <w:p w14:paraId="6A8FCAD3"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156654</w:t>
            </w:r>
          </w:p>
        </w:tc>
        <w:tc>
          <w:tcPr>
            <w:tcW w:w="3226" w:type="dxa"/>
            <w:tcBorders>
              <w:left w:val="single" w:sz="4" w:space="0" w:color="000000"/>
              <w:bottom w:val="single" w:sz="4" w:space="0" w:color="000000"/>
              <w:right w:val="single" w:sz="4" w:space="0" w:color="000000"/>
            </w:tcBorders>
            <w:shd w:val="clear" w:color="auto" w:fill="auto"/>
            <w:vAlign w:val="center"/>
          </w:tcPr>
          <w:p w14:paraId="2964DE2A" w14:textId="77777777" w:rsidR="00E70101" w:rsidRDefault="0060680B">
            <w:pPr>
              <w:spacing w:line="240" w:lineRule="auto"/>
              <w:jc w:val="center"/>
            </w:pPr>
            <w:r>
              <w:rPr>
                <w:rFonts w:ascii="Arial" w:eastAsia="仿宋_GB2312;仿宋" w:hAnsi="Arial" w:cs="Arial"/>
                <w:sz w:val="28"/>
                <w:szCs w:val="28"/>
              </w:rPr>
              <w:t>采用</w:t>
            </w:r>
            <w:r>
              <w:rPr>
                <w:rFonts w:ascii="Arial" w:eastAsia="仿宋_GB2312;仿宋" w:hAnsi="Arial" w:cs="Arial"/>
                <w:kern w:val="2"/>
                <w:sz w:val="28"/>
              </w:rPr>
              <w:t>市场比较法和成本逼近法</w:t>
            </w:r>
            <w:r>
              <w:rPr>
                <w:rFonts w:ascii="Arial" w:eastAsia="仿宋_GB2312;仿宋" w:hAnsi="Arial" w:cs="Arial"/>
                <w:sz w:val="28"/>
                <w:szCs w:val="28"/>
              </w:rPr>
              <w:t>评估测算</w:t>
            </w:r>
          </w:p>
        </w:tc>
      </w:tr>
      <w:tr w:rsidR="00E70101" w14:paraId="22A1861F" w14:textId="77777777">
        <w:trPr>
          <w:trHeight w:val="454"/>
          <w:jc w:val="center"/>
        </w:trPr>
        <w:tc>
          <w:tcPr>
            <w:tcW w:w="890" w:type="dxa"/>
            <w:tcBorders>
              <w:left w:val="single" w:sz="4" w:space="0" w:color="000000"/>
              <w:bottom w:val="single" w:sz="4" w:space="0" w:color="000000"/>
            </w:tcBorders>
            <w:shd w:val="clear" w:color="auto" w:fill="auto"/>
            <w:vAlign w:val="center"/>
          </w:tcPr>
          <w:p w14:paraId="60CF6472"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4" w:type="dxa"/>
            <w:tcBorders>
              <w:left w:val="single" w:sz="4" w:space="0" w:color="000000"/>
              <w:bottom w:val="single" w:sz="4" w:space="0" w:color="000000"/>
            </w:tcBorders>
            <w:shd w:val="clear" w:color="auto" w:fill="auto"/>
            <w:vAlign w:val="center"/>
          </w:tcPr>
          <w:p w14:paraId="0F4D4A00"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2108" w:type="dxa"/>
            <w:tcBorders>
              <w:left w:val="single" w:sz="4" w:space="0" w:color="000000"/>
              <w:bottom w:val="single" w:sz="4" w:space="0" w:color="000000"/>
            </w:tcBorders>
            <w:shd w:val="clear" w:color="auto" w:fill="auto"/>
            <w:vAlign w:val="center"/>
          </w:tcPr>
          <w:p w14:paraId="231C9AA6"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1B659212"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0FA5920F" w14:textId="77777777">
        <w:trPr>
          <w:trHeight w:val="454"/>
          <w:jc w:val="center"/>
        </w:trPr>
        <w:tc>
          <w:tcPr>
            <w:tcW w:w="890" w:type="dxa"/>
            <w:tcBorders>
              <w:left w:val="single" w:sz="4" w:space="0" w:color="000000"/>
              <w:bottom w:val="single" w:sz="4" w:space="0" w:color="000000"/>
            </w:tcBorders>
            <w:shd w:val="clear" w:color="auto" w:fill="auto"/>
            <w:vAlign w:val="center"/>
          </w:tcPr>
          <w:p w14:paraId="29A314FA"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4" w:type="dxa"/>
            <w:tcBorders>
              <w:left w:val="single" w:sz="4" w:space="0" w:color="000000"/>
              <w:bottom w:val="single" w:sz="4" w:space="0" w:color="000000"/>
            </w:tcBorders>
            <w:shd w:val="clear" w:color="auto" w:fill="auto"/>
            <w:vAlign w:val="center"/>
          </w:tcPr>
          <w:p w14:paraId="706879C2"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2108" w:type="dxa"/>
            <w:tcBorders>
              <w:left w:val="single" w:sz="4" w:space="0" w:color="000000"/>
              <w:bottom w:val="single" w:sz="4" w:space="0" w:color="000000"/>
            </w:tcBorders>
            <w:shd w:val="clear" w:color="auto" w:fill="auto"/>
            <w:vAlign w:val="center"/>
          </w:tcPr>
          <w:p w14:paraId="7313F77E"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600A8BE4"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1C349C6D" w14:textId="77777777">
        <w:trPr>
          <w:trHeight w:val="454"/>
          <w:jc w:val="center"/>
        </w:trPr>
        <w:tc>
          <w:tcPr>
            <w:tcW w:w="890" w:type="dxa"/>
            <w:tcBorders>
              <w:left w:val="single" w:sz="4" w:space="0" w:color="000000"/>
              <w:bottom w:val="single" w:sz="4" w:space="0" w:color="000000"/>
            </w:tcBorders>
            <w:shd w:val="clear" w:color="auto" w:fill="auto"/>
            <w:vAlign w:val="center"/>
          </w:tcPr>
          <w:p w14:paraId="5DE0EFF6"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4" w:type="dxa"/>
            <w:tcBorders>
              <w:left w:val="single" w:sz="4" w:space="0" w:color="000000"/>
              <w:bottom w:val="single" w:sz="4" w:space="0" w:color="000000"/>
            </w:tcBorders>
            <w:shd w:val="clear" w:color="auto" w:fill="auto"/>
            <w:vAlign w:val="center"/>
          </w:tcPr>
          <w:p w14:paraId="19629825"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2108" w:type="dxa"/>
            <w:tcBorders>
              <w:left w:val="single" w:sz="4" w:space="0" w:color="000000"/>
              <w:bottom w:val="single" w:sz="4" w:space="0" w:color="000000"/>
            </w:tcBorders>
            <w:shd w:val="clear" w:color="auto" w:fill="auto"/>
            <w:vAlign w:val="center"/>
          </w:tcPr>
          <w:p w14:paraId="76738CDE"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49F02126"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7CF2A10E" w14:textId="77777777">
        <w:trPr>
          <w:trHeight w:val="454"/>
          <w:jc w:val="center"/>
        </w:trPr>
        <w:tc>
          <w:tcPr>
            <w:tcW w:w="890" w:type="dxa"/>
            <w:tcBorders>
              <w:left w:val="single" w:sz="4" w:space="0" w:color="000000"/>
              <w:bottom w:val="single" w:sz="4" w:space="0" w:color="000000"/>
            </w:tcBorders>
            <w:shd w:val="clear" w:color="auto" w:fill="auto"/>
            <w:vAlign w:val="center"/>
          </w:tcPr>
          <w:p w14:paraId="2961D179"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4" w:type="dxa"/>
            <w:tcBorders>
              <w:left w:val="single" w:sz="4" w:space="0" w:color="000000"/>
              <w:bottom w:val="single" w:sz="4" w:space="0" w:color="000000"/>
            </w:tcBorders>
            <w:shd w:val="clear" w:color="auto" w:fill="auto"/>
            <w:vAlign w:val="center"/>
          </w:tcPr>
          <w:p w14:paraId="28ADDA90"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2108" w:type="dxa"/>
            <w:tcBorders>
              <w:left w:val="single" w:sz="4" w:space="0" w:color="000000"/>
              <w:bottom w:val="single" w:sz="4" w:space="0" w:color="000000"/>
            </w:tcBorders>
            <w:shd w:val="clear" w:color="auto" w:fill="auto"/>
            <w:vAlign w:val="center"/>
          </w:tcPr>
          <w:p w14:paraId="30A6845B"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7F3059D1"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61CFDA82" w14:textId="77777777">
        <w:trPr>
          <w:trHeight w:val="454"/>
          <w:jc w:val="center"/>
        </w:trPr>
        <w:tc>
          <w:tcPr>
            <w:tcW w:w="890" w:type="dxa"/>
            <w:tcBorders>
              <w:left w:val="single" w:sz="4" w:space="0" w:color="000000"/>
              <w:bottom w:val="single" w:sz="4" w:space="0" w:color="000000"/>
            </w:tcBorders>
            <w:shd w:val="clear" w:color="auto" w:fill="auto"/>
            <w:vAlign w:val="center"/>
          </w:tcPr>
          <w:p w14:paraId="0319994A"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4" w:type="dxa"/>
            <w:tcBorders>
              <w:left w:val="single" w:sz="4" w:space="0" w:color="000000"/>
              <w:bottom w:val="single" w:sz="4" w:space="0" w:color="000000"/>
            </w:tcBorders>
            <w:shd w:val="clear" w:color="auto" w:fill="auto"/>
            <w:vAlign w:val="center"/>
          </w:tcPr>
          <w:p w14:paraId="081A6176"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2108" w:type="dxa"/>
            <w:tcBorders>
              <w:left w:val="single" w:sz="4" w:space="0" w:color="000000"/>
              <w:bottom w:val="single" w:sz="4" w:space="0" w:color="000000"/>
            </w:tcBorders>
            <w:shd w:val="clear" w:color="auto" w:fill="auto"/>
            <w:vAlign w:val="center"/>
          </w:tcPr>
          <w:p w14:paraId="77199A79"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2C48040B" w14:textId="77777777" w:rsidR="00E70101" w:rsidRDefault="0060680B">
            <w:pPr>
              <w:spacing w:line="240" w:lineRule="auto"/>
              <w:jc w:val="center"/>
              <w:rPr>
                <w:rFonts w:ascii="Arial" w:eastAsia="仿宋_GB2312;仿宋" w:hAnsi="Arial" w:cs="Arial"/>
                <w:sz w:val="28"/>
                <w:szCs w:val="28"/>
              </w:rPr>
            </w:pPr>
            <w:r>
              <w:rPr>
                <w:rFonts w:ascii="Arial" w:eastAsia="Arial" w:hAnsi="Arial" w:cs="Arial"/>
                <w:sz w:val="28"/>
                <w:szCs w:val="28"/>
              </w:rPr>
              <w:t xml:space="preserve"> </w:t>
            </w:r>
            <w:r>
              <w:rPr>
                <w:rFonts w:ascii="Arial" w:eastAsia="仿宋_GB2312;仿宋" w:hAnsi="Arial" w:cs="Arial"/>
                <w:sz w:val="28"/>
                <w:szCs w:val="28"/>
              </w:rPr>
              <w:t>——</w:t>
            </w:r>
          </w:p>
        </w:tc>
      </w:tr>
      <w:tr w:rsidR="00E70101" w14:paraId="0AA7EDA4" w14:textId="77777777">
        <w:trPr>
          <w:trHeight w:val="454"/>
          <w:jc w:val="center"/>
        </w:trPr>
        <w:tc>
          <w:tcPr>
            <w:tcW w:w="890" w:type="dxa"/>
            <w:tcBorders>
              <w:left w:val="single" w:sz="4" w:space="0" w:color="000000"/>
              <w:bottom w:val="single" w:sz="4" w:space="0" w:color="000000"/>
            </w:tcBorders>
            <w:shd w:val="clear" w:color="auto" w:fill="auto"/>
            <w:vAlign w:val="center"/>
          </w:tcPr>
          <w:p w14:paraId="7DFE961F"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4" w:type="dxa"/>
            <w:tcBorders>
              <w:left w:val="single" w:sz="4" w:space="0" w:color="000000"/>
              <w:bottom w:val="single" w:sz="4" w:space="0" w:color="000000"/>
            </w:tcBorders>
            <w:shd w:val="clear" w:color="auto" w:fill="auto"/>
            <w:vAlign w:val="center"/>
          </w:tcPr>
          <w:p w14:paraId="2AD22EDB"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2108" w:type="dxa"/>
            <w:tcBorders>
              <w:left w:val="single" w:sz="4" w:space="0" w:color="000000"/>
              <w:bottom w:val="single" w:sz="4" w:space="0" w:color="000000"/>
            </w:tcBorders>
            <w:shd w:val="clear" w:color="auto" w:fill="auto"/>
            <w:vAlign w:val="center"/>
          </w:tcPr>
          <w:p w14:paraId="5C5C4A51"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156654</w:t>
            </w:r>
          </w:p>
        </w:tc>
        <w:tc>
          <w:tcPr>
            <w:tcW w:w="3226" w:type="dxa"/>
            <w:tcBorders>
              <w:left w:val="single" w:sz="4" w:space="0" w:color="000000"/>
              <w:bottom w:val="single" w:sz="4" w:space="0" w:color="000000"/>
              <w:right w:val="single" w:sz="4" w:space="0" w:color="000000"/>
            </w:tcBorders>
            <w:shd w:val="clear" w:color="auto" w:fill="auto"/>
            <w:vAlign w:val="center"/>
          </w:tcPr>
          <w:p w14:paraId="5B9BFF8F"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67545423" w14:textId="77777777" w:rsidR="00E70101" w:rsidRDefault="0060680B">
      <w:pPr>
        <w:spacing w:before="120" w:line="360" w:lineRule="auto"/>
        <w:ind w:firstLine="700"/>
        <w:jc w:val="both"/>
        <w:rPr>
          <w:rFonts w:ascii="Arial" w:eastAsia="仿宋_GB2312;仿宋" w:hAnsi="Arial" w:cs="Arial"/>
          <w:sz w:val="28"/>
        </w:rPr>
      </w:pPr>
      <w:r>
        <w:rPr>
          <w:rFonts w:ascii="Arial" w:eastAsia="仿宋_GB2312;仿宋" w:hAnsi="Arial" w:cs="Arial"/>
          <w:kern w:val="2"/>
          <w:sz w:val="28"/>
        </w:rPr>
        <w:t>详见《土地咨询结果一览表》</w:t>
      </w:r>
    </w:p>
    <w:p w14:paraId="292CBF5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注：其中土地使用权价格测算各方法权重的确定详见《土地咨询技术报告》中咨询方法估算过程一节。</w:t>
      </w:r>
    </w:p>
    <w:p w14:paraId="34B48940" w14:textId="77777777" w:rsidR="00E70101" w:rsidRDefault="00E70101">
      <w:pPr>
        <w:spacing w:line="360" w:lineRule="auto"/>
        <w:rPr>
          <w:rFonts w:ascii="Arial" w:eastAsia="仿宋_GB2312;仿宋" w:hAnsi="Arial" w:cs="Arial"/>
          <w:sz w:val="28"/>
        </w:rPr>
      </w:pPr>
    </w:p>
    <w:p w14:paraId="0D023BA3" w14:textId="77777777" w:rsidR="00E70101" w:rsidRDefault="0060680B">
      <w:pPr>
        <w:spacing w:line="360" w:lineRule="auto"/>
        <w:outlineLvl w:val="1"/>
        <w:rPr>
          <w:rFonts w:ascii="Arial" w:eastAsia="仿宋_GB2312;仿宋" w:hAnsi="Arial" w:cs="Arial"/>
          <w:b/>
          <w:sz w:val="28"/>
        </w:rPr>
      </w:pPr>
      <w:bookmarkStart w:id="8" w:name="__RefHeading___Toc469066136"/>
      <w:r>
        <w:rPr>
          <w:rFonts w:ascii="Arial" w:eastAsia="仿宋_GB2312;仿宋" w:hAnsi="Arial" w:cs="Arial"/>
          <w:b/>
          <w:sz w:val="28"/>
        </w:rPr>
        <w:t>八、</w:t>
      </w:r>
      <w:bookmarkEnd w:id="8"/>
      <w:r>
        <w:rPr>
          <w:rFonts w:ascii="Arial" w:eastAsia="仿宋_GB2312;仿宋" w:hAnsi="Arial" w:cs="Arial"/>
          <w:b/>
          <w:sz w:val="28"/>
        </w:rPr>
        <w:t>受托单位</w:t>
      </w:r>
    </w:p>
    <w:p w14:paraId="29B69875" w14:textId="77777777" w:rsidR="00E70101" w:rsidRDefault="00E70101">
      <w:pPr>
        <w:spacing w:line="360" w:lineRule="auto"/>
        <w:outlineLvl w:val="1"/>
        <w:rPr>
          <w:rFonts w:ascii="Arial" w:eastAsia="仿宋_GB2312;仿宋" w:hAnsi="Arial" w:cs="Arial"/>
          <w:b/>
          <w:sz w:val="28"/>
        </w:rPr>
      </w:pPr>
    </w:p>
    <w:p w14:paraId="5D039BD7" w14:textId="77777777" w:rsidR="00E70101" w:rsidRDefault="00E70101">
      <w:pPr>
        <w:spacing w:line="360" w:lineRule="auto"/>
        <w:outlineLvl w:val="1"/>
        <w:rPr>
          <w:rFonts w:ascii="Arial" w:eastAsia="仿宋_GB2312;仿宋" w:hAnsi="Arial" w:cs="Arial"/>
          <w:b/>
          <w:sz w:val="28"/>
        </w:rPr>
      </w:pPr>
    </w:p>
    <w:p w14:paraId="6E7E710D" w14:textId="77777777" w:rsidR="00E70101" w:rsidRDefault="0060680B">
      <w:pPr>
        <w:spacing w:line="360" w:lineRule="auto"/>
        <w:rPr>
          <w:rFonts w:eastAsia="仿宋_GB2312;仿宋"/>
        </w:rPr>
      </w:pPr>
      <w:r>
        <w:rPr>
          <w:rFonts w:ascii="Arial" w:eastAsia="Arial" w:hAnsi="Arial" w:cs="Arial"/>
          <w:sz w:val="28"/>
        </w:rPr>
        <w:t xml:space="preserve"> </w:t>
      </w:r>
    </w:p>
    <w:p w14:paraId="03C3F9C9" w14:textId="77777777" w:rsidR="00E70101" w:rsidRDefault="0060680B">
      <w:pPr>
        <w:tabs>
          <w:tab w:val="left" w:pos="6156"/>
        </w:tabs>
        <w:spacing w:line="360" w:lineRule="auto"/>
        <w:rPr>
          <w:rFonts w:cs="Arial"/>
        </w:rPr>
      </w:pPr>
      <w:r>
        <w:rPr>
          <w:rFonts w:ascii="Arial" w:eastAsia="仿宋_GB2312;仿宋" w:hAnsi="Arial" w:cs="Arial"/>
          <w:sz w:val="28"/>
        </w:rPr>
        <w:t xml:space="preserve">                              </w:t>
      </w:r>
      <w:r>
        <w:rPr>
          <w:rFonts w:ascii="Arial" w:eastAsia="仿宋_GB2312;仿宋" w:hAnsi="Arial" w:cs="Arial"/>
          <w:sz w:val="28"/>
        </w:rPr>
        <w:tab/>
      </w:r>
    </w:p>
    <w:tbl>
      <w:tblPr>
        <w:tblW w:w="4445" w:type="dxa"/>
        <w:jc w:val="right"/>
        <w:tblCellMar>
          <w:top w:w="28" w:type="dxa"/>
          <w:left w:w="85" w:type="dxa"/>
          <w:bottom w:w="28" w:type="dxa"/>
          <w:right w:w="85" w:type="dxa"/>
        </w:tblCellMar>
        <w:tblLook w:val="0000" w:firstRow="0" w:lastRow="0" w:firstColumn="0" w:lastColumn="0" w:noHBand="0" w:noVBand="0"/>
      </w:tblPr>
      <w:tblGrid>
        <w:gridCol w:w="4445"/>
      </w:tblGrid>
      <w:tr w:rsidR="00E70101" w14:paraId="3EF26BCB" w14:textId="77777777">
        <w:trPr>
          <w:jc w:val="right"/>
        </w:trPr>
        <w:tc>
          <w:tcPr>
            <w:tcW w:w="4445" w:type="dxa"/>
            <w:shd w:val="clear" w:color="auto" w:fill="auto"/>
          </w:tcPr>
          <w:p w14:paraId="10524374" w14:textId="77777777" w:rsidR="00E70101" w:rsidRDefault="0060680B">
            <w:pPr>
              <w:spacing w:line="360" w:lineRule="auto"/>
              <w:rPr>
                <w:rFonts w:ascii="Arial" w:eastAsia="仿宋_GB2312;仿宋" w:hAnsi="Arial" w:cs="Arial"/>
                <w:sz w:val="28"/>
                <w:szCs w:val="21"/>
              </w:rPr>
            </w:pPr>
            <w:r>
              <w:rPr>
                <w:rFonts w:ascii="Arial" w:eastAsia="仿宋_GB2312;仿宋" w:hAnsi="Arial" w:cs="Arial"/>
                <w:sz w:val="28"/>
                <w:szCs w:val="21"/>
              </w:rPr>
              <w:t>北京康正宏基房地产评估有限公司</w:t>
            </w:r>
          </w:p>
        </w:tc>
      </w:tr>
      <w:tr w:rsidR="00E70101" w14:paraId="1F37EE22" w14:textId="77777777">
        <w:trPr>
          <w:trHeight w:val="1431"/>
          <w:jc w:val="right"/>
        </w:trPr>
        <w:tc>
          <w:tcPr>
            <w:tcW w:w="4445" w:type="dxa"/>
            <w:shd w:val="clear" w:color="auto" w:fill="auto"/>
          </w:tcPr>
          <w:p w14:paraId="751E1C7D" w14:textId="77777777" w:rsidR="00E70101" w:rsidRDefault="0060680B">
            <w:pPr>
              <w:spacing w:line="480" w:lineRule="auto"/>
              <w:rPr>
                <w:rFonts w:ascii="Arial" w:eastAsia="仿宋_GB2312;仿宋" w:hAnsi="Arial" w:cs="Arial"/>
                <w:sz w:val="28"/>
                <w:szCs w:val="21"/>
              </w:rPr>
            </w:pPr>
            <w:r>
              <w:rPr>
                <w:rFonts w:ascii="Arial" w:eastAsia="仿宋_GB2312;仿宋" w:hAnsi="Arial" w:cs="Arial"/>
                <w:sz w:val="28"/>
                <w:szCs w:val="21"/>
              </w:rPr>
              <w:t>法定代表人：</w:t>
            </w:r>
          </w:p>
        </w:tc>
      </w:tr>
      <w:tr w:rsidR="00E70101" w14:paraId="77CF0C5F" w14:textId="77777777">
        <w:trPr>
          <w:cantSplit/>
          <w:jc w:val="right"/>
        </w:trPr>
        <w:tc>
          <w:tcPr>
            <w:tcW w:w="4445" w:type="dxa"/>
            <w:shd w:val="clear" w:color="auto" w:fill="auto"/>
          </w:tcPr>
          <w:p w14:paraId="3FB7589B" w14:textId="77777777" w:rsidR="00E70101" w:rsidRDefault="0060680B">
            <w:pPr>
              <w:spacing w:line="240" w:lineRule="auto"/>
              <w:jc w:val="right"/>
              <w:rPr>
                <w:rFonts w:ascii="Arial" w:eastAsia="仿宋_GB2312;仿宋" w:hAnsi="Arial" w:cs="Arial"/>
                <w:sz w:val="28"/>
                <w:szCs w:val="21"/>
              </w:rPr>
            </w:pPr>
            <w:r>
              <w:rPr>
                <w:rFonts w:ascii="Arial" w:eastAsia="仿宋_GB2312;仿宋" w:hAnsi="Arial" w:cs="Arial"/>
                <w:sz w:val="28"/>
                <w:szCs w:val="21"/>
              </w:rPr>
              <w:t>二〇二四年四月二日</w:t>
            </w:r>
          </w:p>
        </w:tc>
      </w:tr>
    </w:tbl>
    <w:p w14:paraId="5D1A7F16" w14:textId="77777777" w:rsidR="00E70101" w:rsidRDefault="00E70101">
      <w:pPr>
        <w:spacing w:line="360" w:lineRule="auto"/>
        <w:rPr>
          <w:rFonts w:ascii="Arial" w:eastAsia="仿宋_GB2312;仿宋" w:hAnsi="Arial" w:cs="Arial"/>
          <w:sz w:val="28"/>
        </w:rPr>
      </w:pPr>
    </w:p>
    <w:p w14:paraId="5C8A6275" w14:textId="77777777" w:rsidR="00E70101" w:rsidRDefault="00E70101">
      <w:pPr>
        <w:spacing w:line="360" w:lineRule="auto"/>
        <w:ind w:firstLine="4480"/>
        <w:jc w:val="right"/>
        <w:rPr>
          <w:rFonts w:ascii="Arial" w:eastAsia="仿宋_GB2312;仿宋" w:hAnsi="Arial" w:cs="Arial"/>
          <w:sz w:val="28"/>
        </w:rPr>
        <w:sectPr w:rsidR="00E70101">
          <w:headerReference w:type="default" r:id="rId15"/>
          <w:footerReference w:type="default" r:id="rId16"/>
          <w:headerReference w:type="first" r:id="rId17"/>
          <w:footerReference w:type="first" r:id="rId18"/>
          <w:pgSz w:w="11906" w:h="16838"/>
          <w:pgMar w:top="1843" w:right="1134" w:bottom="1134" w:left="1474" w:header="1134" w:footer="907" w:gutter="0"/>
          <w:pgNumType w:start="1"/>
          <w:cols w:space="720"/>
          <w:formProt w:val="0"/>
          <w:titlePg/>
          <w:docGrid w:linePitch="326"/>
        </w:sectPr>
      </w:pPr>
    </w:p>
    <w:p w14:paraId="43EFF8D2" w14:textId="77777777" w:rsidR="00E70101" w:rsidRDefault="0060680B">
      <w:pPr>
        <w:spacing w:line="240" w:lineRule="auto"/>
        <w:outlineLvl w:val="1"/>
      </w:pPr>
      <w:bookmarkStart w:id="9" w:name="__RefHeading___Toc469066137"/>
      <w:bookmarkEnd w:id="9"/>
      <w:r>
        <w:rPr>
          <w:rFonts w:ascii="Arial" w:eastAsia="仿宋_GB2312;仿宋" w:hAnsi="Arial" w:cs="Arial"/>
          <w:bCs/>
          <w:sz w:val="28"/>
        </w:rPr>
        <w:t>附</w:t>
      </w:r>
      <w:r>
        <w:rPr>
          <w:rFonts w:ascii="Arial" w:eastAsia="Arial" w:hAnsi="Arial" w:cs="Arial"/>
          <w:b/>
          <w:sz w:val="28"/>
        </w:rPr>
        <w:t xml:space="preserve">                                           </w:t>
      </w:r>
      <w:r>
        <w:rPr>
          <w:rFonts w:ascii="Arial" w:eastAsia="仿宋_GB2312;仿宋" w:hAnsi="Arial" w:cs="Arial"/>
          <w:b/>
          <w:sz w:val="28"/>
        </w:rPr>
        <w:t>咨询结果一览表</w:t>
      </w:r>
    </w:p>
    <w:p w14:paraId="682973B7" w14:textId="77777777" w:rsidR="00E70101" w:rsidRDefault="0060680B">
      <w:pPr>
        <w:spacing w:line="240" w:lineRule="auto"/>
        <w:rPr>
          <w:rFonts w:cs="Arial"/>
        </w:rPr>
      </w:pPr>
      <w:r>
        <w:rPr>
          <w:rFonts w:ascii="Arial" w:eastAsia="仿宋_GB2312;仿宋" w:hAnsi="Arial" w:cs="Arial"/>
          <w:bCs/>
          <w:sz w:val="18"/>
        </w:rPr>
        <w:t>受托单位：北京康正宏基房地产评估有限公司</w:t>
      </w:r>
      <w:r>
        <w:rPr>
          <w:rFonts w:ascii="Arial" w:eastAsia="仿宋_GB2312;仿宋" w:hAnsi="Arial" w:cs="Arial"/>
          <w:bCs/>
          <w:sz w:val="18"/>
        </w:rPr>
        <w:t xml:space="preserve">   </w:t>
      </w:r>
      <w:r>
        <w:rPr>
          <w:rFonts w:ascii="Arial" w:eastAsia="仿宋_GB2312;仿宋" w:hAnsi="Arial" w:cs="Arial"/>
          <w:bCs/>
          <w:sz w:val="18"/>
        </w:rPr>
        <w:t>咨询报告编号：康正评字</w:t>
      </w:r>
      <w:r>
        <w:rPr>
          <w:rFonts w:ascii="Arial" w:eastAsia="仿宋_GB2312;仿宋" w:hAnsi="Arial" w:cs="Arial"/>
          <w:bCs/>
          <w:sz w:val="18"/>
        </w:rPr>
        <w:t>2024-1-0271-F01SGCB6</w:t>
      </w:r>
      <w:r>
        <w:rPr>
          <w:rFonts w:ascii="Arial" w:eastAsia="仿宋_GB2312;仿宋" w:hAnsi="Arial" w:cs="Arial"/>
          <w:bCs/>
          <w:sz w:val="18"/>
        </w:rPr>
        <w:t>号</w:t>
      </w:r>
      <w:r>
        <w:rPr>
          <w:rFonts w:ascii="Arial" w:eastAsia="仿宋_GB2312;仿宋" w:hAnsi="Arial" w:cs="Arial"/>
          <w:bCs/>
          <w:sz w:val="18"/>
        </w:rPr>
        <w:t xml:space="preserve">   </w:t>
      </w:r>
      <w:r>
        <w:rPr>
          <w:rFonts w:ascii="Arial" w:eastAsia="仿宋_GB2312;仿宋" w:hAnsi="Arial" w:cs="Arial"/>
          <w:bCs/>
          <w:sz w:val="18"/>
        </w:rPr>
        <w:t>咨询期日：</w:t>
      </w:r>
      <w:r>
        <w:rPr>
          <w:rFonts w:ascii="Arial" w:eastAsia="仿宋_GB2312;仿宋" w:hAnsi="Arial" w:cs="Arial"/>
          <w:bCs/>
          <w:sz w:val="18"/>
        </w:rPr>
        <w:t>2023</w:t>
      </w:r>
      <w:r>
        <w:rPr>
          <w:rFonts w:ascii="Arial" w:eastAsia="仿宋_GB2312;仿宋" w:hAnsi="Arial" w:cs="Arial"/>
          <w:bCs/>
          <w:sz w:val="18"/>
        </w:rPr>
        <w:t>年</w:t>
      </w:r>
      <w:r>
        <w:rPr>
          <w:rFonts w:ascii="Arial" w:eastAsia="仿宋_GB2312;仿宋" w:hAnsi="Arial" w:cs="Arial"/>
          <w:bCs/>
          <w:sz w:val="18"/>
        </w:rPr>
        <w:t>9</w:t>
      </w:r>
      <w:r>
        <w:rPr>
          <w:rFonts w:ascii="Arial" w:eastAsia="仿宋_GB2312;仿宋" w:hAnsi="Arial" w:cs="Arial"/>
          <w:bCs/>
          <w:sz w:val="18"/>
        </w:rPr>
        <w:t>月</w:t>
      </w:r>
      <w:r>
        <w:rPr>
          <w:rFonts w:ascii="Arial" w:eastAsia="仿宋_GB2312;仿宋" w:hAnsi="Arial" w:cs="Arial"/>
          <w:bCs/>
          <w:sz w:val="18"/>
        </w:rPr>
        <w:t>4</w:t>
      </w:r>
      <w:r>
        <w:rPr>
          <w:rFonts w:ascii="Arial" w:eastAsia="仿宋_GB2312;仿宋" w:hAnsi="Arial" w:cs="Arial"/>
          <w:bCs/>
          <w:sz w:val="18"/>
        </w:rPr>
        <w:t>日</w:t>
      </w:r>
      <w:r>
        <w:rPr>
          <w:rFonts w:ascii="Arial" w:eastAsia="仿宋_GB2312;仿宋" w:hAnsi="Arial" w:cs="Arial"/>
          <w:bCs/>
          <w:sz w:val="18"/>
        </w:rPr>
        <w:t xml:space="preserve">   </w:t>
      </w:r>
      <w:r>
        <w:rPr>
          <w:rFonts w:ascii="Arial" w:eastAsia="仿宋_GB2312;仿宋" w:hAnsi="Arial" w:cs="Arial"/>
          <w:bCs/>
          <w:sz w:val="18"/>
        </w:rPr>
        <w:t>咨询期日的国有建设用地使用权性质：划拨</w:t>
      </w:r>
    </w:p>
    <w:tbl>
      <w:tblPr>
        <w:tblW w:w="14479" w:type="dxa"/>
        <w:tblLook w:val="0000" w:firstRow="0" w:lastRow="0" w:firstColumn="0" w:lastColumn="0" w:noHBand="0" w:noVBand="0"/>
      </w:tblPr>
      <w:tblGrid>
        <w:gridCol w:w="709"/>
        <w:gridCol w:w="567"/>
        <w:gridCol w:w="709"/>
        <w:gridCol w:w="567"/>
        <w:gridCol w:w="425"/>
        <w:gridCol w:w="425"/>
        <w:gridCol w:w="426"/>
        <w:gridCol w:w="425"/>
        <w:gridCol w:w="567"/>
        <w:gridCol w:w="425"/>
        <w:gridCol w:w="1843"/>
        <w:gridCol w:w="1843"/>
        <w:gridCol w:w="1275"/>
        <w:gridCol w:w="993"/>
        <w:gridCol w:w="1275"/>
        <w:gridCol w:w="2005"/>
      </w:tblGrid>
      <w:tr w:rsidR="00E70101" w14:paraId="0537EA0C" w14:textId="77777777">
        <w:trPr>
          <w:trHeight w:val="255"/>
        </w:trPr>
        <w:tc>
          <w:tcPr>
            <w:tcW w:w="709" w:type="dxa"/>
            <w:vMerge w:val="restart"/>
            <w:tcBorders>
              <w:top w:val="single" w:sz="8" w:space="0" w:color="000000"/>
              <w:left w:val="single" w:sz="8" w:space="0" w:color="000000"/>
              <w:bottom w:val="single" w:sz="6" w:space="0" w:color="000000"/>
            </w:tcBorders>
            <w:shd w:val="clear" w:color="auto" w:fill="auto"/>
            <w:vAlign w:val="center"/>
          </w:tcPr>
          <w:p w14:paraId="1949351C" w14:textId="77777777" w:rsidR="00E70101" w:rsidRDefault="0060680B">
            <w:pPr>
              <w:spacing w:line="240" w:lineRule="auto"/>
              <w:jc w:val="center"/>
            </w:pPr>
            <w:r>
              <w:rPr>
                <w:rFonts w:ascii="Arial" w:eastAsia="仿宋_GB2312;仿宋" w:hAnsi="Arial" w:cs="Arial"/>
                <w:sz w:val="18"/>
                <w:szCs w:val="18"/>
              </w:rPr>
              <w:t>咨询期日的土地使用者</w:t>
            </w:r>
          </w:p>
        </w:tc>
        <w:tc>
          <w:tcPr>
            <w:tcW w:w="567" w:type="dxa"/>
            <w:vMerge w:val="restart"/>
            <w:tcBorders>
              <w:top w:val="single" w:sz="8" w:space="0" w:color="000000"/>
              <w:left w:val="single" w:sz="6" w:space="0" w:color="000000"/>
              <w:bottom w:val="single" w:sz="6" w:space="0" w:color="000000"/>
            </w:tcBorders>
            <w:shd w:val="clear" w:color="auto" w:fill="auto"/>
            <w:vAlign w:val="center"/>
          </w:tcPr>
          <w:p w14:paraId="28872FCA"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宗地编号</w:t>
            </w:r>
          </w:p>
        </w:tc>
        <w:tc>
          <w:tcPr>
            <w:tcW w:w="709" w:type="dxa"/>
            <w:vMerge w:val="restart"/>
            <w:tcBorders>
              <w:top w:val="single" w:sz="8" w:space="0" w:color="000000"/>
              <w:left w:val="single" w:sz="6" w:space="0" w:color="000000"/>
              <w:bottom w:val="single" w:sz="6" w:space="0" w:color="000000"/>
            </w:tcBorders>
            <w:shd w:val="clear" w:color="auto" w:fill="auto"/>
            <w:vAlign w:val="center"/>
          </w:tcPr>
          <w:p w14:paraId="65413032"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宗地名称</w:t>
            </w:r>
          </w:p>
        </w:tc>
        <w:tc>
          <w:tcPr>
            <w:tcW w:w="567" w:type="dxa"/>
            <w:vMerge w:val="restart"/>
            <w:tcBorders>
              <w:top w:val="single" w:sz="8" w:space="0" w:color="000000"/>
              <w:left w:val="single" w:sz="6" w:space="0" w:color="000000"/>
              <w:bottom w:val="single" w:sz="6" w:space="0" w:color="000000"/>
            </w:tcBorders>
            <w:shd w:val="clear" w:color="auto" w:fill="auto"/>
            <w:vAlign w:val="center"/>
          </w:tcPr>
          <w:p w14:paraId="10E2E9E0"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土地使用证编号</w:t>
            </w:r>
          </w:p>
        </w:tc>
        <w:tc>
          <w:tcPr>
            <w:tcW w:w="1276" w:type="dxa"/>
            <w:gridSpan w:val="3"/>
            <w:tcBorders>
              <w:top w:val="single" w:sz="8" w:space="0" w:color="000000"/>
              <w:left w:val="single" w:sz="6" w:space="0" w:color="000000"/>
              <w:bottom w:val="single" w:sz="6" w:space="0" w:color="000000"/>
            </w:tcBorders>
            <w:shd w:val="clear" w:color="auto" w:fill="auto"/>
            <w:vAlign w:val="center"/>
          </w:tcPr>
          <w:p w14:paraId="6C32E594" w14:textId="77777777" w:rsidR="00E70101" w:rsidRDefault="0060680B">
            <w:pPr>
              <w:widowControl/>
              <w:spacing w:line="240" w:lineRule="auto"/>
              <w:jc w:val="center"/>
            </w:pPr>
            <w:r>
              <w:rPr>
                <w:rFonts w:ascii="Arial" w:eastAsia="仿宋_GB2312;仿宋" w:hAnsi="Arial" w:cs="Arial"/>
                <w:sz w:val="18"/>
                <w:szCs w:val="18"/>
              </w:rPr>
              <w:t>咨询期日的用途</w:t>
            </w:r>
          </w:p>
        </w:tc>
        <w:tc>
          <w:tcPr>
            <w:tcW w:w="1417" w:type="dxa"/>
            <w:gridSpan w:val="3"/>
            <w:tcBorders>
              <w:top w:val="single" w:sz="8" w:space="0" w:color="000000"/>
              <w:left w:val="single" w:sz="6" w:space="0" w:color="000000"/>
              <w:bottom w:val="single" w:sz="6" w:space="0" w:color="000000"/>
            </w:tcBorders>
            <w:shd w:val="clear" w:color="auto" w:fill="auto"/>
            <w:vAlign w:val="center"/>
          </w:tcPr>
          <w:p w14:paraId="779E493C"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容积率</w:t>
            </w:r>
          </w:p>
        </w:tc>
        <w:tc>
          <w:tcPr>
            <w:tcW w:w="1843" w:type="dxa"/>
            <w:vMerge w:val="restart"/>
            <w:tcBorders>
              <w:top w:val="single" w:sz="8" w:space="0" w:color="000000"/>
              <w:left w:val="single" w:sz="6" w:space="0" w:color="000000"/>
              <w:bottom w:val="single" w:sz="6" w:space="0" w:color="000000"/>
            </w:tcBorders>
            <w:shd w:val="clear" w:color="auto" w:fill="auto"/>
            <w:vAlign w:val="center"/>
          </w:tcPr>
          <w:p w14:paraId="0E6C8759" w14:textId="77777777" w:rsidR="00E70101" w:rsidRDefault="0060680B">
            <w:pPr>
              <w:spacing w:line="240" w:lineRule="auto"/>
              <w:jc w:val="center"/>
            </w:pPr>
            <w:r>
              <w:rPr>
                <w:rFonts w:ascii="Arial" w:eastAsia="仿宋_GB2312;仿宋" w:hAnsi="Arial" w:cs="Arial"/>
                <w:sz w:val="18"/>
                <w:szCs w:val="18"/>
              </w:rPr>
              <w:t>咨询期日实际土地开发程度</w:t>
            </w:r>
          </w:p>
        </w:tc>
        <w:tc>
          <w:tcPr>
            <w:tcW w:w="1843" w:type="dxa"/>
            <w:vMerge w:val="restart"/>
            <w:tcBorders>
              <w:top w:val="single" w:sz="8" w:space="0" w:color="000000"/>
              <w:left w:val="single" w:sz="6" w:space="0" w:color="000000"/>
              <w:bottom w:val="single" w:sz="6" w:space="0" w:color="000000"/>
            </w:tcBorders>
            <w:shd w:val="clear" w:color="auto" w:fill="auto"/>
            <w:vAlign w:val="center"/>
          </w:tcPr>
          <w:p w14:paraId="7491213E" w14:textId="77777777" w:rsidR="00E70101" w:rsidRDefault="0060680B">
            <w:pPr>
              <w:spacing w:line="240" w:lineRule="auto"/>
              <w:jc w:val="center"/>
            </w:pPr>
            <w:r>
              <w:rPr>
                <w:rFonts w:ascii="Arial" w:eastAsia="仿宋_GB2312;仿宋" w:hAnsi="Arial" w:cs="Arial"/>
                <w:sz w:val="18"/>
                <w:szCs w:val="18"/>
              </w:rPr>
              <w:t>咨询设定土地开发程度</w:t>
            </w:r>
          </w:p>
        </w:tc>
        <w:tc>
          <w:tcPr>
            <w:tcW w:w="1275" w:type="dxa"/>
            <w:vMerge w:val="restart"/>
            <w:tcBorders>
              <w:top w:val="single" w:sz="8" w:space="0" w:color="000000"/>
              <w:left w:val="single" w:sz="6" w:space="0" w:color="000000"/>
              <w:bottom w:val="single" w:sz="6" w:space="0" w:color="000000"/>
            </w:tcBorders>
            <w:shd w:val="clear" w:color="auto" w:fill="auto"/>
            <w:vAlign w:val="center"/>
          </w:tcPr>
          <w:p w14:paraId="7EB54566" w14:textId="77777777" w:rsidR="00E70101" w:rsidRDefault="0060680B">
            <w:pPr>
              <w:spacing w:line="240" w:lineRule="auto"/>
              <w:jc w:val="center"/>
            </w:pPr>
            <w:r>
              <w:rPr>
                <w:rFonts w:ascii="Arial" w:eastAsia="仿宋_GB2312;仿宋" w:hAnsi="Arial" w:cs="Arial"/>
                <w:sz w:val="18"/>
                <w:szCs w:val="18"/>
              </w:rPr>
              <w:t>土地补偿面积或房屋建筑面积（</w:t>
            </w:r>
            <w:r>
              <w:rPr>
                <w:rFonts w:ascii="Arial" w:hAnsi="Arial" w:cs="Arial"/>
                <w:sz w:val="18"/>
                <w:szCs w:val="18"/>
              </w:rPr>
              <w:t>㎡</w:t>
            </w:r>
            <w:r>
              <w:rPr>
                <w:rFonts w:ascii="Arial" w:eastAsia="仿宋_GB2312;仿宋" w:hAnsi="Arial" w:cs="Arial"/>
                <w:sz w:val="18"/>
                <w:szCs w:val="18"/>
              </w:rPr>
              <w:t>）</w:t>
            </w:r>
          </w:p>
        </w:tc>
        <w:tc>
          <w:tcPr>
            <w:tcW w:w="993" w:type="dxa"/>
            <w:vMerge w:val="restart"/>
            <w:tcBorders>
              <w:top w:val="single" w:sz="8" w:space="0" w:color="000000"/>
              <w:left w:val="single" w:sz="6" w:space="0" w:color="000000"/>
              <w:bottom w:val="single" w:sz="6" w:space="0" w:color="000000"/>
            </w:tcBorders>
            <w:shd w:val="clear" w:color="auto" w:fill="auto"/>
            <w:vAlign w:val="center"/>
          </w:tcPr>
          <w:p w14:paraId="0B346041"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土地单位面积地价</w:t>
            </w:r>
          </w:p>
          <w:p w14:paraId="735D5D60" w14:textId="77777777" w:rsidR="00E70101" w:rsidRDefault="0060680B">
            <w:pPr>
              <w:spacing w:line="240" w:lineRule="auto"/>
              <w:jc w:val="center"/>
            </w:pPr>
            <w:r>
              <w:rPr>
                <w:rFonts w:ascii="Arial" w:eastAsia="仿宋_GB2312;仿宋" w:hAnsi="Arial" w:cs="Arial"/>
                <w:sz w:val="18"/>
                <w:szCs w:val="18"/>
              </w:rPr>
              <w:t>（元</w:t>
            </w:r>
            <w:r>
              <w:rPr>
                <w:rFonts w:ascii="Arial" w:eastAsia="仿宋_GB2312;仿宋" w:hAnsi="Arial" w:cs="Arial"/>
                <w:sz w:val="18"/>
                <w:szCs w:val="18"/>
              </w:rPr>
              <w:t>/</w:t>
            </w:r>
            <w:r>
              <w:rPr>
                <w:rFonts w:ascii="Arial" w:hAnsi="Arial" w:cs="Arial"/>
                <w:sz w:val="18"/>
                <w:szCs w:val="18"/>
              </w:rPr>
              <w:t>㎡</w:t>
            </w:r>
            <w:r>
              <w:rPr>
                <w:rFonts w:ascii="Arial" w:eastAsia="仿宋_GB2312;仿宋" w:hAnsi="Arial" w:cs="Arial"/>
                <w:sz w:val="18"/>
                <w:szCs w:val="18"/>
              </w:rPr>
              <w:t>）</w:t>
            </w:r>
          </w:p>
        </w:tc>
        <w:tc>
          <w:tcPr>
            <w:tcW w:w="1275" w:type="dxa"/>
            <w:vMerge w:val="restart"/>
            <w:tcBorders>
              <w:top w:val="single" w:sz="8" w:space="0" w:color="000000"/>
              <w:left w:val="single" w:sz="6" w:space="0" w:color="000000"/>
              <w:bottom w:val="single" w:sz="6" w:space="0" w:color="000000"/>
            </w:tcBorders>
            <w:shd w:val="clear" w:color="auto" w:fill="auto"/>
            <w:vAlign w:val="center"/>
          </w:tcPr>
          <w:p w14:paraId="5FD41BD1" w14:textId="77777777" w:rsidR="00E70101" w:rsidRDefault="0060680B">
            <w:pPr>
              <w:spacing w:line="240" w:lineRule="auto"/>
              <w:jc w:val="center"/>
            </w:pPr>
            <w:r>
              <w:rPr>
                <w:rFonts w:ascii="Arial" w:eastAsia="仿宋_GB2312;仿宋" w:hAnsi="Arial" w:cs="Arial"/>
                <w:sz w:val="18"/>
                <w:szCs w:val="18"/>
              </w:rPr>
              <w:t>咨询价格（万元）</w:t>
            </w:r>
          </w:p>
        </w:tc>
        <w:tc>
          <w:tcPr>
            <w:tcW w:w="2005" w:type="dxa"/>
            <w:vMerge w:val="restart"/>
            <w:tcBorders>
              <w:top w:val="single" w:sz="8" w:space="0" w:color="000000"/>
              <w:left w:val="single" w:sz="6" w:space="0" w:color="000000"/>
              <w:bottom w:val="single" w:sz="6" w:space="0" w:color="000000"/>
              <w:right w:val="single" w:sz="8" w:space="0" w:color="000000"/>
            </w:tcBorders>
            <w:shd w:val="clear" w:color="auto" w:fill="auto"/>
            <w:vAlign w:val="center"/>
          </w:tcPr>
          <w:p w14:paraId="673C0926"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备注</w:t>
            </w:r>
          </w:p>
        </w:tc>
      </w:tr>
      <w:tr w:rsidR="00E70101" w14:paraId="101D1958" w14:textId="77777777">
        <w:trPr>
          <w:trHeight w:val="814"/>
        </w:trPr>
        <w:tc>
          <w:tcPr>
            <w:tcW w:w="709" w:type="dxa"/>
            <w:vMerge/>
            <w:tcBorders>
              <w:top w:val="single" w:sz="8" w:space="0" w:color="000000"/>
              <w:left w:val="single" w:sz="8" w:space="0" w:color="000000"/>
              <w:bottom w:val="single" w:sz="6" w:space="0" w:color="000000"/>
            </w:tcBorders>
            <w:shd w:val="clear" w:color="auto" w:fill="auto"/>
            <w:vAlign w:val="center"/>
          </w:tcPr>
          <w:p w14:paraId="4D1A8FC5"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vMerge/>
            <w:tcBorders>
              <w:top w:val="single" w:sz="8" w:space="0" w:color="000000"/>
              <w:left w:val="single" w:sz="6" w:space="0" w:color="000000"/>
              <w:bottom w:val="single" w:sz="6" w:space="0" w:color="000000"/>
            </w:tcBorders>
            <w:shd w:val="clear" w:color="auto" w:fill="auto"/>
            <w:vAlign w:val="center"/>
          </w:tcPr>
          <w:p w14:paraId="0F0A685D" w14:textId="77777777" w:rsidR="00E70101" w:rsidRDefault="00E70101">
            <w:pPr>
              <w:widowControl/>
              <w:snapToGrid w:val="0"/>
              <w:spacing w:line="240" w:lineRule="auto"/>
              <w:jc w:val="center"/>
              <w:rPr>
                <w:rFonts w:ascii="Arial" w:eastAsia="仿宋_GB2312;仿宋" w:hAnsi="Arial" w:cs="Arial"/>
                <w:sz w:val="18"/>
                <w:szCs w:val="18"/>
              </w:rPr>
            </w:pPr>
          </w:p>
        </w:tc>
        <w:tc>
          <w:tcPr>
            <w:tcW w:w="709" w:type="dxa"/>
            <w:vMerge/>
            <w:tcBorders>
              <w:top w:val="single" w:sz="8" w:space="0" w:color="000000"/>
              <w:left w:val="single" w:sz="6" w:space="0" w:color="000000"/>
              <w:bottom w:val="single" w:sz="6" w:space="0" w:color="000000"/>
            </w:tcBorders>
            <w:shd w:val="clear" w:color="auto" w:fill="auto"/>
            <w:vAlign w:val="center"/>
          </w:tcPr>
          <w:p w14:paraId="1D526B90"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vMerge/>
            <w:tcBorders>
              <w:top w:val="single" w:sz="8" w:space="0" w:color="000000"/>
              <w:left w:val="single" w:sz="6" w:space="0" w:color="000000"/>
              <w:bottom w:val="single" w:sz="6" w:space="0" w:color="000000"/>
            </w:tcBorders>
            <w:shd w:val="clear" w:color="auto" w:fill="auto"/>
            <w:vAlign w:val="center"/>
          </w:tcPr>
          <w:p w14:paraId="7DF53A7E"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tcBorders>
              <w:top w:val="single" w:sz="6" w:space="0" w:color="000000"/>
              <w:left w:val="single" w:sz="6" w:space="0" w:color="000000"/>
              <w:bottom w:val="single" w:sz="6" w:space="0" w:color="000000"/>
            </w:tcBorders>
            <w:shd w:val="clear" w:color="auto" w:fill="auto"/>
            <w:vAlign w:val="center"/>
          </w:tcPr>
          <w:p w14:paraId="43D1E30B"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证载</w:t>
            </w:r>
          </w:p>
        </w:tc>
        <w:tc>
          <w:tcPr>
            <w:tcW w:w="425" w:type="dxa"/>
            <w:tcBorders>
              <w:top w:val="single" w:sz="6" w:space="0" w:color="000000"/>
              <w:left w:val="single" w:sz="6" w:space="0" w:color="000000"/>
              <w:bottom w:val="single" w:sz="6" w:space="0" w:color="000000"/>
            </w:tcBorders>
            <w:shd w:val="clear" w:color="auto" w:fill="auto"/>
            <w:vAlign w:val="center"/>
          </w:tcPr>
          <w:p w14:paraId="65FFECCB"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实际</w:t>
            </w:r>
          </w:p>
        </w:tc>
        <w:tc>
          <w:tcPr>
            <w:tcW w:w="426" w:type="dxa"/>
            <w:tcBorders>
              <w:top w:val="single" w:sz="6" w:space="0" w:color="000000"/>
              <w:left w:val="single" w:sz="6" w:space="0" w:color="000000"/>
              <w:bottom w:val="single" w:sz="6" w:space="0" w:color="000000"/>
            </w:tcBorders>
            <w:shd w:val="clear" w:color="auto" w:fill="auto"/>
            <w:vAlign w:val="center"/>
          </w:tcPr>
          <w:p w14:paraId="262C12BF"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设定</w:t>
            </w:r>
          </w:p>
        </w:tc>
        <w:tc>
          <w:tcPr>
            <w:tcW w:w="425" w:type="dxa"/>
            <w:tcBorders>
              <w:top w:val="single" w:sz="6" w:space="0" w:color="000000"/>
              <w:left w:val="single" w:sz="6" w:space="0" w:color="000000"/>
              <w:bottom w:val="single" w:sz="6" w:space="0" w:color="000000"/>
            </w:tcBorders>
            <w:shd w:val="clear" w:color="auto" w:fill="auto"/>
            <w:vAlign w:val="center"/>
          </w:tcPr>
          <w:p w14:paraId="03D7EB8D"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规划</w:t>
            </w:r>
          </w:p>
        </w:tc>
        <w:tc>
          <w:tcPr>
            <w:tcW w:w="567" w:type="dxa"/>
            <w:tcBorders>
              <w:top w:val="single" w:sz="6" w:space="0" w:color="000000"/>
              <w:left w:val="single" w:sz="6" w:space="0" w:color="000000"/>
              <w:bottom w:val="single" w:sz="6" w:space="0" w:color="000000"/>
            </w:tcBorders>
            <w:shd w:val="clear" w:color="auto" w:fill="auto"/>
            <w:vAlign w:val="center"/>
          </w:tcPr>
          <w:p w14:paraId="0D74429D"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实际</w:t>
            </w:r>
          </w:p>
        </w:tc>
        <w:tc>
          <w:tcPr>
            <w:tcW w:w="425" w:type="dxa"/>
            <w:tcBorders>
              <w:top w:val="single" w:sz="6" w:space="0" w:color="000000"/>
              <w:left w:val="single" w:sz="6" w:space="0" w:color="000000"/>
              <w:bottom w:val="single" w:sz="6" w:space="0" w:color="000000"/>
            </w:tcBorders>
            <w:shd w:val="clear" w:color="auto" w:fill="auto"/>
            <w:vAlign w:val="center"/>
          </w:tcPr>
          <w:p w14:paraId="402C31F7"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设定</w:t>
            </w:r>
          </w:p>
        </w:tc>
        <w:tc>
          <w:tcPr>
            <w:tcW w:w="1843" w:type="dxa"/>
            <w:vMerge/>
            <w:tcBorders>
              <w:top w:val="single" w:sz="8" w:space="0" w:color="000000"/>
              <w:left w:val="single" w:sz="6" w:space="0" w:color="000000"/>
              <w:bottom w:val="single" w:sz="6" w:space="0" w:color="000000"/>
            </w:tcBorders>
            <w:shd w:val="clear" w:color="auto" w:fill="auto"/>
            <w:vAlign w:val="center"/>
          </w:tcPr>
          <w:p w14:paraId="7A859BA8" w14:textId="77777777" w:rsidR="00E70101" w:rsidRDefault="00E70101">
            <w:pPr>
              <w:widowControl/>
              <w:snapToGrid w:val="0"/>
              <w:spacing w:line="240" w:lineRule="auto"/>
              <w:jc w:val="center"/>
              <w:rPr>
                <w:rFonts w:ascii="Arial" w:eastAsia="仿宋_GB2312;仿宋" w:hAnsi="Arial" w:cs="Arial"/>
                <w:sz w:val="18"/>
                <w:szCs w:val="18"/>
              </w:rPr>
            </w:pPr>
          </w:p>
        </w:tc>
        <w:tc>
          <w:tcPr>
            <w:tcW w:w="1843" w:type="dxa"/>
            <w:vMerge/>
            <w:tcBorders>
              <w:top w:val="single" w:sz="8" w:space="0" w:color="000000"/>
              <w:left w:val="single" w:sz="6" w:space="0" w:color="000000"/>
              <w:bottom w:val="single" w:sz="6" w:space="0" w:color="000000"/>
            </w:tcBorders>
            <w:shd w:val="clear" w:color="auto" w:fill="auto"/>
            <w:vAlign w:val="center"/>
          </w:tcPr>
          <w:p w14:paraId="72B16E72" w14:textId="77777777" w:rsidR="00E70101" w:rsidRDefault="00E70101">
            <w:pPr>
              <w:widowControl/>
              <w:snapToGrid w:val="0"/>
              <w:spacing w:line="240" w:lineRule="auto"/>
              <w:jc w:val="center"/>
              <w:rPr>
                <w:rFonts w:ascii="Arial" w:eastAsia="仿宋_GB2312;仿宋" w:hAnsi="Arial" w:cs="Arial"/>
                <w:sz w:val="18"/>
                <w:szCs w:val="18"/>
              </w:rPr>
            </w:pPr>
          </w:p>
        </w:tc>
        <w:tc>
          <w:tcPr>
            <w:tcW w:w="1275" w:type="dxa"/>
            <w:vMerge/>
            <w:tcBorders>
              <w:top w:val="single" w:sz="8" w:space="0" w:color="000000"/>
              <w:left w:val="single" w:sz="6" w:space="0" w:color="000000"/>
              <w:bottom w:val="single" w:sz="6" w:space="0" w:color="000000"/>
            </w:tcBorders>
            <w:shd w:val="clear" w:color="auto" w:fill="auto"/>
            <w:vAlign w:val="center"/>
          </w:tcPr>
          <w:p w14:paraId="1BE6F358" w14:textId="77777777" w:rsidR="00E70101" w:rsidRDefault="00E70101">
            <w:pPr>
              <w:widowControl/>
              <w:snapToGrid w:val="0"/>
              <w:spacing w:line="240" w:lineRule="auto"/>
              <w:jc w:val="center"/>
              <w:rPr>
                <w:rFonts w:ascii="Arial" w:eastAsia="仿宋_GB2312;仿宋" w:hAnsi="Arial" w:cs="Arial"/>
                <w:sz w:val="18"/>
                <w:szCs w:val="18"/>
              </w:rPr>
            </w:pPr>
          </w:p>
        </w:tc>
        <w:tc>
          <w:tcPr>
            <w:tcW w:w="993" w:type="dxa"/>
            <w:vMerge/>
            <w:tcBorders>
              <w:top w:val="single" w:sz="8" w:space="0" w:color="000000"/>
              <w:left w:val="single" w:sz="6" w:space="0" w:color="000000"/>
              <w:bottom w:val="single" w:sz="6" w:space="0" w:color="000000"/>
            </w:tcBorders>
            <w:shd w:val="clear" w:color="auto" w:fill="auto"/>
            <w:vAlign w:val="center"/>
          </w:tcPr>
          <w:p w14:paraId="0612280D" w14:textId="77777777" w:rsidR="00E70101" w:rsidRDefault="00E70101">
            <w:pPr>
              <w:widowControl/>
              <w:snapToGrid w:val="0"/>
              <w:spacing w:line="240" w:lineRule="auto"/>
              <w:jc w:val="center"/>
              <w:rPr>
                <w:rFonts w:ascii="Arial" w:eastAsia="仿宋_GB2312;仿宋" w:hAnsi="Arial" w:cs="Arial"/>
                <w:sz w:val="18"/>
                <w:szCs w:val="18"/>
              </w:rPr>
            </w:pPr>
          </w:p>
        </w:tc>
        <w:tc>
          <w:tcPr>
            <w:tcW w:w="1275" w:type="dxa"/>
            <w:vMerge/>
            <w:tcBorders>
              <w:top w:val="single" w:sz="8" w:space="0" w:color="000000"/>
              <w:left w:val="single" w:sz="6" w:space="0" w:color="000000"/>
              <w:bottom w:val="single" w:sz="6" w:space="0" w:color="000000"/>
            </w:tcBorders>
            <w:shd w:val="clear" w:color="auto" w:fill="auto"/>
            <w:vAlign w:val="center"/>
          </w:tcPr>
          <w:p w14:paraId="01972D3A" w14:textId="77777777" w:rsidR="00E70101" w:rsidRDefault="00E70101">
            <w:pPr>
              <w:widowControl/>
              <w:snapToGrid w:val="0"/>
              <w:spacing w:line="240" w:lineRule="auto"/>
              <w:jc w:val="center"/>
              <w:rPr>
                <w:rFonts w:ascii="Arial" w:eastAsia="仿宋_GB2312;仿宋" w:hAnsi="Arial" w:cs="Arial"/>
                <w:sz w:val="18"/>
                <w:szCs w:val="18"/>
              </w:rPr>
            </w:pPr>
          </w:p>
        </w:tc>
        <w:tc>
          <w:tcPr>
            <w:tcW w:w="2005" w:type="dxa"/>
            <w:vMerge/>
            <w:tcBorders>
              <w:top w:val="single" w:sz="8" w:space="0" w:color="000000"/>
              <w:left w:val="single" w:sz="6" w:space="0" w:color="000000"/>
              <w:bottom w:val="single" w:sz="6" w:space="0" w:color="000000"/>
              <w:right w:val="single" w:sz="8" w:space="0" w:color="000000"/>
            </w:tcBorders>
            <w:shd w:val="clear" w:color="auto" w:fill="auto"/>
            <w:vAlign w:val="center"/>
          </w:tcPr>
          <w:p w14:paraId="1FAECDE2" w14:textId="77777777" w:rsidR="00E70101" w:rsidRDefault="00E70101">
            <w:pPr>
              <w:widowControl/>
              <w:snapToGrid w:val="0"/>
              <w:spacing w:line="240" w:lineRule="auto"/>
              <w:jc w:val="center"/>
              <w:rPr>
                <w:rFonts w:ascii="Arial" w:eastAsia="仿宋_GB2312;仿宋" w:hAnsi="Arial" w:cs="Arial"/>
                <w:sz w:val="18"/>
                <w:szCs w:val="18"/>
              </w:rPr>
            </w:pPr>
          </w:p>
        </w:tc>
      </w:tr>
      <w:tr w:rsidR="00E70101" w14:paraId="0C1A750A" w14:textId="77777777">
        <w:trPr>
          <w:trHeight w:val="255"/>
        </w:trPr>
        <w:tc>
          <w:tcPr>
            <w:tcW w:w="709" w:type="dxa"/>
            <w:vMerge w:val="restart"/>
            <w:tcBorders>
              <w:top w:val="single" w:sz="6" w:space="0" w:color="000000"/>
              <w:left w:val="single" w:sz="8" w:space="0" w:color="000000"/>
              <w:bottom w:val="single" w:sz="6" w:space="0" w:color="000000"/>
            </w:tcBorders>
            <w:shd w:val="clear" w:color="auto" w:fill="auto"/>
            <w:vAlign w:val="center"/>
          </w:tcPr>
          <w:p w14:paraId="4761F376"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北京对外经贸控股有限责任公司</w:t>
            </w:r>
          </w:p>
        </w:tc>
        <w:tc>
          <w:tcPr>
            <w:tcW w:w="567" w:type="dxa"/>
            <w:vMerge w:val="restart"/>
            <w:tcBorders>
              <w:top w:val="single" w:sz="6" w:space="0" w:color="000000"/>
              <w:left w:val="single" w:sz="6" w:space="0" w:color="000000"/>
              <w:bottom w:val="single" w:sz="6" w:space="0" w:color="000000"/>
            </w:tcBorders>
            <w:shd w:val="clear" w:color="auto" w:fill="auto"/>
            <w:vAlign w:val="center"/>
          </w:tcPr>
          <w:p w14:paraId="13C5D7B0" w14:textId="77777777" w:rsidR="00E70101" w:rsidRDefault="0060680B">
            <w:pPr>
              <w:widowControl/>
              <w:spacing w:line="240" w:lineRule="auto"/>
              <w:rPr>
                <w:rFonts w:ascii="Arial" w:eastAsia="仿宋_GB2312;仿宋" w:hAnsi="Arial" w:cs="Arial"/>
                <w:sz w:val="18"/>
                <w:szCs w:val="18"/>
              </w:rPr>
            </w:pPr>
            <w:r>
              <w:rPr>
                <w:rFonts w:ascii="Arial" w:eastAsia="仿宋_GB2312;仿宋" w:hAnsi="Arial" w:cs="Arial"/>
                <w:sz w:val="18"/>
                <w:szCs w:val="18"/>
              </w:rPr>
              <w:t>-</w:t>
            </w:r>
          </w:p>
        </w:tc>
        <w:tc>
          <w:tcPr>
            <w:tcW w:w="709" w:type="dxa"/>
            <w:vMerge w:val="restart"/>
            <w:tcBorders>
              <w:top w:val="single" w:sz="6" w:space="0" w:color="000000"/>
              <w:left w:val="single" w:sz="6" w:space="0" w:color="000000"/>
              <w:bottom w:val="single" w:sz="6" w:space="0" w:color="000000"/>
            </w:tcBorders>
            <w:shd w:val="clear" w:color="auto" w:fill="auto"/>
            <w:vAlign w:val="center"/>
          </w:tcPr>
          <w:p w14:paraId="27F0469E"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北京市昌平区北七家镇八仙庄村仓储用地</w:t>
            </w:r>
          </w:p>
        </w:tc>
        <w:tc>
          <w:tcPr>
            <w:tcW w:w="567" w:type="dxa"/>
            <w:vMerge w:val="restart"/>
            <w:tcBorders>
              <w:top w:val="single" w:sz="6" w:space="0" w:color="000000"/>
              <w:left w:val="single" w:sz="6" w:space="0" w:color="000000"/>
              <w:bottom w:val="single" w:sz="6" w:space="0" w:color="000000"/>
            </w:tcBorders>
            <w:shd w:val="clear" w:color="auto" w:fill="auto"/>
            <w:vAlign w:val="center"/>
          </w:tcPr>
          <w:p w14:paraId="47D1E068"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vMerge w:val="restart"/>
            <w:tcBorders>
              <w:top w:val="single" w:sz="6" w:space="0" w:color="000000"/>
              <w:left w:val="single" w:sz="6" w:space="0" w:color="000000"/>
              <w:bottom w:val="single" w:sz="6" w:space="0" w:color="000000"/>
            </w:tcBorders>
            <w:shd w:val="clear" w:color="auto" w:fill="auto"/>
            <w:vAlign w:val="center"/>
          </w:tcPr>
          <w:p w14:paraId="599ADAC9"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仓储</w:t>
            </w:r>
          </w:p>
        </w:tc>
        <w:tc>
          <w:tcPr>
            <w:tcW w:w="425" w:type="dxa"/>
            <w:vMerge w:val="restart"/>
            <w:tcBorders>
              <w:top w:val="single" w:sz="6" w:space="0" w:color="000000"/>
              <w:left w:val="single" w:sz="6" w:space="0" w:color="000000"/>
              <w:bottom w:val="single" w:sz="6" w:space="0" w:color="000000"/>
            </w:tcBorders>
            <w:shd w:val="clear" w:color="auto" w:fill="auto"/>
            <w:vAlign w:val="center"/>
          </w:tcPr>
          <w:p w14:paraId="24C8252A"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仓储</w:t>
            </w:r>
          </w:p>
        </w:tc>
        <w:tc>
          <w:tcPr>
            <w:tcW w:w="426" w:type="dxa"/>
            <w:vMerge w:val="restart"/>
            <w:tcBorders>
              <w:top w:val="single" w:sz="6" w:space="0" w:color="000000"/>
              <w:left w:val="single" w:sz="6" w:space="0" w:color="000000"/>
              <w:bottom w:val="single" w:sz="6" w:space="0" w:color="000000"/>
            </w:tcBorders>
            <w:shd w:val="clear" w:color="auto" w:fill="auto"/>
            <w:vAlign w:val="center"/>
          </w:tcPr>
          <w:p w14:paraId="2D46956D"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仓储</w:t>
            </w:r>
          </w:p>
        </w:tc>
        <w:tc>
          <w:tcPr>
            <w:tcW w:w="425" w:type="dxa"/>
            <w:vMerge w:val="restart"/>
            <w:tcBorders>
              <w:top w:val="single" w:sz="6" w:space="0" w:color="000000"/>
              <w:left w:val="single" w:sz="6" w:space="0" w:color="000000"/>
              <w:bottom w:val="single" w:sz="6" w:space="0" w:color="000000"/>
            </w:tcBorders>
            <w:shd w:val="clear" w:color="auto" w:fill="auto"/>
            <w:vAlign w:val="center"/>
          </w:tcPr>
          <w:p w14:paraId="07DF2FEC"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567" w:type="dxa"/>
            <w:tcBorders>
              <w:top w:val="single" w:sz="6" w:space="0" w:color="000000"/>
              <w:left w:val="single" w:sz="6" w:space="0" w:color="000000"/>
              <w:bottom w:val="single" w:sz="6" w:space="0" w:color="000000"/>
            </w:tcBorders>
            <w:shd w:val="clear" w:color="auto" w:fill="auto"/>
            <w:vAlign w:val="center"/>
          </w:tcPr>
          <w:p w14:paraId="183E227D"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1</w:t>
            </w:r>
          </w:p>
        </w:tc>
        <w:tc>
          <w:tcPr>
            <w:tcW w:w="425" w:type="dxa"/>
            <w:tcBorders>
              <w:top w:val="single" w:sz="6" w:space="0" w:color="000000"/>
              <w:left w:val="single" w:sz="6" w:space="0" w:color="000000"/>
              <w:bottom w:val="single" w:sz="6" w:space="0" w:color="000000"/>
            </w:tcBorders>
            <w:shd w:val="clear" w:color="auto" w:fill="auto"/>
            <w:vAlign w:val="center"/>
          </w:tcPr>
          <w:p w14:paraId="22BDE044"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1</w:t>
            </w:r>
          </w:p>
        </w:tc>
        <w:tc>
          <w:tcPr>
            <w:tcW w:w="1843" w:type="dxa"/>
            <w:tcBorders>
              <w:top w:val="single" w:sz="6" w:space="0" w:color="000000"/>
              <w:left w:val="single" w:sz="6" w:space="0" w:color="000000"/>
              <w:bottom w:val="single" w:sz="6" w:space="0" w:color="000000"/>
            </w:tcBorders>
            <w:shd w:val="clear" w:color="auto" w:fill="auto"/>
            <w:vAlign w:val="center"/>
          </w:tcPr>
          <w:p w14:paraId="695155C9"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宗地红线外</w:t>
            </w:r>
            <w:r>
              <w:rPr>
                <w:rFonts w:ascii="Arial" w:eastAsia="仿宋_GB2312;仿宋" w:hAnsi="Arial" w:cs="Arial"/>
                <w:sz w:val="18"/>
                <w:szCs w:val="18"/>
              </w:rPr>
              <w:t>“</w:t>
            </w:r>
            <w:r>
              <w:rPr>
                <w:rFonts w:ascii="Arial" w:eastAsia="仿宋_GB2312;仿宋" w:hAnsi="Arial" w:cs="Arial"/>
                <w:sz w:val="18"/>
                <w:szCs w:val="18"/>
              </w:rPr>
              <w:t>七通</w:t>
            </w:r>
            <w:r>
              <w:rPr>
                <w:rFonts w:ascii="Arial" w:eastAsia="仿宋_GB2312;仿宋" w:hAnsi="Arial" w:cs="Arial"/>
                <w:sz w:val="18"/>
                <w:szCs w:val="18"/>
              </w:rPr>
              <w:t>”</w:t>
            </w:r>
            <w:r>
              <w:rPr>
                <w:rFonts w:ascii="Arial" w:eastAsia="仿宋_GB2312;仿宋" w:hAnsi="Arial" w:cs="Arial"/>
                <w:sz w:val="18"/>
                <w:szCs w:val="18"/>
              </w:rPr>
              <w:t>（通路、通电、通讯、通上水、通下水、通燃气、通热），宗地红线内</w:t>
            </w:r>
            <w:r>
              <w:rPr>
                <w:rFonts w:ascii="Arial" w:eastAsia="仿宋_GB2312;仿宋" w:hAnsi="Arial" w:cs="Arial"/>
                <w:sz w:val="18"/>
                <w:szCs w:val="18"/>
              </w:rPr>
              <w:t>“</w:t>
            </w:r>
            <w:r>
              <w:rPr>
                <w:rFonts w:ascii="Arial" w:eastAsia="仿宋_GB2312;仿宋" w:hAnsi="Arial" w:cs="Arial"/>
                <w:sz w:val="18"/>
                <w:szCs w:val="18"/>
              </w:rPr>
              <w:t>场地平整</w:t>
            </w: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7054EBFD" w14:textId="77777777" w:rsidR="00E70101" w:rsidRDefault="0060680B">
            <w:pPr>
              <w:widowControl/>
              <w:spacing w:line="240" w:lineRule="auto"/>
              <w:jc w:val="center"/>
            </w:pPr>
            <w:r>
              <w:rPr>
                <w:rFonts w:ascii="Arial" w:eastAsia="仿宋_GB2312;仿宋" w:hAnsi="Arial" w:cs="Arial"/>
                <w:sz w:val="18"/>
                <w:szCs w:val="18"/>
              </w:rPr>
              <w:t>宗地红线外</w:t>
            </w:r>
            <w:r>
              <w:rPr>
                <w:rFonts w:ascii="Arial" w:eastAsia="仿宋_GB2312;仿宋" w:hAnsi="Arial" w:cs="Arial"/>
                <w:sz w:val="18"/>
                <w:szCs w:val="18"/>
              </w:rPr>
              <w:t>“</w:t>
            </w:r>
            <w:r>
              <w:rPr>
                <w:rFonts w:ascii="Arial" w:eastAsia="仿宋_GB2312;仿宋" w:hAnsi="Arial" w:cs="Arial"/>
                <w:sz w:val="18"/>
                <w:szCs w:val="18"/>
              </w:rPr>
              <w:t>七通</w:t>
            </w:r>
            <w:r>
              <w:rPr>
                <w:rFonts w:ascii="Arial" w:eastAsia="仿宋_GB2312;仿宋" w:hAnsi="Arial" w:cs="Arial"/>
                <w:sz w:val="18"/>
                <w:szCs w:val="18"/>
              </w:rPr>
              <w:t>”</w:t>
            </w:r>
            <w:r>
              <w:rPr>
                <w:rFonts w:ascii="Arial" w:eastAsia="仿宋_GB2312;仿宋" w:hAnsi="Arial" w:cs="Arial"/>
                <w:sz w:val="18"/>
                <w:szCs w:val="18"/>
              </w:rPr>
              <w:t>（通路、通电、通讯、通上水、通下水、通燃气、通热），宗地红线内</w:t>
            </w:r>
            <w:r>
              <w:rPr>
                <w:rFonts w:ascii="Arial" w:eastAsia="仿宋_GB2312;仿宋" w:hAnsi="Arial" w:cs="Arial"/>
                <w:sz w:val="18"/>
                <w:szCs w:val="18"/>
              </w:rPr>
              <w:t>“</w:t>
            </w:r>
            <w:r>
              <w:rPr>
                <w:rFonts w:ascii="Arial" w:eastAsia="仿宋_GB2312;仿宋" w:hAnsi="Arial" w:cs="Arial"/>
                <w:sz w:val="18"/>
                <w:szCs w:val="18"/>
              </w:rPr>
              <w:t>场地平整</w:t>
            </w: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04EE3F4D"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370379.14</w:t>
            </w:r>
          </w:p>
        </w:tc>
        <w:tc>
          <w:tcPr>
            <w:tcW w:w="993" w:type="dxa"/>
            <w:tcBorders>
              <w:top w:val="single" w:sz="6" w:space="0" w:color="000000"/>
              <w:left w:val="single" w:sz="6" w:space="0" w:color="000000"/>
              <w:bottom w:val="single" w:sz="6" w:space="0" w:color="000000"/>
            </w:tcBorders>
            <w:shd w:val="clear" w:color="auto" w:fill="auto"/>
            <w:vAlign w:val="center"/>
          </w:tcPr>
          <w:p w14:paraId="42FF2026"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4230</w:t>
            </w:r>
          </w:p>
        </w:tc>
        <w:tc>
          <w:tcPr>
            <w:tcW w:w="1275" w:type="dxa"/>
            <w:tcBorders>
              <w:top w:val="single" w:sz="6" w:space="0" w:color="000000"/>
              <w:left w:val="single" w:sz="6" w:space="0" w:color="000000"/>
              <w:bottom w:val="single" w:sz="6" w:space="0" w:color="000000"/>
            </w:tcBorders>
            <w:shd w:val="clear" w:color="auto" w:fill="auto"/>
            <w:vAlign w:val="center"/>
          </w:tcPr>
          <w:p w14:paraId="50812DF7"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156654</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06CD469C"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土地使用权价格</w:t>
            </w:r>
          </w:p>
        </w:tc>
      </w:tr>
      <w:tr w:rsidR="00E70101" w14:paraId="428ADF36" w14:textId="77777777">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6E08B41B" w14:textId="77777777" w:rsidR="00E70101" w:rsidRDefault="00E70101">
            <w:pPr>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5EF267D8" w14:textId="77777777" w:rsidR="00E70101" w:rsidRDefault="00E70101">
            <w:pPr>
              <w:widowControl/>
              <w:snapToGrid w:val="0"/>
              <w:spacing w:line="240" w:lineRule="auto"/>
              <w:jc w:val="center"/>
              <w:rPr>
                <w:rFonts w:ascii="Arial" w:eastAsia="仿宋_GB2312;仿宋" w:hAnsi="Arial" w:cs="Arial"/>
                <w:sz w:val="18"/>
                <w:szCs w:val="18"/>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1486A303"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0C285FE4"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03F37158"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2D4FE355" w14:textId="77777777" w:rsidR="00E70101" w:rsidRDefault="00E70101">
            <w:pPr>
              <w:widowControl/>
              <w:snapToGrid w:val="0"/>
              <w:spacing w:line="240" w:lineRule="auto"/>
              <w:jc w:val="center"/>
              <w:rPr>
                <w:rFonts w:ascii="Arial" w:eastAsia="仿宋_GB2312;仿宋" w:hAnsi="Arial" w:cs="Arial"/>
                <w:sz w:val="18"/>
                <w:szCs w:val="18"/>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6CD10DB7"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2B081D84"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shd w:val="clear" w:color="auto" w:fill="auto"/>
            <w:vAlign w:val="center"/>
          </w:tcPr>
          <w:p w14:paraId="71612A7D"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shd w:val="clear" w:color="auto" w:fill="auto"/>
            <w:vAlign w:val="center"/>
          </w:tcPr>
          <w:p w14:paraId="37A7FFF0"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43125DD9"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32A7287F"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51C961BC"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shd w:val="clear" w:color="auto" w:fill="auto"/>
            <w:vAlign w:val="center"/>
          </w:tcPr>
          <w:p w14:paraId="35B73BB8"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517AD430"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0</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702B272D"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建（构）筑物价格</w:t>
            </w:r>
          </w:p>
        </w:tc>
      </w:tr>
      <w:tr w:rsidR="00E70101" w14:paraId="7FDE484F" w14:textId="77777777">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64A1E9D1" w14:textId="77777777" w:rsidR="00E70101" w:rsidRDefault="00E70101">
            <w:pPr>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3293D08B" w14:textId="77777777" w:rsidR="00E70101" w:rsidRDefault="00E70101">
            <w:pPr>
              <w:widowControl/>
              <w:snapToGrid w:val="0"/>
              <w:spacing w:line="240" w:lineRule="auto"/>
              <w:jc w:val="center"/>
              <w:rPr>
                <w:rFonts w:ascii="Arial" w:eastAsia="仿宋_GB2312;仿宋" w:hAnsi="Arial" w:cs="Arial"/>
                <w:sz w:val="18"/>
                <w:szCs w:val="18"/>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6BB42143"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786CED17"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05D07EF9"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2AA3D46D" w14:textId="77777777" w:rsidR="00E70101" w:rsidRDefault="00E70101">
            <w:pPr>
              <w:widowControl/>
              <w:snapToGrid w:val="0"/>
              <w:spacing w:line="240" w:lineRule="auto"/>
              <w:jc w:val="center"/>
              <w:rPr>
                <w:rFonts w:ascii="Arial" w:eastAsia="仿宋_GB2312;仿宋" w:hAnsi="Arial" w:cs="Arial"/>
                <w:sz w:val="18"/>
                <w:szCs w:val="18"/>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6A191563"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5F567538"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shd w:val="clear" w:color="auto" w:fill="auto"/>
            <w:vAlign w:val="center"/>
          </w:tcPr>
          <w:p w14:paraId="12DBC1A9"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shd w:val="clear" w:color="auto" w:fill="auto"/>
            <w:vAlign w:val="center"/>
          </w:tcPr>
          <w:p w14:paraId="13A11B7B"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26A8022C"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16680636"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2FC3103F"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shd w:val="clear" w:color="auto" w:fill="auto"/>
            <w:vAlign w:val="center"/>
          </w:tcPr>
          <w:p w14:paraId="6953176D"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33B6A8EF"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0</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017BA7BA"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附属物价格</w:t>
            </w:r>
          </w:p>
        </w:tc>
      </w:tr>
      <w:tr w:rsidR="00E70101" w14:paraId="630EF399" w14:textId="77777777">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0D88F251" w14:textId="77777777" w:rsidR="00E70101" w:rsidRDefault="00E70101">
            <w:pPr>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59C4D6EE" w14:textId="77777777" w:rsidR="00E70101" w:rsidRDefault="00E70101">
            <w:pPr>
              <w:widowControl/>
              <w:snapToGrid w:val="0"/>
              <w:spacing w:line="240" w:lineRule="auto"/>
              <w:jc w:val="center"/>
              <w:rPr>
                <w:rFonts w:ascii="Arial" w:eastAsia="仿宋_GB2312;仿宋" w:hAnsi="Arial" w:cs="Arial"/>
                <w:sz w:val="18"/>
                <w:szCs w:val="18"/>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6F764991"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27F1291A"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69C293CC"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68ACF2A4" w14:textId="77777777" w:rsidR="00E70101" w:rsidRDefault="00E70101">
            <w:pPr>
              <w:widowControl/>
              <w:snapToGrid w:val="0"/>
              <w:spacing w:line="240" w:lineRule="auto"/>
              <w:jc w:val="center"/>
              <w:rPr>
                <w:rFonts w:ascii="Arial" w:eastAsia="仿宋_GB2312;仿宋" w:hAnsi="Arial" w:cs="Arial"/>
                <w:sz w:val="18"/>
                <w:szCs w:val="18"/>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4DE56F3E"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75E98C6A"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shd w:val="clear" w:color="auto" w:fill="auto"/>
            <w:vAlign w:val="center"/>
          </w:tcPr>
          <w:p w14:paraId="1BBCB81E"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shd w:val="clear" w:color="auto" w:fill="auto"/>
            <w:vAlign w:val="center"/>
          </w:tcPr>
          <w:p w14:paraId="31F0293F"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656B2143"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59E7FD33"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33E98304"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shd w:val="clear" w:color="auto" w:fill="auto"/>
            <w:vAlign w:val="center"/>
          </w:tcPr>
          <w:p w14:paraId="2054031A"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5207BD55"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0</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0DF74B43"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无法恢复使用的设施设备补偿价格</w:t>
            </w:r>
          </w:p>
        </w:tc>
      </w:tr>
      <w:tr w:rsidR="00E70101" w14:paraId="3A7F7F52" w14:textId="77777777">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4FA41F81" w14:textId="77777777" w:rsidR="00E70101" w:rsidRDefault="00E70101">
            <w:pPr>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6659796B" w14:textId="77777777" w:rsidR="00E70101" w:rsidRDefault="00E70101">
            <w:pPr>
              <w:widowControl/>
              <w:snapToGrid w:val="0"/>
              <w:spacing w:line="240" w:lineRule="auto"/>
              <w:jc w:val="center"/>
              <w:rPr>
                <w:rFonts w:ascii="Arial" w:eastAsia="仿宋_GB2312;仿宋" w:hAnsi="Arial" w:cs="Arial"/>
                <w:sz w:val="18"/>
                <w:szCs w:val="18"/>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1193EABF"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72A151F0"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31D15900"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475035BB" w14:textId="77777777" w:rsidR="00E70101" w:rsidRDefault="00E70101">
            <w:pPr>
              <w:widowControl/>
              <w:snapToGrid w:val="0"/>
              <w:spacing w:line="240" w:lineRule="auto"/>
              <w:jc w:val="center"/>
              <w:rPr>
                <w:rFonts w:ascii="Arial" w:eastAsia="仿宋_GB2312;仿宋" w:hAnsi="Arial" w:cs="Arial"/>
                <w:sz w:val="18"/>
                <w:szCs w:val="18"/>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6B2A33E1"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4D151C9F"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shd w:val="clear" w:color="auto" w:fill="auto"/>
            <w:vAlign w:val="center"/>
          </w:tcPr>
          <w:p w14:paraId="3DF7F087"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shd w:val="clear" w:color="auto" w:fill="auto"/>
            <w:vAlign w:val="center"/>
          </w:tcPr>
          <w:p w14:paraId="6BD3530B"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2525AB55"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312AA9BB"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4CBE3A35"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shd w:val="clear" w:color="auto" w:fill="auto"/>
            <w:vAlign w:val="center"/>
          </w:tcPr>
          <w:p w14:paraId="38CBE3D6"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00F067C1"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0</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21C916E1"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停产停业损失补偿费用</w:t>
            </w:r>
          </w:p>
        </w:tc>
      </w:tr>
      <w:tr w:rsidR="00E70101" w14:paraId="115A61BE" w14:textId="77777777">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48443A01" w14:textId="77777777" w:rsidR="00E70101" w:rsidRDefault="00E70101">
            <w:pPr>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7C7205FC" w14:textId="77777777" w:rsidR="00E70101" w:rsidRDefault="00E70101">
            <w:pPr>
              <w:widowControl/>
              <w:snapToGrid w:val="0"/>
              <w:spacing w:line="240" w:lineRule="auto"/>
              <w:jc w:val="center"/>
              <w:rPr>
                <w:rFonts w:ascii="Arial" w:eastAsia="仿宋_GB2312;仿宋" w:hAnsi="Arial" w:cs="Arial"/>
                <w:sz w:val="18"/>
                <w:szCs w:val="18"/>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3D5C9BA5"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24CBCF9A"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39E80570"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15255FE6" w14:textId="77777777" w:rsidR="00E70101" w:rsidRDefault="00E70101">
            <w:pPr>
              <w:widowControl/>
              <w:snapToGrid w:val="0"/>
              <w:spacing w:line="240" w:lineRule="auto"/>
              <w:jc w:val="center"/>
              <w:rPr>
                <w:rFonts w:ascii="Arial" w:eastAsia="仿宋_GB2312;仿宋" w:hAnsi="Arial" w:cs="Arial"/>
                <w:sz w:val="18"/>
                <w:szCs w:val="18"/>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55DCB599"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0F2F8D85"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shd w:val="clear" w:color="auto" w:fill="auto"/>
            <w:vAlign w:val="center"/>
          </w:tcPr>
          <w:p w14:paraId="2E54E01D"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shd w:val="clear" w:color="auto" w:fill="auto"/>
            <w:vAlign w:val="center"/>
          </w:tcPr>
          <w:p w14:paraId="0926863D"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25F89380"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4C3F57F6"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351E56A1"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shd w:val="clear" w:color="auto" w:fill="auto"/>
            <w:vAlign w:val="center"/>
          </w:tcPr>
          <w:p w14:paraId="67EE254B"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3619A10A"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0</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1043BA9A"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搬迁、临时安置补偿费用</w:t>
            </w:r>
          </w:p>
        </w:tc>
      </w:tr>
      <w:tr w:rsidR="00E70101" w14:paraId="7FE9867B" w14:textId="77777777">
        <w:trPr>
          <w:trHeight w:val="369"/>
        </w:trPr>
        <w:tc>
          <w:tcPr>
            <w:tcW w:w="3828" w:type="dxa"/>
            <w:gridSpan w:val="7"/>
            <w:tcBorders>
              <w:top w:val="single" w:sz="4" w:space="0" w:color="000000"/>
              <w:left w:val="single" w:sz="8" w:space="0" w:color="000000"/>
              <w:bottom w:val="single" w:sz="8" w:space="0" w:color="000000"/>
            </w:tcBorders>
            <w:shd w:val="clear" w:color="auto" w:fill="auto"/>
            <w:vAlign w:val="center"/>
          </w:tcPr>
          <w:p w14:paraId="5364678D"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合计</w:t>
            </w:r>
          </w:p>
        </w:tc>
        <w:tc>
          <w:tcPr>
            <w:tcW w:w="425" w:type="dxa"/>
            <w:tcBorders>
              <w:top w:val="single" w:sz="6" w:space="0" w:color="000000"/>
              <w:left w:val="single" w:sz="6" w:space="0" w:color="000000"/>
              <w:bottom w:val="single" w:sz="8" w:space="0" w:color="000000"/>
            </w:tcBorders>
            <w:shd w:val="clear" w:color="auto" w:fill="auto"/>
            <w:vAlign w:val="center"/>
          </w:tcPr>
          <w:p w14:paraId="4DE56889"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8" w:space="0" w:color="000000"/>
            </w:tcBorders>
            <w:shd w:val="clear" w:color="auto" w:fill="auto"/>
            <w:vAlign w:val="center"/>
          </w:tcPr>
          <w:p w14:paraId="74E82137"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8" w:space="0" w:color="000000"/>
            </w:tcBorders>
            <w:shd w:val="clear" w:color="auto" w:fill="auto"/>
            <w:vAlign w:val="center"/>
          </w:tcPr>
          <w:p w14:paraId="084F25D5"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8" w:space="0" w:color="000000"/>
            </w:tcBorders>
            <w:shd w:val="clear" w:color="auto" w:fill="auto"/>
            <w:vAlign w:val="center"/>
          </w:tcPr>
          <w:p w14:paraId="5F6B10C1"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8" w:space="0" w:color="000000"/>
            </w:tcBorders>
            <w:shd w:val="clear" w:color="auto" w:fill="auto"/>
            <w:vAlign w:val="center"/>
          </w:tcPr>
          <w:p w14:paraId="296E94AE"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8" w:space="0" w:color="000000"/>
            </w:tcBorders>
            <w:shd w:val="clear" w:color="auto" w:fill="auto"/>
            <w:vAlign w:val="center"/>
          </w:tcPr>
          <w:p w14:paraId="124AA584"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8" w:space="0" w:color="000000"/>
            </w:tcBorders>
            <w:shd w:val="clear" w:color="auto" w:fill="auto"/>
            <w:vAlign w:val="center"/>
          </w:tcPr>
          <w:p w14:paraId="54BC654F" w14:textId="77777777" w:rsidR="00E70101" w:rsidRDefault="0060680B">
            <w:pPr>
              <w:spacing w:line="240" w:lineRule="auto"/>
              <w:jc w:val="center"/>
              <w:rPr>
                <w:rFonts w:ascii="Arial"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8" w:space="0" w:color="000000"/>
            </w:tcBorders>
            <w:shd w:val="clear" w:color="auto" w:fill="auto"/>
            <w:vAlign w:val="center"/>
          </w:tcPr>
          <w:p w14:paraId="5A8775EB"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156654</w:t>
            </w:r>
          </w:p>
        </w:tc>
        <w:tc>
          <w:tcPr>
            <w:tcW w:w="2005" w:type="dxa"/>
            <w:tcBorders>
              <w:top w:val="single" w:sz="6" w:space="0" w:color="000000"/>
              <w:left w:val="single" w:sz="6" w:space="0" w:color="000000"/>
              <w:bottom w:val="single" w:sz="8" w:space="0" w:color="000000"/>
              <w:right w:val="single" w:sz="8" w:space="0" w:color="000000"/>
            </w:tcBorders>
            <w:shd w:val="clear" w:color="auto" w:fill="auto"/>
            <w:vAlign w:val="center"/>
          </w:tcPr>
          <w:p w14:paraId="19C399A1"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r>
    </w:tbl>
    <w:p w14:paraId="3CD92A73" w14:textId="77777777" w:rsidR="00E70101" w:rsidRDefault="0060680B">
      <w:pPr>
        <w:spacing w:line="360" w:lineRule="auto"/>
        <w:rPr>
          <w:rFonts w:ascii="Arial" w:eastAsia="仿宋_GB2312;仿宋" w:hAnsi="Arial" w:cs="Arial"/>
          <w:sz w:val="18"/>
          <w:szCs w:val="18"/>
        </w:rPr>
      </w:pPr>
      <w:r>
        <w:rPr>
          <w:rFonts w:ascii="Arial" w:eastAsia="仿宋_GB2312;仿宋" w:hAnsi="Arial" w:cs="Arial"/>
          <w:sz w:val="18"/>
          <w:szCs w:val="18"/>
        </w:rPr>
        <w:t>币种：人民币</w:t>
      </w:r>
    </w:p>
    <w:p w14:paraId="723E4ABA" w14:textId="77777777" w:rsidR="00E70101" w:rsidRDefault="0060680B">
      <w:pPr>
        <w:spacing w:line="360" w:lineRule="auto"/>
        <w:rPr>
          <w:rFonts w:ascii="Arial" w:eastAsia="仿宋_GB2312;仿宋" w:hAnsi="Arial" w:cs="Arial"/>
          <w:sz w:val="28"/>
          <w:szCs w:val="28"/>
        </w:rPr>
        <w:sectPr w:rsidR="00E70101">
          <w:headerReference w:type="default" r:id="rId19"/>
          <w:footerReference w:type="default" r:id="rId20"/>
          <w:headerReference w:type="first" r:id="rId21"/>
          <w:footerReference w:type="first" r:id="rId22"/>
          <w:pgSz w:w="16838" w:h="11906" w:orient="landscape"/>
          <w:pgMar w:top="1508" w:right="1134" w:bottom="1134" w:left="1474" w:header="1134" w:footer="907" w:gutter="0"/>
          <w:cols w:space="720"/>
          <w:formProt w:val="0"/>
          <w:titlePg/>
          <w:docGrid w:linePitch="326"/>
        </w:sectPr>
      </w:pPr>
      <w:r>
        <w:rPr>
          <w:rFonts w:ascii="Arial" w:eastAsia="仿宋_GB2312;仿宋" w:hAnsi="Arial" w:cs="Arial"/>
          <w:sz w:val="28"/>
          <w:szCs w:val="28"/>
        </w:rPr>
        <w:t>（转下页）</w:t>
      </w:r>
    </w:p>
    <w:p w14:paraId="5AC5B050" w14:textId="77777777" w:rsidR="00E70101" w:rsidRDefault="0060680B">
      <w:pPr>
        <w:spacing w:line="240" w:lineRule="auto"/>
        <w:ind w:left="1"/>
        <w:jc w:val="both"/>
      </w:pPr>
      <w:r>
        <w:rPr>
          <w:rFonts w:ascii="Arial" w:eastAsia="仿宋_GB2312;仿宋" w:hAnsi="Arial" w:cs="Arial"/>
          <w:b/>
        </w:rPr>
        <w:t>一、上述咨询结果的限定条件</w:t>
      </w:r>
    </w:p>
    <w:p w14:paraId="6D09D8E2" w14:textId="77777777" w:rsidR="00E70101" w:rsidRDefault="0060680B">
      <w:pPr>
        <w:spacing w:line="240" w:lineRule="auto"/>
        <w:jc w:val="both"/>
        <w:rPr>
          <w:rFonts w:ascii="Arial" w:eastAsia="仿宋_GB2312;仿宋" w:hAnsi="Arial" w:cs="Arial"/>
          <w:bCs/>
        </w:rPr>
      </w:pPr>
      <w:r>
        <w:rPr>
          <w:rFonts w:ascii="Arial" w:eastAsia="仿宋_GB2312;仿宋" w:hAnsi="Arial" w:cs="Arial"/>
          <w:bCs/>
        </w:rPr>
        <w:t>（一）土地权利限制：截至咨询期日，咨询对象未设定抵押、租赁等他项权利；</w:t>
      </w:r>
      <w:r>
        <w:rPr>
          <w:rFonts w:ascii="Arial" w:eastAsia="Arial" w:hAnsi="Arial" w:cs="Arial"/>
          <w:bCs/>
        </w:rPr>
        <w:t xml:space="preserve"> </w:t>
      </w:r>
    </w:p>
    <w:p w14:paraId="2DD23E8E" w14:textId="77777777" w:rsidR="00E70101" w:rsidRDefault="0060680B">
      <w:pPr>
        <w:spacing w:line="240" w:lineRule="auto"/>
        <w:jc w:val="both"/>
      </w:pPr>
      <w:r>
        <w:rPr>
          <w:rFonts w:ascii="Arial" w:eastAsia="仿宋_GB2312;仿宋" w:hAnsi="Arial" w:cs="Arial"/>
          <w:bCs/>
        </w:rPr>
        <w:t>（二）基础设施条件：根据委托方介绍及评估专业人员现场勘查，本次评估咨询对象实际土地开发程度为宗地红线外</w:t>
      </w:r>
      <w:r>
        <w:rPr>
          <w:rFonts w:ascii="Arial" w:eastAsia="仿宋_GB2312;仿宋" w:hAnsi="Arial" w:cs="Arial"/>
          <w:bCs/>
        </w:rPr>
        <w:t>”</w:t>
      </w:r>
      <w:r>
        <w:rPr>
          <w:rFonts w:ascii="Arial" w:eastAsia="仿宋_GB2312;仿宋" w:hAnsi="Arial" w:cs="Arial"/>
          <w:bCs/>
        </w:rPr>
        <w:t>七通</w:t>
      </w:r>
      <w:r>
        <w:rPr>
          <w:rFonts w:ascii="Arial" w:eastAsia="仿宋_GB2312;仿宋" w:hAnsi="Arial" w:cs="Arial"/>
          <w:bCs/>
        </w:rPr>
        <w:t>”</w:t>
      </w:r>
      <w:r>
        <w:rPr>
          <w:rFonts w:ascii="Arial" w:eastAsia="仿宋_GB2312;仿宋" w:hAnsi="Arial" w:cs="Arial"/>
          <w:bCs/>
        </w:rPr>
        <w:t>（通路、通电、通讯、通上水、通下水、通燃气、通热）、宗地红线内</w:t>
      </w:r>
      <w:r>
        <w:rPr>
          <w:rFonts w:ascii="Arial" w:eastAsia="仿宋_GB2312;仿宋" w:hAnsi="Arial" w:cs="Arial"/>
          <w:bCs/>
        </w:rPr>
        <w:t>“</w:t>
      </w:r>
      <w:r>
        <w:rPr>
          <w:rFonts w:ascii="Arial" w:eastAsia="仿宋_GB2312;仿宋" w:hAnsi="Arial" w:cs="Arial"/>
          <w:bCs/>
        </w:rPr>
        <w:t>场地平整</w:t>
      </w:r>
      <w:r>
        <w:rPr>
          <w:rFonts w:ascii="Arial" w:eastAsia="仿宋_GB2312;仿宋" w:hAnsi="Arial" w:cs="Arial"/>
          <w:bCs/>
        </w:rPr>
        <w:t>”</w:t>
      </w:r>
      <w:r>
        <w:rPr>
          <w:rFonts w:ascii="Arial" w:eastAsia="仿宋_GB2312;仿宋" w:hAnsi="Arial" w:cs="Arial"/>
          <w:bCs/>
        </w:rPr>
        <w:t>。本次评估设定土地开发程度即为实际开发程度红线外市政基础设施达</w:t>
      </w:r>
      <w:r>
        <w:rPr>
          <w:rFonts w:ascii="Arial" w:eastAsia="仿宋_GB2312;仿宋" w:hAnsi="Arial" w:cs="Arial"/>
          <w:bCs/>
        </w:rPr>
        <w:t>”</w:t>
      </w:r>
      <w:r>
        <w:rPr>
          <w:rFonts w:ascii="Arial" w:eastAsia="仿宋_GB2312;仿宋" w:hAnsi="Arial" w:cs="Arial"/>
          <w:bCs/>
        </w:rPr>
        <w:t>七通</w:t>
      </w:r>
      <w:r>
        <w:rPr>
          <w:rFonts w:ascii="Arial" w:eastAsia="仿宋_GB2312;仿宋" w:hAnsi="Arial" w:cs="Arial"/>
          <w:bCs/>
        </w:rPr>
        <w:t>”</w:t>
      </w:r>
      <w:r>
        <w:rPr>
          <w:rFonts w:ascii="Arial" w:eastAsia="仿宋_GB2312;仿宋" w:hAnsi="Arial" w:cs="Arial"/>
          <w:bCs/>
        </w:rPr>
        <w:t>（通路、通电、通讯、通上水、通下水、通燃气、通热）、宗地红线内</w:t>
      </w:r>
      <w:r>
        <w:rPr>
          <w:rFonts w:ascii="Arial" w:eastAsia="仿宋_GB2312;仿宋" w:hAnsi="Arial" w:cs="Arial"/>
          <w:bCs/>
        </w:rPr>
        <w:t>“</w:t>
      </w:r>
      <w:r>
        <w:rPr>
          <w:rFonts w:ascii="Arial" w:eastAsia="仿宋_GB2312;仿宋" w:hAnsi="Arial" w:cs="Arial"/>
          <w:bCs/>
        </w:rPr>
        <w:t>场地平整</w:t>
      </w:r>
      <w:r>
        <w:rPr>
          <w:rFonts w:ascii="Arial" w:eastAsia="仿宋_GB2312;仿宋" w:hAnsi="Arial" w:cs="Arial"/>
          <w:bCs/>
        </w:rPr>
        <w:t>”</w:t>
      </w:r>
      <w:r>
        <w:rPr>
          <w:rFonts w:ascii="Arial" w:eastAsia="仿宋_GB2312;仿宋" w:hAnsi="Arial" w:cs="Arial"/>
          <w:bCs/>
        </w:rPr>
        <w:t>；</w:t>
      </w:r>
    </w:p>
    <w:p w14:paraId="75B68927" w14:textId="77777777" w:rsidR="00E70101" w:rsidRDefault="0060680B">
      <w:pPr>
        <w:spacing w:line="240" w:lineRule="auto"/>
        <w:ind w:left="2"/>
        <w:jc w:val="both"/>
        <w:rPr>
          <w:rFonts w:ascii="Arial" w:eastAsia="仿宋_GB2312;仿宋" w:hAnsi="Arial" w:cs="Arial"/>
          <w:bCs/>
        </w:rPr>
      </w:pPr>
      <w:r>
        <w:rPr>
          <w:rFonts w:ascii="Arial" w:eastAsia="仿宋_GB2312;仿宋" w:hAnsi="Arial" w:cs="Arial"/>
          <w:bCs/>
        </w:rPr>
        <w:t>（三）规划限制条件：委托方及不动产权利人未提供咨询对象的规划资料；</w:t>
      </w:r>
      <w:r>
        <w:rPr>
          <w:rFonts w:ascii="Arial" w:eastAsia="Arial" w:hAnsi="Arial" w:cs="Arial"/>
          <w:bCs/>
        </w:rPr>
        <w:t xml:space="preserve"> </w:t>
      </w:r>
    </w:p>
    <w:p w14:paraId="76B88684" w14:textId="77777777" w:rsidR="00E70101" w:rsidRDefault="0060680B">
      <w:pPr>
        <w:spacing w:line="240" w:lineRule="auto"/>
        <w:ind w:left="2"/>
        <w:jc w:val="both"/>
        <w:rPr>
          <w:rFonts w:ascii="Arial" w:eastAsia="仿宋_GB2312;仿宋" w:hAnsi="Arial" w:cs="Arial"/>
          <w:bCs/>
        </w:rPr>
      </w:pPr>
      <w:r>
        <w:rPr>
          <w:rFonts w:ascii="Arial" w:eastAsia="仿宋_GB2312;仿宋" w:hAnsi="Arial" w:cs="Arial"/>
          <w:bCs/>
        </w:rPr>
        <w:t>（四）影响土地价格的其他限定条件：无。</w:t>
      </w:r>
    </w:p>
    <w:p w14:paraId="200D5EC8" w14:textId="77777777" w:rsidR="00E70101" w:rsidRDefault="0060680B">
      <w:pPr>
        <w:spacing w:line="240" w:lineRule="auto"/>
        <w:jc w:val="both"/>
        <w:rPr>
          <w:rFonts w:ascii="Arial" w:eastAsia="仿宋_GB2312;仿宋" w:hAnsi="Arial" w:cs="Arial"/>
          <w:bCs/>
        </w:rPr>
      </w:pPr>
      <w:r>
        <w:rPr>
          <w:rFonts w:ascii="Arial" w:eastAsia="仿宋_GB2312;仿宋" w:hAnsi="Arial" w:cs="Arial"/>
          <w:b/>
        </w:rPr>
        <w:t>二、其他需要说明的事项</w:t>
      </w:r>
      <w:r>
        <w:rPr>
          <w:rFonts w:ascii="Arial" w:eastAsia="仿宋_GB2312;仿宋" w:hAnsi="Arial" w:cs="Arial"/>
          <w:bCs/>
        </w:rPr>
        <w:t>：详见报告中的特殊事项说明及假设和限制条件。</w:t>
      </w:r>
    </w:p>
    <w:p w14:paraId="3BF9D6A1" w14:textId="77777777" w:rsidR="00E70101" w:rsidRDefault="0060680B">
      <w:pPr>
        <w:spacing w:line="240" w:lineRule="auto"/>
        <w:rPr>
          <w:rFonts w:eastAsia="仿宋_GB2312;仿宋"/>
        </w:rPr>
      </w:pPr>
      <w:r>
        <w:rPr>
          <w:rFonts w:ascii="Arial" w:eastAsia="Arial" w:hAnsi="Arial" w:cs="Arial"/>
          <w:bCs/>
        </w:rPr>
        <w:t xml:space="preserve"> </w:t>
      </w:r>
    </w:p>
    <w:p w14:paraId="7AABAC43" w14:textId="77777777" w:rsidR="00E70101" w:rsidRDefault="00E70101">
      <w:pPr>
        <w:spacing w:line="240" w:lineRule="auto"/>
        <w:rPr>
          <w:rFonts w:ascii="Arial" w:eastAsia="仿宋_GB2312;仿宋" w:hAnsi="Arial" w:cs="Arial"/>
          <w:bCs/>
        </w:rPr>
      </w:pPr>
    </w:p>
    <w:p w14:paraId="26FC7503" w14:textId="77777777" w:rsidR="00E70101" w:rsidRDefault="00E70101">
      <w:pPr>
        <w:spacing w:line="240" w:lineRule="auto"/>
        <w:ind w:firstLine="7500"/>
        <w:jc w:val="right"/>
        <w:rPr>
          <w:rFonts w:ascii="Arial" w:eastAsia="仿宋_GB2312;仿宋" w:hAnsi="Arial" w:cs="Arial"/>
          <w:bCs/>
        </w:rPr>
      </w:pPr>
    </w:p>
    <w:p w14:paraId="3E21B281" w14:textId="77777777" w:rsidR="00E70101" w:rsidRDefault="00E70101">
      <w:pPr>
        <w:spacing w:line="240" w:lineRule="auto"/>
        <w:ind w:firstLine="7500"/>
        <w:jc w:val="right"/>
        <w:rPr>
          <w:rFonts w:ascii="Arial" w:eastAsia="仿宋_GB2312;仿宋" w:hAnsi="Arial" w:cs="Arial"/>
          <w:bCs/>
        </w:rPr>
      </w:pPr>
    </w:p>
    <w:p w14:paraId="2DC9E478" w14:textId="77777777" w:rsidR="00E70101" w:rsidRDefault="00E70101">
      <w:pPr>
        <w:spacing w:line="240" w:lineRule="auto"/>
        <w:ind w:firstLine="7500"/>
        <w:jc w:val="right"/>
        <w:rPr>
          <w:rFonts w:ascii="Arial" w:eastAsia="仿宋_GB2312;仿宋" w:hAnsi="Arial" w:cs="Arial"/>
          <w:bCs/>
        </w:rPr>
      </w:pPr>
    </w:p>
    <w:p w14:paraId="354E8EC2" w14:textId="77777777" w:rsidR="00E70101" w:rsidRDefault="00E70101">
      <w:pPr>
        <w:spacing w:line="240" w:lineRule="auto"/>
        <w:ind w:firstLine="7500"/>
        <w:jc w:val="right"/>
        <w:rPr>
          <w:rFonts w:ascii="Arial" w:eastAsia="仿宋_GB2312;仿宋" w:hAnsi="Arial" w:cs="Arial"/>
          <w:bCs/>
        </w:rPr>
      </w:pPr>
    </w:p>
    <w:p w14:paraId="21C7870A" w14:textId="77777777" w:rsidR="00E70101" w:rsidRDefault="00E70101">
      <w:pPr>
        <w:spacing w:line="240" w:lineRule="auto"/>
        <w:ind w:firstLine="7500"/>
        <w:jc w:val="right"/>
        <w:rPr>
          <w:rFonts w:ascii="Arial" w:eastAsia="仿宋_GB2312;仿宋" w:hAnsi="Arial" w:cs="Arial"/>
          <w:bCs/>
        </w:rPr>
      </w:pPr>
    </w:p>
    <w:p w14:paraId="7E9446F2" w14:textId="77777777" w:rsidR="00E70101" w:rsidRDefault="0060680B">
      <w:pPr>
        <w:spacing w:line="240" w:lineRule="auto"/>
        <w:ind w:firstLine="3828"/>
        <w:jc w:val="right"/>
      </w:pPr>
      <w:r>
        <w:rPr>
          <w:rFonts w:ascii="Arial" w:eastAsia="仿宋_GB2312;仿宋" w:hAnsi="Arial" w:cs="Arial"/>
          <w:bCs/>
        </w:rPr>
        <w:t>受托单位：北京康正宏基房地产评估有限公司</w:t>
      </w:r>
    </w:p>
    <w:p w14:paraId="1972BA96" w14:textId="77777777" w:rsidR="00E70101" w:rsidRDefault="0060680B">
      <w:pPr>
        <w:spacing w:line="240" w:lineRule="auto"/>
        <w:ind w:firstLine="7385"/>
        <w:jc w:val="right"/>
        <w:rPr>
          <w:rFonts w:ascii="Arial" w:eastAsia="仿宋_GB2312;仿宋" w:hAnsi="Arial" w:cs="Arial"/>
          <w:sz w:val="28"/>
        </w:rPr>
        <w:sectPr w:rsidR="00E70101">
          <w:headerReference w:type="default" r:id="rId23"/>
          <w:footerReference w:type="default" r:id="rId24"/>
          <w:headerReference w:type="first" r:id="rId25"/>
          <w:footerReference w:type="first" r:id="rId26"/>
          <w:pgSz w:w="11906" w:h="16838"/>
          <w:pgMar w:top="1843" w:right="1134" w:bottom="1134" w:left="1474" w:header="1134" w:footer="850" w:gutter="0"/>
          <w:cols w:space="720"/>
          <w:formProt w:val="0"/>
          <w:titlePg/>
          <w:docGrid w:linePitch="326"/>
        </w:sectPr>
      </w:pPr>
      <w:r>
        <w:rPr>
          <w:rFonts w:ascii="Arial" w:eastAsia="Arial" w:hAnsi="Arial" w:cs="Arial"/>
          <w:bCs/>
        </w:rPr>
        <w:t xml:space="preserve">                </w:t>
      </w:r>
      <w:r>
        <w:rPr>
          <w:rFonts w:ascii="Arial" w:eastAsia="仿宋_GB2312;仿宋" w:hAnsi="Arial" w:cs="Arial"/>
          <w:bCs/>
        </w:rPr>
        <w:t>2024</w:t>
      </w:r>
      <w:r>
        <w:rPr>
          <w:rFonts w:ascii="Arial" w:eastAsia="仿宋_GB2312;仿宋" w:hAnsi="Arial" w:cs="Arial"/>
          <w:bCs/>
        </w:rPr>
        <w:t>年</w:t>
      </w:r>
      <w:r>
        <w:rPr>
          <w:rFonts w:ascii="Arial" w:eastAsia="仿宋_GB2312;仿宋" w:hAnsi="Arial" w:cs="Arial"/>
          <w:bCs/>
        </w:rPr>
        <w:t>4</w:t>
      </w:r>
      <w:r>
        <w:rPr>
          <w:rFonts w:ascii="Arial" w:eastAsia="仿宋_GB2312;仿宋" w:hAnsi="Arial" w:cs="Arial"/>
          <w:bCs/>
        </w:rPr>
        <w:t>月</w:t>
      </w:r>
      <w:r>
        <w:rPr>
          <w:rFonts w:ascii="Arial" w:eastAsia="仿宋_GB2312;仿宋" w:hAnsi="Arial" w:cs="Arial"/>
          <w:bCs/>
        </w:rPr>
        <w:t>2</w:t>
      </w:r>
      <w:r>
        <w:rPr>
          <w:rFonts w:ascii="Arial" w:eastAsia="仿宋_GB2312;仿宋" w:hAnsi="Arial" w:cs="Arial"/>
          <w:bCs/>
        </w:rPr>
        <w:t>日</w:t>
      </w:r>
    </w:p>
    <w:p w14:paraId="616CCBF4" w14:textId="77777777" w:rsidR="00E70101" w:rsidRDefault="0060680B">
      <w:pPr>
        <w:spacing w:line="360" w:lineRule="auto"/>
        <w:jc w:val="center"/>
        <w:outlineLvl w:val="0"/>
      </w:pPr>
      <w:bookmarkStart w:id="10" w:name="__RefHeading___Toc469066138"/>
      <w:bookmarkEnd w:id="10"/>
      <w:r>
        <w:rPr>
          <w:rFonts w:ascii="Arial" w:hAnsi="Arial" w:cs="Arial"/>
          <w:b/>
          <w:sz w:val="32"/>
        </w:rPr>
        <w:t>第二部分</w:t>
      </w:r>
      <w:r>
        <w:rPr>
          <w:rFonts w:ascii="Arial" w:eastAsia="Arial" w:hAnsi="Arial" w:cs="Arial"/>
          <w:b/>
          <w:sz w:val="32"/>
        </w:rPr>
        <w:t xml:space="preserve">  </w:t>
      </w:r>
      <w:r>
        <w:rPr>
          <w:rFonts w:ascii="Arial" w:hAnsi="Arial" w:cs="Arial"/>
          <w:b/>
          <w:sz w:val="32"/>
        </w:rPr>
        <w:t>咨询对象界定</w:t>
      </w:r>
    </w:p>
    <w:p w14:paraId="25D94A13" w14:textId="77777777" w:rsidR="00E70101" w:rsidRDefault="00E70101">
      <w:pPr>
        <w:spacing w:line="360" w:lineRule="auto"/>
        <w:rPr>
          <w:rFonts w:ascii="Arial" w:eastAsia="仿宋_GB2312;仿宋" w:hAnsi="Arial" w:cs="Arial"/>
          <w:b/>
          <w:sz w:val="28"/>
        </w:rPr>
      </w:pPr>
    </w:p>
    <w:p w14:paraId="1BFB8D1A" w14:textId="77777777" w:rsidR="00E70101" w:rsidRDefault="0060680B">
      <w:pPr>
        <w:spacing w:line="360" w:lineRule="auto"/>
        <w:outlineLvl w:val="1"/>
        <w:rPr>
          <w:rFonts w:ascii="Arial" w:eastAsia="仿宋_GB2312;仿宋" w:hAnsi="Arial" w:cs="Arial"/>
          <w:b/>
          <w:sz w:val="28"/>
        </w:rPr>
      </w:pPr>
      <w:bookmarkStart w:id="11" w:name="__RefHeading___Toc469066139"/>
      <w:r>
        <w:rPr>
          <w:rFonts w:ascii="Arial" w:eastAsia="仿宋_GB2312;仿宋" w:hAnsi="Arial" w:cs="Arial"/>
          <w:b/>
          <w:sz w:val="28"/>
        </w:rPr>
        <w:t>一、</w:t>
      </w:r>
      <w:bookmarkEnd w:id="11"/>
      <w:r>
        <w:rPr>
          <w:rFonts w:ascii="Arial" w:eastAsia="仿宋_GB2312;仿宋" w:hAnsi="Arial" w:cs="Arial"/>
          <w:b/>
          <w:sz w:val="28"/>
        </w:rPr>
        <w:t>委托方</w:t>
      </w:r>
    </w:p>
    <w:p w14:paraId="1C60DBE4" w14:textId="7533E9D5"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委托方：北京保障房中心有限公司</w:t>
      </w:r>
    </w:p>
    <w:p w14:paraId="4AE06B35" w14:textId="77777777" w:rsidR="00E70101" w:rsidRDefault="0060680B">
      <w:pPr>
        <w:spacing w:line="360" w:lineRule="auto"/>
        <w:ind w:firstLine="560"/>
        <w:jc w:val="both"/>
      </w:pPr>
      <w:r>
        <w:rPr>
          <w:rFonts w:ascii="仿宋_GB2312;仿宋" w:eastAsia="仿宋_GB2312;仿宋" w:hAnsi="仿宋_GB2312;仿宋" w:cs="Arial Narrow"/>
          <w:sz w:val="28"/>
        </w:rPr>
        <w:t>地  址：北京市丰台区南四环中路10号</w:t>
      </w:r>
    </w:p>
    <w:p w14:paraId="1E7D9EA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联系人：岳翠兰</w:t>
      </w:r>
    </w:p>
    <w:p w14:paraId="543B602D" w14:textId="77777777" w:rsidR="00E70101" w:rsidRDefault="00E70101">
      <w:pPr>
        <w:spacing w:line="360" w:lineRule="auto"/>
        <w:jc w:val="both"/>
        <w:rPr>
          <w:rFonts w:ascii="Arial" w:eastAsia="仿宋_GB2312;仿宋" w:hAnsi="Arial" w:cs="Arial"/>
          <w:b/>
          <w:sz w:val="28"/>
        </w:rPr>
      </w:pPr>
    </w:p>
    <w:p w14:paraId="04E58873" w14:textId="77777777" w:rsidR="00E70101" w:rsidRDefault="0060680B">
      <w:pPr>
        <w:spacing w:line="360" w:lineRule="auto"/>
        <w:outlineLvl w:val="1"/>
        <w:rPr>
          <w:rFonts w:ascii="Arial" w:eastAsia="仿宋_GB2312;仿宋" w:hAnsi="Arial" w:cs="Arial"/>
          <w:b/>
          <w:sz w:val="28"/>
        </w:rPr>
      </w:pPr>
      <w:bookmarkStart w:id="12" w:name="__RefHeading___Toc469066140"/>
      <w:bookmarkEnd w:id="12"/>
      <w:r>
        <w:rPr>
          <w:rFonts w:ascii="Arial" w:eastAsia="仿宋_GB2312;仿宋" w:hAnsi="Arial" w:cs="Arial"/>
          <w:b/>
          <w:sz w:val="28"/>
        </w:rPr>
        <w:t>二、咨询对象</w:t>
      </w:r>
    </w:p>
    <w:p w14:paraId="74B05F0B" w14:textId="77777777" w:rsidR="00E70101" w:rsidRDefault="0060680B">
      <w:pPr>
        <w:tabs>
          <w:tab w:val="left" w:pos="9027"/>
        </w:tabs>
        <w:spacing w:line="360" w:lineRule="auto"/>
        <w:ind w:firstLine="560"/>
        <w:jc w:val="both"/>
      </w:pPr>
      <w:r>
        <w:rPr>
          <w:rFonts w:ascii="Arial" w:eastAsia="仿宋_GB2312;仿宋" w:hAnsi="Arial" w:cs="Arial"/>
          <w:sz w:val="28"/>
        </w:rPr>
        <w:t>咨询对象为北京市昌平区北七家镇八仙庄村仓储用地</w:t>
      </w:r>
      <w:r>
        <w:rPr>
          <w:rFonts w:ascii="Arial" w:eastAsia="仿宋_GB2312;仿宋" w:hAnsi="Arial" w:cs="Arial"/>
          <w:sz w:val="28"/>
        </w:rPr>
        <w:t>370379.14</w:t>
      </w:r>
      <w:r>
        <w:rPr>
          <w:rFonts w:ascii="Arial" w:eastAsia="仿宋_GB2312;仿宋" w:hAnsi="Arial" w:cs="Arial"/>
          <w:sz w:val="28"/>
        </w:rPr>
        <w:t>平方米国有建设用地使用权，属国有划拨仓储用地，根据咨询目的，咨询对象宗地内建（构）筑物、附属物（详见建筑物、附属物清单）、搬迁补偿费用、因土地收购造成的无法恢复使用的设施设备补偿、停产停业损失补偿等内容暂未评估。</w:t>
      </w:r>
    </w:p>
    <w:p w14:paraId="2D3B1CD6" w14:textId="77777777" w:rsidR="00E70101" w:rsidRDefault="00E70101">
      <w:pPr>
        <w:spacing w:line="360" w:lineRule="auto"/>
        <w:jc w:val="both"/>
        <w:rPr>
          <w:rFonts w:ascii="Arial" w:eastAsia="仿宋_GB2312;仿宋" w:hAnsi="Arial" w:cs="Arial"/>
          <w:b/>
          <w:sz w:val="21"/>
          <w:szCs w:val="21"/>
        </w:rPr>
      </w:pPr>
    </w:p>
    <w:p w14:paraId="4FCE10B0" w14:textId="77777777" w:rsidR="00E70101" w:rsidRDefault="0060680B">
      <w:pPr>
        <w:spacing w:line="360" w:lineRule="auto"/>
        <w:outlineLvl w:val="1"/>
      </w:pPr>
      <w:bookmarkStart w:id="13" w:name="__RefHeading___Toc469066141"/>
      <w:bookmarkEnd w:id="13"/>
      <w:r>
        <w:rPr>
          <w:rFonts w:ascii="Arial" w:eastAsia="仿宋_GB2312;仿宋" w:hAnsi="Arial" w:cs="Arial"/>
          <w:b/>
          <w:sz w:val="28"/>
        </w:rPr>
        <w:t>三、咨询对象概况</w:t>
      </w:r>
    </w:p>
    <w:p w14:paraId="2F630CB3"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（一）土地登记状况</w:t>
      </w:r>
    </w:p>
    <w:p w14:paraId="05EB03ED" w14:textId="77777777" w:rsidR="00E70101" w:rsidRDefault="0060680B">
      <w:pPr>
        <w:spacing w:line="360" w:lineRule="auto"/>
        <w:ind w:firstLine="560"/>
        <w:jc w:val="both"/>
        <w:rPr>
          <w:rFonts w:ascii="Arial" w:eastAsia="仿宋_GB2312;仿宋" w:hAnsi="Arial" w:cs="Arial"/>
          <w:bCs/>
          <w:sz w:val="28"/>
        </w:rPr>
      </w:pPr>
      <w:r>
        <w:rPr>
          <w:rFonts w:ascii="Arial" w:eastAsia="仿宋_GB2312;仿宋" w:hAnsi="Arial" w:cs="Arial"/>
          <w:bCs/>
          <w:sz w:val="28"/>
        </w:rPr>
        <w:t>根据委托方介绍，咨询对象土地使用权类型为划拨，北京对外经贸控股有限责任公司拥有咨询对象划拨国有建设用地使用权，咨询对象土地面积为</w:t>
      </w:r>
      <w:r>
        <w:rPr>
          <w:rFonts w:ascii="Arial" w:eastAsia="仿宋_GB2312;仿宋" w:hAnsi="Arial" w:cs="Arial"/>
          <w:bCs/>
          <w:sz w:val="28"/>
        </w:rPr>
        <w:t>370379.14</w:t>
      </w:r>
      <w:r>
        <w:rPr>
          <w:rFonts w:ascii="Arial" w:eastAsia="仿宋_GB2312;仿宋" w:hAnsi="Arial" w:cs="Arial"/>
          <w:bCs/>
          <w:sz w:val="28"/>
        </w:rPr>
        <w:t>平方米。</w:t>
      </w:r>
    </w:p>
    <w:p w14:paraId="240246DC" w14:textId="77777777" w:rsidR="00E70101" w:rsidRDefault="0060680B">
      <w:pPr>
        <w:spacing w:line="360" w:lineRule="auto"/>
        <w:ind w:firstLine="560"/>
        <w:jc w:val="both"/>
        <w:rPr>
          <w:rFonts w:ascii="Arial" w:eastAsia="仿宋_GB2312;仿宋" w:hAnsi="Arial" w:cs="Arial"/>
          <w:bCs/>
          <w:sz w:val="28"/>
        </w:rPr>
      </w:pPr>
      <w:r>
        <w:rPr>
          <w:rFonts w:ascii="Arial" w:eastAsia="仿宋_GB2312;仿宋" w:hAnsi="Arial" w:cs="Arial"/>
          <w:bCs/>
          <w:sz w:val="28"/>
        </w:rPr>
        <w:t>土地使用权人：北京对外经贸控股有限责任公司</w:t>
      </w:r>
      <w:r>
        <w:rPr>
          <w:rFonts w:ascii="Arial" w:eastAsia="Arial" w:hAnsi="Arial" w:cs="Arial"/>
          <w:sz w:val="28"/>
        </w:rPr>
        <w:t xml:space="preserve"> </w:t>
      </w:r>
    </w:p>
    <w:p w14:paraId="06651C6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bCs/>
          <w:sz w:val="28"/>
        </w:rPr>
        <w:t>坐落：北京市昌平区北七家镇八仙庄村仓储用地</w:t>
      </w:r>
    </w:p>
    <w:p w14:paraId="6FFF2A8D" w14:textId="77777777" w:rsidR="00E70101" w:rsidRDefault="0060680B">
      <w:pPr>
        <w:tabs>
          <w:tab w:val="left" w:pos="2112"/>
        </w:tabs>
        <w:spacing w:line="360" w:lineRule="auto"/>
        <w:ind w:firstLine="560"/>
        <w:jc w:val="both"/>
        <w:rPr>
          <w:rFonts w:ascii="Arial" w:eastAsia="仿宋_GB2312;仿宋" w:hAnsi="Arial" w:cs="Arial"/>
          <w:sz w:val="28"/>
        </w:rPr>
      </w:pPr>
      <w:r>
        <w:rPr>
          <w:rFonts w:ascii="Arial" w:eastAsia="仿宋_GB2312;仿宋" w:hAnsi="Arial" w:cs="Arial"/>
          <w:sz w:val="28"/>
        </w:rPr>
        <w:t>地号：</w:t>
      </w:r>
      <w:r>
        <w:rPr>
          <w:rFonts w:ascii="Arial" w:eastAsia="仿宋_GB2312;仿宋" w:hAnsi="Arial" w:cs="Arial"/>
          <w:sz w:val="28"/>
        </w:rPr>
        <w:t>-</w:t>
      </w:r>
      <w:r>
        <w:rPr>
          <w:rFonts w:ascii="Arial" w:eastAsia="仿宋_GB2312;仿宋" w:hAnsi="Arial" w:cs="Arial"/>
          <w:sz w:val="28"/>
        </w:rPr>
        <w:tab/>
      </w:r>
    </w:p>
    <w:p w14:paraId="2B105797"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图号：</w:t>
      </w:r>
      <w:r>
        <w:rPr>
          <w:rFonts w:ascii="Arial" w:eastAsia="仿宋_GB2312;仿宋" w:hAnsi="Arial" w:cs="Arial"/>
          <w:sz w:val="28"/>
        </w:rPr>
        <w:t>-</w:t>
      </w:r>
    </w:p>
    <w:p w14:paraId="2CFCF2C8"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地类（用途）：仓储</w:t>
      </w:r>
    </w:p>
    <w:p w14:paraId="7EFA9B99"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土地面积：</w:t>
      </w:r>
      <w:r>
        <w:rPr>
          <w:rFonts w:ascii="Arial" w:eastAsia="仿宋_GB2312;仿宋" w:hAnsi="Arial" w:cs="Arial"/>
          <w:sz w:val="28"/>
        </w:rPr>
        <w:t>370379.14</w:t>
      </w:r>
      <w:r>
        <w:rPr>
          <w:rFonts w:ascii="Arial" w:eastAsia="仿宋_GB2312;仿宋" w:hAnsi="Arial" w:cs="Arial"/>
          <w:sz w:val="28"/>
        </w:rPr>
        <w:t>平方米</w:t>
      </w:r>
      <w:r>
        <w:rPr>
          <w:rFonts w:ascii="Arial" w:eastAsia="Arial" w:hAnsi="Arial" w:cs="Arial"/>
          <w:sz w:val="28"/>
        </w:rPr>
        <w:t xml:space="preserve"> </w:t>
      </w:r>
    </w:p>
    <w:p w14:paraId="6F303E94"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咨询对象现状四至：东至现状空地，南至现状楼房，西至现状空地，北至北京祥龙大学。</w:t>
      </w:r>
    </w:p>
    <w:p w14:paraId="28DDB9AA" w14:textId="77777777" w:rsidR="00E70101" w:rsidRDefault="0060680B">
      <w:pPr>
        <w:spacing w:line="360" w:lineRule="auto"/>
        <w:ind w:firstLine="560"/>
        <w:jc w:val="both"/>
      </w:pPr>
      <w:r>
        <w:rPr>
          <w:rFonts w:ascii="Arial" w:eastAsia="仿宋_GB2312;仿宋" w:hAnsi="Arial" w:cs="Arial"/>
          <w:sz w:val="28"/>
        </w:rPr>
        <w:t>土地级别：根据</w:t>
      </w:r>
      <w:bookmarkStart w:id="14" w:name="_Hlk144827128"/>
      <w:r>
        <w:rPr>
          <w:rFonts w:ascii="Arial" w:eastAsia="仿宋_GB2312;仿宋" w:hAnsi="Arial" w:cs="Arial"/>
          <w:sz w:val="28"/>
        </w:rPr>
        <w:t>《北京市人民政府关于更新出让国有建设用地使用权基准地价的通知》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的规定</w:t>
      </w:r>
      <w:bookmarkEnd w:id="14"/>
      <w:r>
        <w:rPr>
          <w:rFonts w:ascii="Arial" w:eastAsia="仿宋_GB2312;仿宋" w:hAnsi="Arial" w:cs="Arial"/>
          <w:sz w:val="28"/>
        </w:rPr>
        <w:t>，咨询对象属于工业类七级地价区</w:t>
      </w:r>
      <w:r>
        <w:rPr>
          <w:rFonts w:ascii="Arial" w:eastAsia="仿宋_GB2312;仿宋" w:hAnsi="Arial" w:cs="Arial"/>
          <w:sz w:val="28"/>
        </w:rPr>
        <w:t>VII-</w:t>
      </w:r>
      <w:r>
        <w:rPr>
          <w:rFonts w:ascii="Arial" w:eastAsia="仿宋_GB2312;仿宋" w:hAnsi="Arial" w:cs="Arial"/>
          <w:sz w:val="28"/>
        </w:rPr>
        <w:t>昌</w:t>
      </w:r>
      <w:r>
        <w:rPr>
          <w:rFonts w:ascii="Arial" w:eastAsia="仿宋_GB2312;仿宋" w:hAnsi="Arial" w:cs="Arial"/>
          <w:sz w:val="28"/>
        </w:rPr>
        <w:t>3</w:t>
      </w:r>
      <w:r>
        <w:rPr>
          <w:rFonts w:ascii="Arial" w:eastAsia="仿宋_GB2312;仿宋" w:hAnsi="Arial" w:cs="Arial"/>
          <w:sz w:val="28"/>
        </w:rPr>
        <w:t>区片。</w:t>
      </w:r>
    </w:p>
    <w:p w14:paraId="5D287903"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（二）土地权利状况</w:t>
      </w:r>
    </w:p>
    <w:p w14:paraId="74B74227" w14:textId="77777777" w:rsidR="00E70101" w:rsidRDefault="0060680B">
      <w:pPr>
        <w:spacing w:line="360" w:lineRule="auto"/>
        <w:ind w:firstLine="560"/>
        <w:jc w:val="both"/>
      </w:pPr>
      <w:r>
        <w:rPr>
          <w:rFonts w:ascii="Arial" w:eastAsia="仿宋_GB2312;仿宋" w:hAnsi="Arial" w:cs="Arial"/>
          <w:sz w:val="28"/>
        </w:rPr>
        <w:t>经委托方介绍，咨询对象为国有土地，土地所有权为国家所有，土地使用权人为北京对外经贸控股有限责任公司。截至咨询期日，咨询对象未设定抵押、租赁等他项权利。</w:t>
      </w:r>
    </w:p>
    <w:p w14:paraId="3571B8BF"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（三）土地利用状况</w:t>
      </w:r>
    </w:p>
    <w:p w14:paraId="525545BA" w14:textId="13FBE9BE" w:rsidR="00E70101" w:rsidRDefault="0060680B" w:rsidP="00693E9D">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据委托方介绍，咨询对象用地面积为</w:t>
      </w:r>
      <w:r>
        <w:rPr>
          <w:rFonts w:ascii="Arial" w:eastAsia="仿宋_GB2312;仿宋" w:hAnsi="Arial" w:cs="Arial"/>
          <w:sz w:val="28"/>
        </w:rPr>
        <w:t>370379.14</w:t>
      </w:r>
      <w:r>
        <w:rPr>
          <w:rFonts w:ascii="Arial" w:eastAsia="仿宋_GB2312;仿宋" w:hAnsi="Arial" w:cs="Arial"/>
          <w:sz w:val="28"/>
        </w:rPr>
        <w:t>平方米，容积率设定为</w:t>
      </w:r>
      <w:r>
        <w:rPr>
          <w:rFonts w:ascii="Arial" w:eastAsia="仿宋_GB2312;仿宋" w:hAnsi="Arial" w:cs="Arial"/>
          <w:sz w:val="28"/>
        </w:rPr>
        <w:t>1.0</w:t>
      </w:r>
      <w:r>
        <w:rPr>
          <w:rFonts w:ascii="Arial" w:eastAsia="仿宋_GB2312;仿宋" w:hAnsi="Arial" w:cs="Arial"/>
          <w:sz w:val="28"/>
        </w:rPr>
        <w:t>，建筑面积设定为</w:t>
      </w:r>
      <w:r>
        <w:rPr>
          <w:rFonts w:ascii="Arial" w:eastAsia="仿宋_GB2312;仿宋" w:hAnsi="Arial" w:cs="Arial"/>
          <w:sz w:val="28"/>
        </w:rPr>
        <w:t>370379.14</w:t>
      </w:r>
      <w:r>
        <w:rPr>
          <w:rFonts w:ascii="Arial" w:eastAsia="仿宋_GB2312;仿宋" w:hAnsi="Arial" w:cs="Arial"/>
          <w:sz w:val="28"/>
        </w:rPr>
        <w:t>平方米。</w:t>
      </w:r>
    </w:p>
    <w:p w14:paraId="2C60D400" w14:textId="77777777" w:rsidR="00E70101" w:rsidRDefault="0060680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2.</w:t>
      </w:r>
      <w:r>
        <w:rPr>
          <w:rFonts w:ascii="Arial" w:eastAsia="仿宋_GB2312;仿宋" w:hAnsi="Arial" w:cs="Arial"/>
          <w:spacing w:val="-12"/>
          <w:sz w:val="28"/>
        </w:rPr>
        <w:t>土地利用现状</w:t>
      </w:r>
    </w:p>
    <w:p w14:paraId="19B1DF44" w14:textId="77777777" w:rsidR="00E70101" w:rsidRDefault="0060680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w:t>
      </w:r>
      <w:r>
        <w:rPr>
          <w:rFonts w:ascii="Arial" w:eastAsia="仿宋_GB2312;仿宋" w:hAnsi="Arial" w:cs="Arial"/>
          <w:spacing w:val="-12"/>
          <w:sz w:val="28"/>
        </w:rPr>
        <w:t>1</w:t>
      </w:r>
      <w:r>
        <w:rPr>
          <w:rFonts w:ascii="Arial" w:eastAsia="仿宋_GB2312;仿宋" w:hAnsi="Arial" w:cs="Arial"/>
          <w:spacing w:val="-12"/>
          <w:sz w:val="28"/>
        </w:rPr>
        <w:t>）建筑物</w:t>
      </w:r>
    </w:p>
    <w:p w14:paraId="57CEF05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经委托方介绍，设定咨询对象宗地现状不存在建（构）筑物。</w:t>
      </w:r>
      <w:r>
        <w:rPr>
          <w:rFonts w:ascii="Arial" w:eastAsia="Arial" w:hAnsi="Arial" w:cs="Arial"/>
          <w:sz w:val="28"/>
          <w:szCs w:val="28"/>
        </w:rPr>
        <w:t xml:space="preserve"> </w:t>
      </w:r>
    </w:p>
    <w:p w14:paraId="38E6519B" w14:textId="77777777" w:rsidR="00E70101" w:rsidRDefault="0060680B">
      <w:pPr>
        <w:spacing w:line="360" w:lineRule="auto"/>
        <w:ind w:firstLine="512"/>
        <w:jc w:val="both"/>
        <w:rPr>
          <w:rFonts w:eastAsia="仿宋_GB2312;仿宋"/>
        </w:rPr>
      </w:pPr>
      <w:r>
        <w:rPr>
          <w:rFonts w:ascii="Arial" w:eastAsia="仿宋_GB2312;仿宋" w:hAnsi="Arial" w:cs="Arial"/>
          <w:spacing w:val="-12"/>
          <w:sz w:val="28"/>
        </w:rPr>
        <w:t>（</w:t>
      </w:r>
      <w:r>
        <w:rPr>
          <w:rFonts w:ascii="Arial" w:eastAsia="仿宋_GB2312;仿宋" w:hAnsi="Arial" w:cs="Arial"/>
          <w:spacing w:val="-12"/>
          <w:sz w:val="28"/>
        </w:rPr>
        <w:t>2</w:t>
      </w:r>
      <w:r>
        <w:rPr>
          <w:rFonts w:ascii="Arial" w:eastAsia="仿宋_GB2312;仿宋" w:hAnsi="Arial" w:cs="Arial"/>
          <w:spacing w:val="-12"/>
          <w:sz w:val="28"/>
        </w:rPr>
        <w:t>）</w:t>
      </w:r>
      <w:r>
        <w:rPr>
          <w:rFonts w:ascii="Arial" w:eastAsia="仿宋_GB2312;仿宋" w:hAnsi="Arial" w:cs="Arial"/>
          <w:spacing w:val="-12"/>
          <w:sz w:val="28"/>
        </w:rPr>
        <w:tab/>
      </w:r>
      <w:r>
        <w:rPr>
          <w:rFonts w:ascii="Arial" w:eastAsia="仿宋_GB2312;仿宋" w:hAnsi="Arial" w:cs="Arial"/>
          <w:spacing w:val="-12"/>
          <w:sz w:val="28"/>
        </w:rPr>
        <w:t>附属物、设施设备情况</w:t>
      </w:r>
      <w:r>
        <w:rPr>
          <w:rFonts w:ascii="Arial" w:eastAsia="Arial" w:hAnsi="Arial" w:cs="Arial"/>
          <w:spacing w:val="-12"/>
          <w:sz w:val="28"/>
        </w:rPr>
        <w:t xml:space="preserve"> </w:t>
      </w:r>
    </w:p>
    <w:p w14:paraId="76D57CA6" w14:textId="77777777" w:rsidR="00E70101" w:rsidRDefault="0060680B">
      <w:pPr>
        <w:spacing w:line="360" w:lineRule="auto"/>
        <w:ind w:firstLine="560"/>
        <w:jc w:val="both"/>
        <w:rPr>
          <w:rFonts w:ascii="Arial" w:eastAsia="仿宋_GB2312;仿宋" w:hAnsi="Arial" w:cs="Arial"/>
          <w:spacing w:val="-12"/>
          <w:sz w:val="28"/>
        </w:rPr>
      </w:pPr>
      <w:r>
        <w:rPr>
          <w:rFonts w:ascii="Arial" w:eastAsia="仿宋_GB2312;仿宋" w:hAnsi="Arial" w:cs="Arial"/>
          <w:sz w:val="28"/>
        </w:rPr>
        <w:t>经委托方介绍，设定咨询对象宗地现状不存在附属物。</w:t>
      </w:r>
    </w:p>
    <w:p w14:paraId="771BE83C" w14:textId="77777777" w:rsidR="00E70101" w:rsidRDefault="0060680B">
      <w:pPr>
        <w:spacing w:line="360" w:lineRule="auto"/>
        <w:ind w:firstLine="512"/>
        <w:jc w:val="both"/>
        <w:rPr>
          <w:rFonts w:eastAsia="仿宋_GB2312;仿宋"/>
        </w:rPr>
      </w:pPr>
      <w:r>
        <w:rPr>
          <w:rFonts w:ascii="Arial" w:eastAsia="仿宋_GB2312;仿宋" w:hAnsi="Arial" w:cs="Arial"/>
          <w:spacing w:val="-12"/>
          <w:sz w:val="28"/>
        </w:rPr>
        <w:t>（</w:t>
      </w:r>
      <w:r>
        <w:rPr>
          <w:rFonts w:ascii="Arial" w:eastAsia="仿宋_GB2312;仿宋" w:hAnsi="Arial" w:cs="Arial"/>
          <w:spacing w:val="-12"/>
          <w:sz w:val="28"/>
        </w:rPr>
        <w:t>3</w:t>
      </w:r>
      <w:r>
        <w:rPr>
          <w:rFonts w:ascii="Arial" w:eastAsia="仿宋_GB2312;仿宋" w:hAnsi="Arial" w:cs="Arial"/>
          <w:spacing w:val="-12"/>
          <w:sz w:val="28"/>
        </w:rPr>
        <w:t>）</w:t>
      </w:r>
      <w:r>
        <w:rPr>
          <w:rFonts w:ascii="Arial" w:eastAsia="仿宋_GB2312;仿宋" w:hAnsi="Arial" w:cs="Arial"/>
          <w:spacing w:val="-12"/>
          <w:sz w:val="28"/>
        </w:rPr>
        <w:tab/>
      </w:r>
      <w:r>
        <w:rPr>
          <w:rFonts w:ascii="Arial" w:eastAsia="仿宋_GB2312;仿宋" w:hAnsi="Arial" w:cs="Arial"/>
          <w:spacing w:val="-12"/>
          <w:sz w:val="28"/>
        </w:rPr>
        <w:t>土地利用情况</w:t>
      </w:r>
      <w:r>
        <w:rPr>
          <w:rFonts w:ascii="Arial" w:eastAsia="Arial" w:hAnsi="Arial" w:cs="Arial"/>
          <w:spacing w:val="-12"/>
          <w:sz w:val="28"/>
        </w:rPr>
        <w:t xml:space="preserve"> </w:t>
      </w:r>
    </w:p>
    <w:p w14:paraId="04A9306C" w14:textId="77777777" w:rsidR="00E70101" w:rsidRDefault="0060680B">
      <w:pPr>
        <w:spacing w:line="360" w:lineRule="auto"/>
        <w:ind w:firstLine="512"/>
        <w:jc w:val="both"/>
        <w:rPr>
          <w:rFonts w:eastAsia="仿宋_GB2312;仿宋"/>
        </w:rPr>
      </w:pPr>
      <w:r>
        <w:rPr>
          <w:rFonts w:ascii="Arial" w:eastAsia="仿宋_GB2312;仿宋" w:hAnsi="Arial" w:cs="Arial"/>
          <w:spacing w:val="-12"/>
          <w:sz w:val="28"/>
        </w:rPr>
        <w:t>宗地红线外基础设施已达到</w:t>
      </w:r>
      <w:r>
        <w:rPr>
          <w:rFonts w:ascii="Arial" w:eastAsia="仿宋_GB2312;仿宋" w:hAnsi="Arial" w:cs="Arial"/>
          <w:spacing w:val="-12"/>
          <w:sz w:val="28"/>
        </w:rPr>
        <w:t>”</w:t>
      </w:r>
      <w:r>
        <w:rPr>
          <w:rFonts w:ascii="Arial" w:eastAsia="仿宋_GB2312;仿宋" w:hAnsi="Arial" w:cs="Arial"/>
          <w:spacing w:val="-12"/>
          <w:sz w:val="28"/>
        </w:rPr>
        <w:t>七通</w:t>
      </w:r>
      <w:r>
        <w:rPr>
          <w:rFonts w:ascii="Arial" w:eastAsia="仿宋_GB2312;仿宋" w:hAnsi="Arial" w:cs="Arial"/>
          <w:spacing w:val="-12"/>
          <w:sz w:val="28"/>
        </w:rPr>
        <w:t>”</w:t>
      </w:r>
      <w:r>
        <w:rPr>
          <w:rFonts w:ascii="Arial" w:eastAsia="仿宋_GB2312;仿宋" w:hAnsi="Arial" w:cs="Arial"/>
          <w:spacing w:val="-12"/>
          <w:sz w:val="28"/>
        </w:rPr>
        <w:t>（通路、通电、通讯、通上水、通下水、通燃气、通热），具体状况如下：</w:t>
      </w:r>
      <w:r>
        <w:rPr>
          <w:rFonts w:ascii="Arial" w:eastAsia="Arial" w:hAnsi="Arial" w:cs="Arial"/>
          <w:spacing w:val="-12"/>
          <w:sz w:val="28"/>
        </w:rPr>
        <w:t xml:space="preserve"> </w:t>
      </w:r>
    </w:p>
    <w:p w14:paraId="69B364FE" w14:textId="77777777" w:rsidR="00E70101" w:rsidRDefault="0060680B">
      <w:pPr>
        <w:spacing w:line="360" w:lineRule="auto"/>
        <w:ind w:firstLine="512"/>
        <w:jc w:val="both"/>
        <w:rPr>
          <w:rFonts w:eastAsia="仿宋_GB2312;仿宋"/>
        </w:rPr>
      </w:pPr>
      <w:r>
        <w:rPr>
          <w:rFonts w:ascii="Arial" w:eastAsia="仿宋_GB2312;仿宋" w:hAnsi="Arial" w:cs="Arial"/>
          <w:spacing w:val="-12"/>
          <w:sz w:val="28"/>
        </w:rPr>
        <w:t>通路：八仙庄北大街，为城市次干道；</w:t>
      </w:r>
      <w:r>
        <w:rPr>
          <w:rFonts w:ascii="Arial" w:eastAsia="Arial" w:hAnsi="Arial" w:cs="Arial"/>
          <w:spacing w:val="-12"/>
          <w:sz w:val="28"/>
        </w:rPr>
        <w:t xml:space="preserve"> </w:t>
      </w:r>
    </w:p>
    <w:p w14:paraId="2236423C" w14:textId="77777777" w:rsidR="00E70101" w:rsidRDefault="0060680B">
      <w:pPr>
        <w:spacing w:line="360" w:lineRule="auto"/>
        <w:ind w:firstLine="512"/>
        <w:jc w:val="both"/>
      </w:pPr>
      <w:r>
        <w:rPr>
          <w:rFonts w:ascii="Arial" w:eastAsia="仿宋_GB2312;仿宋" w:hAnsi="Arial" w:cs="Arial"/>
          <w:spacing w:val="-12"/>
          <w:sz w:val="28"/>
        </w:rPr>
        <w:t>通电：市政供电网络；</w:t>
      </w:r>
    </w:p>
    <w:p w14:paraId="1697C919" w14:textId="77777777" w:rsidR="00E70101" w:rsidRDefault="0060680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通上水：市政管网供水，设施完备，水源稳定；</w:t>
      </w:r>
    </w:p>
    <w:p w14:paraId="580A7AA1" w14:textId="77777777" w:rsidR="00E70101" w:rsidRDefault="0060680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通下水：市政管网排水；</w:t>
      </w:r>
    </w:p>
    <w:p w14:paraId="250F5552" w14:textId="77777777" w:rsidR="00E70101" w:rsidRDefault="0060680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通讯：项目用地有电信管道；</w:t>
      </w:r>
    </w:p>
    <w:p w14:paraId="5848F4AB" w14:textId="77777777" w:rsidR="00E70101" w:rsidRDefault="0060680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通热：市政供暖；</w:t>
      </w:r>
    </w:p>
    <w:p w14:paraId="01DF21B6" w14:textId="77777777" w:rsidR="00E70101" w:rsidRDefault="0060680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通燃气：管道天然气。</w:t>
      </w:r>
    </w:p>
    <w:p w14:paraId="681CF192" w14:textId="77777777" w:rsidR="00E70101" w:rsidRDefault="00E70101">
      <w:pPr>
        <w:spacing w:line="360" w:lineRule="auto"/>
        <w:jc w:val="both"/>
        <w:rPr>
          <w:rFonts w:ascii="Arial" w:eastAsia="仿宋_GB2312;仿宋" w:hAnsi="Arial" w:cs="Arial"/>
          <w:spacing w:val="-12"/>
          <w:sz w:val="28"/>
        </w:rPr>
      </w:pPr>
    </w:p>
    <w:p w14:paraId="396C5F8F" w14:textId="77777777" w:rsidR="00E70101" w:rsidRDefault="0060680B">
      <w:pPr>
        <w:spacing w:line="360" w:lineRule="auto"/>
        <w:outlineLvl w:val="1"/>
      </w:pPr>
      <w:bookmarkStart w:id="15" w:name="__RefHeading___Toc469066142"/>
      <w:bookmarkEnd w:id="15"/>
      <w:r>
        <w:rPr>
          <w:rFonts w:ascii="Arial" w:eastAsia="仿宋_GB2312;仿宋" w:hAnsi="Arial" w:cs="Arial"/>
          <w:b/>
          <w:sz w:val="28"/>
        </w:rPr>
        <w:t>四、影响地价的因素说明</w:t>
      </w:r>
    </w:p>
    <w:p w14:paraId="0D9AC28D"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（一）</w:t>
      </w:r>
      <w:r>
        <w:rPr>
          <w:rFonts w:ascii="Arial" w:eastAsia="Arial" w:hAnsi="Arial" w:cs="Arial"/>
          <w:sz w:val="28"/>
        </w:rPr>
        <w:t xml:space="preserve"> </w:t>
      </w:r>
      <w:r>
        <w:rPr>
          <w:rFonts w:ascii="Arial" w:eastAsia="仿宋_GB2312;仿宋" w:hAnsi="Arial" w:cs="Arial"/>
          <w:sz w:val="28"/>
        </w:rPr>
        <w:t>一般因素</w:t>
      </w:r>
    </w:p>
    <w:p w14:paraId="05264749" w14:textId="77777777" w:rsidR="00E70101" w:rsidRDefault="0060680B">
      <w:pPr>
        <w:widowControl/>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1.</w:t>
      </w:r>
      <w:r>
        <w:rPr>
          <w:rFonts w:ascii="Arial" w:eastAsia="仿宋_GB2312;仿宋" w:hAnsi="Arial" w:cs="Arial"/>
          <w:bCs/>
          <w:sz w:val="28"/>
          <w:szCs w:val="28"/>
        </w:rPr>
        <w:t>城市资源状况</w:t>
      </w:r>
    </w:p>
    <w:p w14:paraId="28896781" w14:textId="77777777" w:rsidR="00E70101" w:rsidRDefault="0060680B">
      <w:pPr>
        <w:spacing w:line="360" w:lineRule="auto"/>
        <w:ind w:firstLine="562"/>
        <w:jc w:val="both"/>
        <w:outlineLvl w:val="0"/>
        <w:rPr>
          <w:rFonts w:ascii="Arial" w:eastAsia="仿宋_GB2312;仿宋" w:hAnsi="Arial" w:cs="Arial"/>
          <w:bCs/>
          <w:color w:val="000000"/>
          <w:sz w:val="28"/>
          <w:szCs w:val="28"/>
        </w:rPr>
      </w:pPr>
      <w:r>
        <w:rPr>
          <w:rFonts w:ascii="仿宋_GB2312;仿宋" w:eastAsia="仿宋_GB2312;仿宋" w:hAnsi="仿宋_GB2312;仿宋"/>
          <w:b/>
          <w:bCs/>
          <w:color w:val="000000"/>
          <w:sz w:val="28"/>
          <w:szCs w:val="28"/>
        </w:rPr>
        <w:t>地理位置：</w:t>
      </w:r>
      <w:r>
        <w:rPr>
          <w:rFonts w:ascii="Arial" w:eastAsia="仿宋" w:hAnsi="Arial" w:cs="Arial"/>
          <w:color w:val="000000"/>
          <w:kern w:val="2"/>
          <w:sz w:val="28"/>
          <w:szCs w:val="28"/>
        </w:rPr>
        <w:t>北京，简称</w:t>
      </w:r>
      <w:r>
        <w:rPr>
          <w:rFonts w:ascii="Arial" w:eastAsia="仿宋" w:hAnsi="Arial" w:cs="Arial"/>
          <w:color w:val="000000"/>
          <w:kern w:val="2"/>
          <w:sz w:val="28"/>
          <w:szCs w:val="28"/>
        </w:rPr>
        <w:t>“</w:t>
      </w:r>
      <w:r>
        <w:rPr>
          <w:rFonts w:ascii="Arial" w:eastAsia="仿宋" w:hAnsi="Arial" w:cs="Arial"/>
          <w:color w:val="000000"/>
          <w:kern w:val="2"/>
          <w:sz w:val="28"/>
          <w:szCs w:val="28"/>
        </w:rPr>
        <w:t>京</w:t>
      </w:r>
      <w:r>
        <w:rPr>
          <w:rFonts w:ascii="Arial" w:eastAsia="仿宋" w:hAnsi="Arial" w:cs="Arial"/>
          <w:color w:val="000000"/>
          <w:kern w:val="2"/>
          <w:sz w:val="28"/>
          <w:szCs w:val="28"/>
        </w:rPr>
        <w:t>”</w:t>
      </w:r>
      <w:r>
        <w:rPr>
          <w:rFonts w:ascii="Arial" w:eastAsia="仿宋" w:hAnsi="Arial" w:cs="Arial"/>
          <w:color w:val="000000"/>
          <w:kern w:val="2"/>
          <w:sz w:val="28"/>
          <w:szCs w:val="28"/>
        </w:rPr>
        <w:t>，是中华人民共和国的首都，是全国的政治中心、文化中心，是世界著名古都和现代化国际城市。北京位于北纬</w:t>
      </w:r>
      <w:r>
        <w:rPr>
          <w:rFonts w:ascii="Arial" w:eastAsia="仿宋" w:hAnsi="Arial" w:cs="Arial"/>
          <w:color w:val="000000"/>
          <w:kern w:val="2"/>
          <w:sz w:val="28"/>
          <w:szCs w:val="28"/>
        </w:rPr>
        <w:t>39</w:t>
      </w:r>
      <w:r>
        <w:rPr>
          <w:rFonts w:ascii="Arial" w:eastAsia="仿宋" w:hAnsi="Arial" w:cs="Arial"/>
          <w:color w:val="000000"/>
          <w:kern w:val="2"/>
          <w:sz w:val="28"/>
          <w:szCs w:val="28"/>
        </w:rPr>
        <w:t>度</w:t>
      </w:r>
      <w:r>
        <w:rPr>
          <w:rFonts w:ascii="Arial" w:eastAsia="仿宋" w:hAnsi="Arial" w:cs="Arial"/>
          <w:color w:val="000000"/>
          <w:kern w:val="2"/>
          <w:sz w:val="28"/>
          <w:szCs w:val="28"/>
        </w:rPr>
        <w:t>56</w:t>
      </w:r>
      <w:r>
        <w:rPr>
          <w:rFonts w:ascii="Arial" w:eastAsia="仿宋" w:hAnsi="Arial" w:cs="Arial"/>
          <w:color w:val="000000"/>
          <w:kern w:val="2"/>
          <w:sz w:val="28"/>
          <w:szCs w:val="28"/>
        </w:rPr>
        <w:t>分、东经</w:t>
      </w:r>
      <w:r>
        <w:rPr>
          <w:rFonts w:ascii="Arial" w:eastAsia="仿宋" w:hAnsi="Arial" w:cs="Arial"/>
          <w:color w:val="000000"/>
          <w:kern w:val="2"/>
          <w:sz w:val="28"/>
          <w:szCs w:val="28"/>
        </w:rPr>
        <w:t>116</w:t>
      </w:r>
      <w:r>
        <w:rPr>
          <w:rFonts w:ascii="Arial" w:eastAsia="仿宋" w:hAnsi="Arial" w:cs="Arial"/>
          <w:color w:val="000000"/>
          <w:kern w:val="2"/>
          <w:sz w:val="28"/>
          <w:szCs w:val="28"/>
        </w:rPr>
        <w:t>度</w:t>
      </w:r>
      <w:r>
        <w:rPr>
          <w:rFonts w:ascii="Arial" w:eastAsia="仿宋" w:hAnsi="Arial" w:cs="Arial"/>
          <w:color w:val="000000"/>
          <w:kern w:val="2"/>
          <w:sz w:val="28"/>
          <w:szCs w:val="28"/>
        </w:rPr>
        <w:t>20</w:t>
      </w:r>
      <w:r>
        <w:rPr>
          <w:rFonts w:ascii="Arial" w:eastAsia="仿宋" w:hAnsi="Arial" w:cs="Arial"/>
          <w:color w:val="000000"/>
          <w:kern w:val="2"/>
          <w:sz w:val="28"/>
          <w:szCs w:val="28"/>
        </w:rPr>
        <w:t>分，地处华北大平原的北部，东面与天津市毗连，其余均与河北省相邻。</w:t>
      </w:r>
    </w:p>
    <w:p w14:paraId="3A548B3E" w14:textId="77777777" w:rsidR="00E70101" w:rsidRDefault="0060680B">
      <w:pPr>
        <w:widowControl/>
        <w:spacing w:line="360" w:lineRule="auto"/>
        <w:ind w:firstLine="562"/>
        <w:jc w:val="both"/>
        <w:rPr>
          <w:rFonts w:ascii="Arial" w:eastAsia="仿宋_GB2312;仿宋" w:hAnsi="Arial" w:cs="Arial"/>
          <w:bCs/>
          <w:color w:val="000000"/>
          <w:sz w:val="28"/>
          <w:szCs w:val="28"/>
        </w:rPr>
      </w:pPr>
      <w:r>
        <w:rPr>
          <w:rFonts w:ascii="仿宋_GB2312;仿宋" w:eastAsia="仿宋_GB2312;仿宋" w:hAnsi="仿宋_GB2312;仿宋"/>
          <w:b/>
          <w:bCs/>
          <w:color w:val="000000"/>
          <w:sz w:val="28"/>
          <w:szCs w:val="28"/>
        </w:rPr>
        <w:t>城市人口：</w:t>
      </w:r>
      <w:bookmarkStart w:id="16" w:name="OLE_LINK33"/>
      <w:bookmarkStart w:id="17" w:name="OLE_LINK34"/>
      <w:bookmarkStart w:id="18" w:name="OLE_LINK38"/>
      <w:r>
        <w:rPr>
          <w:rFonts w:ascii="Arial" w:eastAsia="仿宋_GB2312;仿宋" w:hAnsi="Arial" w:cs="Arial"/>
          <w:bCs/>
          <w:color w:val="000000"/>
          <w:sz w:val="28"/>
          <w:szCs w:val="28"/>
        </w:rPr>
        <w:t>截至</w:t>
      </w:r>
      <w:r>
        <w:rPr>
          <w:rFonts w:ascii="Arial" w:eastAsia="仿宋_GB2312;仿宋" w:hAnsi="Arial" w:cs="Arial"/>
          <w:bCs/>
          <w:color w:val="000000"/>
          <w:sz w:val="28"/>
          <w:szCs w:val="28"/>
        </w:rPr>
        <w:t>2023</w:t>
      </w:r>
      <w:r>
        <w:rPr>
          <w:rFonts w:ascii="Arial" w:eastAsia="仿宋_GB2312;仿宋" w:hAnsi="Arial" w:cs="Arial"/>
          <w:bCs/>
          <w:color w:val="000000"/>
          <w:sz w:val="28"/>
          <w:szCs w:val="28"/>
        </w:rPr>
        <w:t>年年末，北京市常住人口为</w:t>
      </w:r>
      <w:r>
        <w:rPr>
          <w:rFonts w:ascii="Arial" w:eastAsia="仿宋_GB2312;仿宋" w:hAnsi="Arial" w:cs="Arial"/>
          <w:bCs/>
          <w:color w:val="000000"/>
          <w:sz w:val="28"/>
          <w:szCs w:val="28"/>
        </w:rPr>
        <w:t>2185.8</w:t>
      </w:r>
      <w:r>
        <w:rPr>
          <w:rFonts w:ascii="Arial" w:eastAsia="仿宋_GB2312;仿宋" w:hAnsi="Arial" w:cs="Arial"/>
          <w:bCs/>
          <w:color w:val="000000"/>
          <w:sz w:val="28"/>
          <w:szCs w:val="28"/>
        </w:rPr>
        <w:t>万人，从年龄构成看，</w:t>
      </w:r>
      <w:r>
        <w:rPr>
          <w:rFonts w:ascii="Arial" w:eastAsia="仿宋_GB2312;仿宋" w:hAnsi="Arial" w:cs="Arial"/>
          <w:bCs/>
          <w:color w:val="000000"/>
          <w:sz w:val="28"/>
          <w:szCs w:val="28"/>
        </w:rPr>
        <w:t>0-14</w:t>
      </w:r>
      <w:r>
        <w:rPr>
          <w:rFonts w:ascii="Arial" w:eastAsia="仿宋_GB2312;仿宋" w:hAnsi="Arial" w:cs="Arial"/>
          <w:bCs/>
          <w:color w:val="000000"/>
          <w:sz w:val="28"/>
          <w:szCs w:val="28"/>
        </w:rPr>
        <w:t>岁常住人口</w:t>
      </w:r>
      <w:r>
        <w:rPr>
          <w:rFonts w:ascii="Arial" w:eastAsia="仿宋_GB2312;仿宋" w:hAnsi="Arial" w:cs="Arial"/>
          <w:bCs/>
          <w:color w:val="000000"/>
          <w:sz w:val="28"/>
          <w:szCs w:val="28"/>
        </w:rPr>
        <w:t>262.5</w:t>
      </w:r>
      <w:r>
        <w:rPr>
          <w:rFonts w:ascii="Arial" w:eastAsia="仿宋_GB2312;仿宋" w:hAnsi="Arial" w:cs="Arial"/>
          <w:bCs/>
          <w:color w:val="000000"/>
          <w:sz w:val="28"/>
          <w:szCs w:val="28"/>
        </w:rPr>
        <w:t>万人，占全市常住人口的比重为</w:t>
      </w:r>
      <w:r>
        <w:rPr>
          <w:rFonts w:ascii="Arial" w:eastAsia="仿宋_GB2312;仿宋" w:hAnsi="Arial" w:cs="Arial"/>
          <w:bCs/>
          <w:color w:val="000000"/>
          <w:sz w:val="28"/>
          <w:szCs w:val="28"/>
        </w:rPr>
        <w:t>12.0%</w:t>
      </w:r>
      <w:r>
        <w:rPr>
          <w:rFonts w:ascii="Arial" w:eastAsia="仿宋_GB2312;仿宋" w:hAnsi="Arial" w:cs="Arial"/>
          <w:bCs/>
          <w:color w:val="000000"/>
          <w:sz w:val="28"/>
          <w:szCs w:val="28"/>
        </w:rPr>
        <w:t>；</w:t>
      </w:r>
      <w:r>
        <w:rPr>
          <w:rFonts w:ascii="Arial" w:eastAsia="仿宋_GB2312;仿宋" w:hAnsi="Arial" w:cs="Arial"/>
          <w:bCs/>
          <w:color w:val="000000"/>
          <w:sz w:val="28"/>
          <w:szCs w:val="28"/>
        </w:rPr>
        <w:t>15-59</w:t>
      </w:r>
      <w:r>
        <w:rPr>
          <w:rFonts w:ascii="Arial" w:eastAsia="仿宋_GB2312;仿宋" w:hAnsi="Arial" w:cs="Arial"/>
          <w:bCs/>
          <w:color w:val="000000"/>
          <w:sz w:val="28"/>
          <w:szCs w:val="28"/>
        </w:rPr>
        <w:t>岁常住人口</w:t>
      </w:r>
      <w:r>
        <w:rPr>
          <w:rFonts w:ascii="Arial" w:eastAsia="仿宋_GB2312;仿宋" w:hAnsi="Arial" w:cs="Arial"/>
          <w:bCs/>
          <w:color w:val="000000"/>
          <w:sz w:val="28"/>
          <w:szCs w:val="28"/>
        </w:rPr>
        <w:t>1428.5</w:t>
      </w:r>
      <w:r>
        <w:rPr>
          <w:rFonts w:ascii="Arial" w:eastAsia="仿宋_GB2312;仿宋" w:hAnsi="Arial" w:cs="Arial"/>
          <w:bCs/>
          <w:color w:val="000000"/>
          <w:sz w:val="28"/>
          <w:szCs w:val="28"/>
        </w:rPr>
        <w:t>万人，占</w:t>
      </w:r>
      <w:r>
        <w:rPr>
          <w:rFonts w:ascii="Arial" w:eastAsia="仿宋_GB2312;仿宋" w:hAnsi="Arial" w:cs="Arial"/>
          <w:bCs/>
          <w:color w:val="000000"/>
          <w:sz w:val="28"/>
          <w:szCs w:val="28"/>
        </w:rPr>
        <w:t>65.4%</w:t>
      </w:r>
      <w:r>
        <w:rPr>
          <w:rFonts w:ascii="Arial" w:eastAsia="仿宋_GB2312;仿宋" w:hAnsi="Arial" w:cs="Arial"/>
          <w:bCs/>
          <w:color w:val="000000"/>
          <w:sz w:val="28"/>
          <w:szCs w:val="28"/>
        </w:rPr>
        <w:t>；</w:t>
      </w:r>
      <w:r>
        <w:rPr>
          <w:rFonts w:ascii="Arial" w:eastAsia="仿宋_GB2312;仿宋" w:hAnsi="Arial" w:cs="Arial"/>
          <w:bCs/>
          <w:color w:val="000000"/>
          <w:sz w:val="28"/>
          <w:szCs w:val="28"/>
        </w:rPr>
        <w:t>60</w:t>
      </w:r>
      <w:r>
        <w:rPr>
          <w:rFonts w:ascii="Arial" w:eastAsia="仿宋_GB2312;仿宋" w:hAnsi="Arial" w:cs="Arial"/>
          <w:bCs/>
          <w:color w:val="000000"/>
          <w:sz w:val="28"/>
          <w:szCs w:val="28"/>
        </w:rPr>
        <w:t>岁及以上常住人口</w:t>
      </w:r>
      <w:r>
        <w:rPr>
          <w:rFonts w:ascii="Arial" w:eastAsia="仿宋_GB2312;仿宋" w:hAnsi="Arial" w:cs="Arial"/>
          <w:bCs/>
          <w:color w:val="000000"/>
          <w:sz w:val="28"/>
          <w:szCs w:val="28"/>
        </w:rPr>
        <w:t>494.8</w:t>
      </w:r>
      <w:r>
        <w:rPr>
          <w:rFonts w:ascii="Arial" w:eastAsia="仿宋_GB2312;仿宋" w:hAnsi="Arial" w:cs="Arial"/>
          <w:bCs/>
          <w:color w:val="000000"/>
          <w:sz w:val="28"/>
          <w:szCs w:val="28"/>
        </w:rPr>
        <w:t>万人，占</w:t>
      </w:r>
      <w:r>
        <w:rPr>
          <w:rFonts w:ascii="Arial" w:eastAsia="仿宋_GB2312;仿宋" w:hAnsi="Arial" w:cs="Arial"/>
          <w:bCs/>
          <w:color w:val="000000"/>
          <w:sz w:val="28"/>
          <w:szCs w:val="28"/>
        </w:rPr>
        <w:t>22.6%</w:t>
      </w:r>
      <w:r>
        <w:rPr>
          <w:rFonts w:ascii="Arial" w:eastAsia="仿宋_GB2312;仿宋" w:hAnsi="Arial" w:cs="Arial"/>
          <w:bCs/>
          <w:color w:val="000000"/>
          <w:sz w:val="28"/>
          <w:szCs w:val="28"/>
        </w:rPr>
        <w:t>。</w:t>
      </w:r>
    </w:p>
    <w:p w14:paraId="586E9905" w14:textId="77777777" w:rsidR="00E70101" w:rsidRDefault="0060680B">
      <w:pPr>
        <w:overflowPunct w:val="0"/>
        <w:spacing w:line="360" w:lineRule="auto"/>
        <w:jc w:val="center"/>
        <w:rPr>
          <w:rFonts w:ascii="Arial" w:eastAsia="仿宋_GB2312;仿宋" w:hAnsi="Arial" w:cs="Arial"/>
          <w:b/>
          <w:bCs/>
          <w:color w:val="000000"/>
          <w:szCs w:val="24"/>
        </w:rPr>
      </w:pPr>
      <w:r>
        <w:rPr>
          <w:rFonts w:ascii="Arial" w:eastAsia="仿宋_GB2312;仿宋" w:hAnsi="Arial" w:cs="Arial"/>
          <w:b/>
          <w:bCs/>
          <w:color w:val="000000"/>
          <w:szCs w:val="24"/>
        </w:rPr>
        <w:t>2019-2023</w:t>
      </w:r>
      <w:r>
        <w:rPr>
          <w:rFonts w:ascii="Arial" w:eastAsia="仿宋_GB2312;仿宋" w:hAnsi="Arial" w:cs="Arial"/>
          <w:b/>
          <w:bCs/>
          <w:color w:val="000000"/>
          <w:szCs w:val="24"/>
        </w:rPr>
        <w:t>年常住人口增量及增长速度</w:t>
      </w:r>
    </w:p>
    <w:bookmarkEnd w:id="16"/>
    <w:bookmarkEnd w:id="17"/>
    <w:bookmarkEnd w:id="18"/>
    <w:p w14:paraId="25F14A4E" w14:textId="77777777" w:rsidR="00E70101" w:rsidRDefault="0060680B">
      <w:pPr>
        <w:spacing w:line="360" w:lineRule="auto"/>
        <w:jc w:val="center"/>
        <w:outlineLvl w:val="0"/>
        <w:rPr>
          <w:rFonts w:ascii="Arial" w:eastAsia="仿宋_GB2312;仿宋" w:hAnsi="Arial" w:cs="Arial"/>
          <w:bCs/>
          <w:color w:val="000000"/>
          <w:sz w:val="28"/>
          <w:szCs w:val="28"/>
        </w:rPr>
      </w:pPr>
      <w:r>
        <w:rPr>
          <w:noProof/>
        </w:rPr>
        <w:drawing>
          <wp:inline distT="0" distB="0" distL="0" distR="0" wp14:anchorId="025DD491" wp14:editId="64B06FFA">
            <wp:extent cx="5905500" cy="2027555"/>
            <wp:effectExtent l="0" t="0" r="0" b="0"/>
            <wp:docPr id="11" name="图表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表 1"/>
                    <pic:cNvPicPr>
                      <a:picLocks noChangeAspect="1" noChangeArrowheads="1"/>
                    </pic:cNvPicPr>
                  </pic:nvPicPr>
                  <pic:blipFill>
                    <a:blip r:embed="rId27"/>
                    <a:srcRect l="-6" t="-17" r="-6" b="-17"/>
                    <a:stretch>
                      <a:fillRect/>
                    </a:stretch>
                  </pic:blipFill>
                  <pic:spPr bwMode="auto">
                    <a:xfrm>
                      <a:off x="0" y="0"/>
                      <a:ext cx="5905500" cy="2027555"/>
                    </a:xfrm>
                    <a:prstGeom prst="rect">
                      <a:avLst/>
                    </a:prstGeom>
                  </pic:spPr>
                </pic:pic>
              </a:graphicData>
            </a:graphic>
          </wp:inline>
        </w:drawing>
      </w:r>
    </w:p>
    <w:p w14:paraId="34BC64FC" w14:textId="77777777" w:rsidR="00E70101" w:rsidRDefault="0060680B">
      <w:pPr>
        <w:spacing w:line="360" w:lineRule="auto"/>
        <w:ind w:firstLine="562"/>
        <w:jc w:val="both"/>
        <w:outlineLvl w:val="0"/>
      </w:pPr>
      <w:r>
        <w:rPr>
          <w:rFonts w:ascii="仿宋_GB2312;仿宋" w:eastAsia="仿宋_GB2312;仿宋" w:hAnsi="仿宋_GB2312;仿宋"/>
          <w:b/>
          <w:bCs/>
          <w:color w:val="000000"/>
          <w:sz w:val="28"/>
          <w:szCs w:val="28"/>
        </w:rPr>
        <w:t>城市面积：</w:t>
      </w:r>
      <w:r>
        <w:rPr>
          <w:rFonts w:ascii="Arial" w:eastAsia="仿宋" w:hAnsi="Arial" w:cs="Arial"/>
          <w:color w:val="000000"/>
          <w:kern w:val="2"/>
          <w:sz w:val="28"/>
          <w:szCs w:val="28"/>
        </w:rPr>
        <w:t>北京市下辖</w:t>
      </w:r>
      <w:r>
        <w:rPr>
          <w:rFonts w:ascii="Arial" w:eastAsia="仿宋" w:hAnsi="Arial" w:cs="Arial"/>
          <w:color w:val="000000"/>
          <w:kern w:val="2"/>
          <w:sz w:val="28"/>
          <w:szCs w:val="28"/>
        </w:rPr>
        <w:t>16</w:t>
      </w:r>
      <w:r>
        <w:rPr>
          <w:rFonts w:ascii="Arial" w:eastAsia="仿宋" w:hAnsi="Arial" w:cs="Arial"/>
          <w:color w:val="000000"/>
          <w:kern w:val="2"/>
          <w:sz w:val="28"/>
          <w:szCs w:val="28"/>
        </w:rPr>
        <w:t>个区（</w:t>
      </w:r>
      <w:r>
        <w:rPr>
          <w:rFonts w:ascii="Arial" w:eastAsia="仿宋_GB2312;仿宋" w:hAnsi="Arial" w:cs="Arial"/>
          <w:bCs/>
          <w:color w:val="000000"/>
          <w:sz w:val="28"/>
          <w:szCs w:val="28"/>
        </w:rPr>
        <w:t>即东城、西城、海淀、朝阳、丰台、顺义、昌平、通州、门头沟、石景山、房山、大兴、怀柔、平谷、密云、延庆</w:t>
      </w:r>
      <w:r>
        <w:rPr>
          <w:rFonts w:ascii="Arial" w:eastAsia="仿宋" w:hAnsi="Arial" w:cs="Arial"/>
          <w:color w:val="000000"/>
          <w:kern w:val="2"/>
          <w:sz w:val="28"/>
          <w:szCs w:val="28"/>
        </w:rPr>
        <w:t>），行政辖区总面积为</w:t>
      </w:r>
      <w:r>
        <w:rPr>
          <w:rFonts w:ascii="Arial" w:eastAsia="仿宋" w:hAnsi="Arial" w:cs="Arial"/>
          <w:color w:val="000000"/>
          <w:kern w:val="2"/>
          <w:sz w:val="28"/>
          <w:szCs w:val="28"/>
        </w:rPr>
        <w:t>16410</w:t>
      </w:r>
      <w:r>
        <w:rPr>
          <w:rFonts w:ascii="Arial" w:eastAsia="仿宋" w:hAnsi="Arial" w:cs="Arial"/>
          <w:color w:val="000000"/>
          <w:kern w:val="2"/>
          <w:sz w:val="28"/>
          <w:szCs w:val="28"/>
        </w:rPr>
        <w:t>平方公里。</w:t>
      </w:r>
    </w:p>
    <w:p w14:paraId="3A7AD86F" w14:textId="77777777" w:rsidR="00E70101" w:rsidRDefault="0060680B">
      <w:pPr>
        <w:spacing w:line="360" w:lineRule="auto"/>
        <w:ind w:firstLine="562"/>
        <w:jc w:val="both"/>
        <w:outlineLvl w:val="0"/>
        <w:rPr>
          <w:rFonts w:ascii="Arial" w:eastAsia="仿宋" w:hAnsi="Arial" w:cs="Arial"/>
          <w:color w:val="000000"/>
          <w:kern w:val="2"/>
          <w:sz w:val="28"/>
          <w:szCs w:val="28"/>
        </w:rPr>
      </w:pPr>
      <w:r>
        <w:rPr>
          <w:rFonts w:ascii="仿宋_GB2312;仿宋" w:eastAsia="仿宋_GB2312;仿宋" w:hAnsi="仿宋_GB2312;仿宋"/>
          <w:b/>
          <w:bCs/>
          <w:color w:val="000000"/>
          <w:sz w:val="28"/>
          <w:szCs w:val="28"/>
        </w:rPr>
        <w:t>城市自然条件：</w:t>
      </w:r>
      <w:r>
        <w:rPr>
          <w:rFonts w:ascii="Arial" w:eastAsia="仿宋" w:hAnsi="Arial" w:cs="Arial"/>
          <w:color w:val="000000"/>
          <w:kern w:val="2"/>
          <w:sz w:val="28"/>
          <w:szCs w:val="28"/>
        </w:rPr>
        <w:t>北京气候属暖温带半湿润半干旱季风气候，夏季高温多雨，冬季寒冷干燥，春、秋短促。全年无霜期</w:t>
      </w:r>
      <w:r>
        <w:rPr>
          <w:rFonts w:ascii="Arial" w:eastAsia="仿宋" w:hAnsi="Arial" w:cs="Arial"/>
          <w:color w:val="000000"/>
          <w:kern w:val="2"/>
          <w:sz w:val="28"/>
          <w:szCs w:val="28"/>
        </w:rPr>
        <w:t>180</w:t>
      </w:r>
      <w:r>
        <w:rPr>
          <w:rFonts w:ascii="Arial" w:eastAsia="仿宋" w:hAnsi="Arial" w:cs="Arial"/>
          <w:color w:val="000000"/>
          <w:kern w:val="2"/>
          <w:sz w:val="28"/>
          <w:szCs w:val="28"/>
        </w:rPr>
        <w:t>～</w:t>
      </w:r>
      <w:r>
        <w:rPr>
          <w:rFonts w:ascii="Arial" w:eastAsia="仿宋" w:hAnsi="Arial" w:cs="Arial"/>
          <w:color w:val="000000"/>
          <w:kern w:val="2"/>
          <w:sz w:val="28"/>
          <w:szCs w:val="28"/>
        </w:rPr>
        <w:t>200</w:t>
      </w:r>
      <w:r>
        <w:rPr>
          <w:rFonts w:ascii="Arial" w:eastAsia="仿宋" w:hAnsi="Arial" w:cs="Arial"/>
          <w:color w:val="000000"/>
          <w:kern w:val="2"/>
          <w:sz w:val="28"/>
          <w:szCs w:val="28"/>
        </w:rPr>
        <w:t>天，西部山区较短。地势西北高、东南低。西部、北部和东北部三面环山，东南部是一片缓缓向渤海倾斜的平原。北京市天然河道自西向东贯穿五大水系：拒马河水系、永定河水系、北运河水系、潮白河水系和蓟运河水系。多由西北部山地发源，向东南蜿蜒流经平原地区，最后分别在海河汇入渤海（蓟运河除外）。北京市有水库</w:t>
      </w:r>
      <w:r>
        <w:rPr>
          <w:rFonts w:ascii="Arial" w:eastAsia="仿宋" w:hAnsi="Arial" w:cs="Arial"/>
          <w:color w:val="000000"/>
          <w:kern w:val="2"/>
          <w:sz w:val="28"/>
          <w:szCs w:val="28"/>
        </w:rPr>
        <w:t>85</w:t>
      </w:r>
      <w:r>
        <w:rPr>
          <w:rFonts w:ascii="Arial" w:eastAsia="仿宋" w:hAnsi="Arial" w:cs="Arial"/>
          <w:color w:val="000000"/>
          <w:kern w:val="2"/>
          <w:sz w:val="28"/>
          <w:szCs w:val="28"/>
        </w:rPr>
        <w:t>座，其中大型水库有密云水库、官厅水库、怀柔水库、海子水库。北京市地下水多年平均补给量约为</w:t>
      </w:r>
      <w:r>
        <w:rPr>
          <w:rFonts w:ascii="Arial" w:eastAsia="仿宋" w:hAnsi="Arial" w:cs="Arial"/>
          <w:color w:val="000000"/>
          <w:kern w:val="2"/>
          <w:sz w:val="28"/>
          <w:szCs w:val="28"/>
        </w:rPr>
        <w:t>29.21</w:t>
      </w:r>
      <w:r>
        <w:rPr>
          <w:rFonts w:ascii="Arial" w:eastAsia="仿宋" w:hAnsi="Arial" w:cs="Arial"/>
          <w:color w:val="000000"/>
          <w:kern w:val="2"/>
          <w:sz w:val="28"/>
          <w:szCs w:val="28"/>
        </w:rPr>
        <w:t>亿立方米，平均年可开采量约</w:t>
      </w:r>
      <w:r>
        <w:rPr>
          <w:rFonts w:ascii="Arial" w:eastAsia="仿宋" w:hAnsi="Arial" w:cs="Arial"/>
          <w:color w:val="000000"/>
          <w:kern w:val="2"/>
          <w:sz w:val="28"/>
          <w:szCs w:val="28"/>
        </w:rPr>
        <w:t>24~25</w:t>
      </w:r>
      <w:r>
        <w:rPr>
          <w:rFonts w:ascii="Arial" w:eastAsia="仿宋" w:hAnsi="Arial" w:cs="Arial"/>
          <w:color w:val="000000"/>
          <w:kern w:val="2"/>
          <w:sz w:val="28"/>
          <w:szCs w:val="28"/>
        </w:rPr>
        <w:t>亿立方米。一次性天然水资源年平均总量为</w:t>
      </w:r>
      <w:r>
        <w:rPr>
          <w:rFonts w:ascii="Arial" w:eastAsia="仿宋" w:hAnsi="Arial" w:cs="Arial"/>
          <w:color w:val="000000"/>
          <w:kern w:val="2"/>
          <w:sz w:val="28"/>
          <w:szCs w:val="28"/>
        </w:rPr>
        <w:t>55.21</w:t>
      </w:r>
      <w:r>
        <w:rPr>
          <w:rFonts w:ascii="Arial" w:eastAsia="仿宋" w:hAnsi="Arial" w:cs="Arial"/>
          <w:color w:val="000000"/>
          <w:kern w:val="2"/>
          <w:sz w:val="28"/>
          <w:szCs w:val="28"/>
        </w:rPr>
        <w:t>亿立方米。</w:t>
      </w:r>
    </w:p>
    <w:p w14:paraId="15CDFFB5" w14:textId="77777777" w:rsidR="00E70101" w:rsidRDefault="0060680B">
      <w:pPr>
        <w:widowControl/>
        <w:spacing w:line="360" w:lineRule="auto"/>
        <w:ind w:firstLine="562"/>
        <w:jc w:val="both"/>
        <w:rPr>
          <w:rFonts w:ascii="Arial" w:eastAsia="仿宋" w:hAnsi="Arial" w:cs="Arial"/>
          <w:color w:val="000000"/>
          <w:kern w:val="2"/>
          <w:sz w:val="28"/>
          <w:szCs w:val="28"/>
        </w:rPr>
      </w:pPr>
      <w:r>
        <w:rPr>
          <w:rFonts w:ascii="仿宋_GB2312;仿宋" w:eastAsia="仿宋_GB2312;仿宋" w:hAnsi="仿宋_GB2312;仿宋"/>
          <w:b/>
          <w:bCs/>
          <w:color w:val="000000"/>
          <w:sz w:val="28"/>
          <w:szCs w:val="28"/>
        </w:rPr>
        <w:t>土地利用状况：</w:t>
      </w:r>
      <w:r>
        <w:rPr>
          <w:rFonts w:ascii="Arial" w:eastAsia="仿宋" w:hAnsi="Arial" w:cs="Arial"/>
          <w:color w:val="000000"/>
          <w:kern w:val="2"/>
          <w:sz w:val="28"/>
          <w:szCs w:val="28"/>
        </w:rPr>
        <w:t>2021</w:t>
      </w:r>
      <w:r>
        <w:rPr>
          <w:rFonts w:ascii="Arial" w:eastAsia="仿宋" w:hAnsi="Arial" w:cs="Arial"/>
          <w:color w:val="000000"/>
          <w:kern w:val="2"/>
          <w:sz w:val="28"/>
          <w:szCs w:val="28"/>
        </w:rPr>
        <w:t>年</w:t>
      </w:r>
      <w:r>
        <w:rPr>
          <w:rFonts w:ascii="Arial" w:eastAsia="仿宋" w:hAnsi="Arial" w:cs="Arial"/>
          <w:color w:val="000000"/>
          <w:kern w:val="2"/>
          <w:sz w:val="28"/>
          <w:szCs w:val="28"/>
        </w:rPr>
        <w:t>11</w:t>
      </w:r>
      <w:r>
        <w:rPr>
          <w:rFonts w:ascii="Arial" w:eastAsia="仿宋" w:hAnsi="Arial" w:cs="Arial"/>
          <w:color w:val="000000"/>
          <w:kern w:val="2"/>
          <w:sz w:val="28"/>
          <w:szCs w:val="28"/>
        </w:rPr>
        <w:t>月</w:t>
      </w:r>
      <w:r>
        <w:rPr>
          <w:rFonts w:ascii="Arial" w:eastAsia="仿宋" w:hAnsi="Arial" w:cs="Arial"/>
          <w:color w:val="000000"/>
          <w:kern w:val="2"/>
          <w:sz w:val="28"/>
          <w:szCs w:val="28"/>
        </w:rPr>
        <w:t>5</w:t>
      </w:r>
      <w:r>
        <w:rPr>
          <w:rFonts w:ascii="Arial" w:eastAsia="仿宋" w:hAnsi="Arial" w:cs="Arial"/>
          <w:color w:val="000000"/>
          <w:kern w:val="2"/>
          <w:sz w:val="28"/>
          <w:szCs w:val="28"/>
        </w:rPr>
        <w:t>日，北京市发布第三次全国国土调查主要数据公报。数据显示，北京市现有耕地</w:t>
      </w:r>
      <w:r>
        <w:rPr>
          <w:rFonts w:ascii="Arial" w:eastAsia="仿宋" w:hAnsi="Arial" w:cs="Arial"/>
          <w:color w:val="000000"/>
          <w:kern w:val="2"/>
          <w:sz w:val="28"/>
          <w:szCs w:val="28"/>
        </w:rPr>
        <w:t>93547.9</w:t>
      </w:r>
      <w:r>
        <w:rPr>
          <w:rFonts w:ascii="Arial" w:eastAsia="仿宋" w:hAnsi="Arial" w:cs="Arial"/>
          <w:color w:val="000000"/>
          <w:kern w:val="2"/>
          <w:sz w:val="28"/>
          <w:szCs w:val="28"/>
        </w:rPr>
        <w:t>公顷（</w:t>
      </w:r>
      <w:r>
        <w:rPr>
          <w:rFonts w:ascii="Arial" w:eastAsia="仿宋" w:hAnsi="Arial" w:cs="Arial"/>
          <w:color w:val="000000"/>
          <w:kern w:val="2"/>
          <w:sz w:val="28"/>
          <w:szCs w:val="28"/>
        </w:rPr>
        <w:t>1403218.5</w:t>
      </w:r>
      <w:r>
        <w:rPr>
          <w:rFonts w:ascii="Arial" w:eastAsia="仿宋" w:hAnsi="Arial" w:cs="Arial"/>
          <w:color w:val="000000"/>
          <w:kern w:val="2"/>
          <w:sz w:val="28"/>
          <w:szCs w:val="28"/>
        </w:rPr>
        <w:t>亩）、园地</w:t>
      </w:r>
      <w:r>
        <w:rPr>
          <w:rFonts w:ascii="Arial" w:eastAsia="仿宋" w:hAnsi="Arial" w:cs="Arial"/>
          <w:color w:val="000000"/>
          <w:kern w:val="2"/>
          <w:sz w:val="28"/>
          <w:szCs w:val="28"/>
        </w:rPr>
        <w:t>126274.55</w:t>
      </w:r>
      <w:r>
        <w:rPr>
          <w:rFonts w:ascii="Arial" w:eastAsia="仿宋" w:hAnsi="Arial" w:cs="Arial"/>
          <w:color w:val="000000"/>
          <w:kern w:val="2"/>
          <w:sz w:val="28"/>
          <w:szCs w:val="28"/>
        </w:rPr>
        <w:t>公顷（</w:t>
      </w:r>
      <w:r>
        <w:rPr>
          <w:rFonts w:ascii="Arial" w:eastAsia="仿宋" w:hAnsi="Arial" w:cs="Arial"/>
          <w:color w:val="000000"/>
          <w:kern w:val="2"/>
          <w:sz w:val="28"/>
          <w:szCs w:val="28"/>
        </w:rPr>
        <w:t>1894118.25</w:t>
      </w:r>
      <w:r>
        <w:rPr>
          <w:rFonts w:ascii="Arial" w:eastAsia="仿宋" w:hAnsi="Arial" w:cs="Arial"/>
          <w:color w:val="000000"/>
          <w:kern w:val="2"/>
          <w:sz w:val="28"/>
          <w:szCs w:val="28"/>
        </w:rPr>
        <w:t>亩）、林地</w:t>
      </w:r>
      <w:r>
        <w:rPr>
          <w:rFonts w:ascii="Arial" w:eastAsia="仿宋" w:hAnsi="Arial" w:cs="Arial"/>
          <w:color w:val="000000"/>
          <w:kern w:val="2"/>
          <w:sz w:val="28"/>
          <w:szCs w:val="28"/>
        </w:rPr>
        <w:t>967628.62</w:t>
      </w:r>
      <w:r>
        <w:rPr>
          <w:rFonts w:ascii="Arial" w:eastAsia="仿宋" w:hAnsi="Arial" w:cs="Arial"/>
          <w:color w:val="000000"/>
          <w:kern w:val="2"/>
          <w:sz w:val="28"/>
          <w:szCs w:val="28"/>
        </w:rPr>
        <w:t>公顷（</w:t>
      </w:r>
      <w:r>
        <w:rPr>
          <w:rFonts w:ascii="Arial" w:eastAsia="仿宋" w:hAnsi="Arial" w:cs="Arial"/>
          <w:color w:val="000000"/>
          <w:kern w:val="2"/>
          <w:sz w:val="28"/>
          <w:szCs w:val="28"/>
        </w:rPr>
        <w:t>14514429.3</w:t>
      </w:r>
      <w:r>
        <w:rPr>
          <w:rFonts w:ascii="Arial" w:eastAsia="仿宋" w:hAnsi="Arial" w:cs="Arial"/>
          <w:color w:val="000000"/>
          <w:kern w:val="2"/>
          <w:sz w:val="28"/>
          <w:szCs w:val="28"/>
        </w:rPr>
        <w:t>亩）、草地</w:t>
      </w:r>
      <w:r>
        <w:rPr>
          <w:rFonts w:ascii="Arial" w:eastAsia="仿宋" w:hAnsi="Arial" w:cs="Arial"/>
          <w:color w:val="000000"/>
          <w:kern w:val="2"/>
          <w:sz w:val="28"/>
          <w:szCs w:val="28"/>
        </w:rPr>
        <w:t>14460.44</w:t>
      </w:r>
      <w:r>
        <w:rPr>
          <w:rFonts w:ascii="Arial" w:eastAsia="仿宋" w:hAnsi="Arial" w:cs="Arial"/>
          <w:color w:val="000000"/>
          <w:kern w:val="2"/>
          <w:sz w:val="28"/>
          <w:szCs w:val="28"/>
        </w:rPr>
        <w:t>公顷（</w:t>
      </w:r>
      <w:r>
        <w:rPr>
          <w:rFonts w:ascii="Arial" w:eastAsia="仿宋" w:hAnsi="Arial" w:cs="Arial"/>
          <w:color w:val="000000"/>
          <w:kern w:val="2"/>
          <w:sz w:val="28"/>
          <w:szCs w:val="28"/>
        </w:rPr>
        <w:t>216906.6</w:t>
      </w:r>
      <w:r>
        <w:rPr>
          <w:rFonts w:ascii="Arial" w:eastAsia="仿宋" w:hAnsi="Arial" w:cs="Arial"/>
          <w:color w:val="000000"/>
          <w:kern w:val="2"/>
          <w:sz w:val="28"/>
          <w:szCs w:val="28"/>
        </w:rPr>
        <w:t>亩）、湿地</w:t>
      </w:r>
      <w:r>
        <w:rPr>
          <w:rFonts w:ascii="Arial" w:eastAsia="仿宋" w:hAnsi="Arial" w:cs="Arial"/>
          <w:color w:val="000000"/>
          <w:kern w:val="2"/>
          <w:sz w:val="28"/>
          <w:szCs w:val="28"/>
        </w:rPr>
        <w:t>3107.98</w:t>
      </w:r>
      <w:r>
        <w:rPr>
          <w:rFonts w:ascii="Arial" w:eastAsia="仿宋" w:hAnsi="Arial" w:cs="Arial"/>
          <w:color w:val="000000"/>
          <w:kern w:val="2"/>
          <w:sz w:val="28"/>
          <w:szCs w:val="28"/>
        </w:rPr>
        <w:t>公顷（</w:t>
      </w:r>
      <w:r>
        <w:rPr>
          <w:rFonts w:ascii="Arial" w:eastAsia="仿宋" w:hAnsi="Arial" w:cs="Arial"/>
          <w:color w:val="000000"/>
          <w:kern w:val="2"/>
          <w:sz w:val="28"/>
          <w:szCs w:val="28"/>
        </w:rPr>
        <w:t>46619.7</w:t>
      </w:r>
      <w:r>
        <w:rPr>
          <w:rFonts w:ascii="Arial" w:eastAsia="仿宋" w:hAnsi="Arial" w:cs="Arial"/>
          <w:color w:val="000000"/>
          <w:kern w:val="2"/>
          <w:sz w:val="28"/>
          <w:szCs w:val="28"/>
        </w:rPr>
        <w:t>亩）、城镇村及工矿用地</w:t>
      </w:r>
      <w:r>
        <w:rPr>
          <w:rFonts w:ascii="Arial" w:eastAsia="仿宋" w:hAnsi="Arial" w:cs="Arial"/>
          <w:color w:val="000000"/>
          <w:kern w:val="2"/>
          <w:sz w:val="28"/>
          <w:szCs w:val="28"/>
        </w:rPr>
        <w:t>313643.87</w:t>
      </w:r>
      <w:r>
        <w:rPr>
          <w:rFonts w:ascii="Arial" w:eastAsia="仿宋" w:hAnsi="Arial" w:cs="Arial"/>
          <w:color w:val="000000"/>
          <w:kern w:val="2"/>
          <w:sz w:val="28"/>
          <w:szCs w:val="28"/>
        </w:rPr>
        <w:t>公顷（</w:t>
      </w:r>
      <w:r>
        <w:rPr>
          <w:rFonts w:ascii="Arial" w:eastAsia="仿宋" w:hAnsi="Arial" w:cs="Arial"/>
          <w:color w:val="000000"/>
          <w:kern w:val="2"/>
          <w:sz w:val="28"/>
          <w:szCs w:val="28"/>
        </w:rPr>
        <w:t>4704658.05</w:t>
      </w:r>
      <w:r>
        <w:rPr>
          <w:rFonts w:ascii="Arial" w:eastAsia="仿宋" w:hAnsi="Arial" w:cs="Arial"/>
          <w:color w:val="000000"/>
          <w:kern w:val="2"/>
          <w:sz w:val="28"/>
          <w:szCs w:val="28"/>
        </w:rPr>
        <w:t>亩）、交通运输用地</w:t>
      </w:r>
      <w:r>
        <w:rPr>
          <w:rFonts w:ascii="Arial" w:eastAsia="仿宋" w:hAnsi="Arial" w:cs="Arial"/>
          <w:color w:val="000000"/>
          <w:kern w:val="2"/>
          <w:sz w:val="28"/>
          <w:szCs w:val="28"/>
        </w:rPr>
        <w:t>49281.38</w:t>
      </w:r>
      <w:r>
        <w:rPr>
          <w:rFonts w:ascii="Arial" w:eastAsia="仿宋" w:hAnsi="Arial" w:cs="Arial"/>
          <w:color w:val="000000"/>
          <w:kern w:val="2"/>
          <w:sz w:val="28"/>
          <w:szCs w:val="28"/>
        </w:rPr>
        <w:t>公顷（</w:t>
      </w:r>
      <w:r>
        <w:rPr>
          <w:rFonts w:ascii="Arial" w:eastAsia="仿宋" w:hAnsi="Arial" w:cs="Arial"/>
          <w:color w:val="000000"/>
          <w:kern w:val="2"/>
          <w:sz w:val="28"/>
          <w:szCs w:val="28"/>
        </w:rPr>
        <w:t>739220.7</w:t>
      </w:r>
      <w:r>
        <w:rPr>
          <w:rFonts w:ascii="Arial" w:eastAsia="仿宋" w:hAnsi="Arial" w:cs="Arial"/>
          <w:color w:val="000000"/>
          <w:kern w:val="2"/>
          <w:sz w:val="28"/>
          <w:szCs w:val="28"/>
        </w:rPr>
        <w:t>亩）、水域及水利设施用地</w:t>
      </w:r>
      <w:r>
        <w:rPr>
          <w:rFonts w:ascii="Arial" w:eastAsia="仿宋" w:hAnsi="Arial" w:cs="Arial"/>
          <w:color w:val="000000"/>
          <w:kern w:val="2"/>
          <w:sz w:val="28"/>
          <w:szCs w:val="28"/>
        </w:rPr>
        <w:t>61704</w:t>
      </w:r>
      <w:r>
        <w:rPr>
          <w:rFonts w:ascii="Arial" w:eastAsia="仿宋" w:hAnsi="Arial" w:cs="Arial"/>
          <w:color w:val="000000"/>
          <w:kern w:val="2"/>
          <w:sz w:val="28"/>
          <w:szCs w:val="28"/>
        </w:rPr>
        <w:t>公顷（</w:t>
      </w:r>
      <w:r>
        <w:rPr>
          <w:rFonts w:ascii="Arial" w:eastAsia="仿宋" w:hAnsi="Arial" w:cs="Arial"/>
          <w:color w:val="000000"/>
          <w:kern w:val="2"/>
          <w:sz w:val="28"/>
          <w:szCs w:val="28"/>
        </w:rPr>
        <w:t>925560</w:t>
      </w:r>
      <w:r>
        <w:rPr>
          <w:rFonts w:ascii="Arial" w:eastAsia="仿宋" w:hAnsi="Arial" w:cs="Arial"/>
          <w:color w:val="000000"/>
          <w:kern w:val="2"/>
          <w:sz w:val="28"/>
          <w:szCs w:val="28"/>
        </w:rPr>
        <w:t>亩），其余为其他土地。三调数据显示，北京市以林、园、水、草、湿地和公园绿地为主的生态用地逐年增加，城乡建设用地明显减少，初步实现减量目标。</w:t>
      </w:r>
      <w:bookmarkStart w:id="19" w:name="_GoBack"/>
      <w:bookmarkEnd w:id="19"/>
    </w:p>
    <w:p w14:paraId="1AD76D04" w14:textId="3EC0BD37" w:rsidR="00E70101" w:rsidRDefault="00F30281" w:rsidP="00F30281">
      <w:pPr>
        <w:widowControl/>
        <w:spacing w:line="360" w:lineRule="auto"/>
        <w:jc w:val="center"/>
        <w:rPr>
          <w:rFonts w:ascii="Arial" w:eastAsia="仿宋_GB2312;仿宋" w:hAnsi="Arial" w:cs="Arial"/>
          <w:bCs/>
          <w:sz w:val="28"/>
          <w:szCs w:val="28"/>
        </w:rPr>
      </w:pPr>
      <w:r>
        <w:rPr>
          <w:noProof/>
        </w:rPr>
        <w:drawing>
          <wp:inline distT="0" distB="0" distL="0" distR="0" wp14:anchorId="2EA7B67A" wp14:editId="3309A6E2">
            <wp:extent cx="5480539" cy="3104350"/>
            <wp:effectExtent l="0" t="0" r="6350" b="1270"/>
            <wp:docPr id="5" name="图表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57DF703" w14:textId="77777777" w:rsidR="00E70101" w:rsidRDefault="0060680B">
      <w:pPr>
        <w:spacing w:line="360" w:lineRule="auto"/>
        <w:ind w:right="205"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w:t>
      </w:r>
      <w:r>
        <w:rPr>
          <w:rFonts w:ascii="Arial" w:eastAsia="仿宋_GB2312;仿宋" w:hAnsi="Arial" w:cs="Arial"/>
          <w:bCs/>
          <w:color w:val="000000"/>
          <w:sz w:val="28"/>
          <w:szCs w:val="28"/>
        </w:rPr>
        <w:t>不动产制度与不动产市场状况</w:t>
      </w:r>
    </w:p>
    <w:p w14:paraId="5C7A0FA5" w14:textId="77777777" w:rsidR="00E70101" w:rsidRDefault="0060680B">
      <w:pPr>
        <w:spacing w:line="360" w:lineRule="auto"/>
        <w:ind w:right="205"/>
        <w:jc w:val="both"/>
      </w:pPr>
      <w:r>
        <w:rPr>
          <w:rFonts w:ascii="MS Gothic;ＭＳ ゴシック" w:eastAsia="MS Gothic;ＭＳ ゴシック" w:hAnsi="MS Gothic;ＭＳ ゴシック" w:cs="MS Gothic;ＭＳ ゴシック"/>
          <w:b/>
          <w:bCs/>
          <w:color w:val="000000"/>
          <w:sz w:val="28"/>
          <w:szCs w:val="28"/>
        </w:rPr>
        <w:t xml:space="preserve">◆ </w:t>
      </w:r>
      <w:r>
        <w:rPr>
          <w:rFonts w:ascii="仿宋_GB2312;仿宋" w:eastAsia="仿宋_GB2312;仿宋" w:hAnsi="仿宋_GB2312;仿宋"/>
          <w:b/>
          <w:bCs/>
          <w:color w:val="000000"/>
          <w:sz w:val="28"/>
          <w:szCs w:val="28"/>
          <w:u w:val="single"/>
        </w:rPr>
        <w:t>土地使用制度及土地管理政策：</w:t>
      </w:r>
    </w:p>
    <w:p w14:paraId="51B719D0"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我国当前实行土地招拍挂制度。土地招拍挂制度是国家土地资源出让、买卖的招标、拍卖、挂牌制度的简称，具体是指国家在土地出让或者买卖程序中的</w:t>
      </w:r>
      <w:r>
        <w:rPr>
          <w:rFonts w:ascii="Arial" w:eastAsia="仿宋" w:hAnsi="Arial" w:cs="Arial"/>
          <w:color w:val="000000"/>
          <w:kern w:val="2"/>
          <w:sz w:val="28"/>
          <w:szCs w:val="28"/>
        </w:rPr>
        <w:t>“</w:t>
      </w:r>
      <w:r>
        <w:rPr>
          <w:rFonts w:ascii="Arial" w:eastAsia="仿宋" w:hAnsi="Arial" w:cs="Arial"/>
          <w:color w:val="000000"/>
          <w:kern w:val="2"/>
          <w:sz w:val="28"/>
          <w:szCs w:val="28"/>
        </w:rPr>
        <w:t>招标</w:t>
      </w:r>
      <w:r>
        <w:rPr>
          <w:rFonts w:ascii="Arial" w:eastAsia="仿宋" w:hAnsi="Arial" w:cs="Arial"/>
          <w:color w:val="000000"/>
          <w:kern w:val="2"/>
          <w:sz w:val="28"/>
          <w:szCs w:val="28"/>
        </w:rPr>
        <w:t>”“</w:t>
      </w:r>
      <w:r>
        <w:rPr>
          <w:rFonts w:ascii="Arial" w:eastAsia="仿宋" w:hAnsi="Arial" w:cs="Arial"/>
          <w:color w:val="000000"/>
          <w:kern w:val="2"/>
          <w:sz w:val="28"/>
          <w:szCs w:val="28"/>
        </w:rPr>
        <w:t>拍卖</w:t>
      </w:r>
      <w:r>
        <w:rPr>
          <w:rFonts w:ascii="Arial" w:eastAsia="仿宋" w:hAnsi="Arial" w:cs="Arial"/>
          <w:color w:val="000000"/>
          <w:kern w:val="2"/>
          <w:sz w:val="28"/>
          <w:szCs w:val="28"/>
        </w:rPr>
        <w:t>”“</w:t>
      </w:r>
      <w:r>
        <w:rPr>
          <w:rFonts w:ascii="Arial" w:eastAsia="仿宋" w:hAnsi="Arial" w:cs="Arial"/>
          <w:color w:val="000000"/>
          <w:kern w:val="2"/>
          <w:sz w:val="28"/>
          <w:szCs w:val="28"/>
        </w:rPr>
        <w:t>挂牌</w:t>
      </w:r>
      <w:r>
        <w:rPr>
          <w:rFonts w:ascii="Arial" w:eastAsia="仿宋" w:hAnsi="Arial" w:cs="Arial"/>
          <w:color w:val="000000"/>
          <w:kern w:val="2"/>
          <w:sz w:val="28"/>
          <w:szCs w:val="28"/>
        </w:rPr>
        <w:t>”</w:t>
      </w:r>
      <w:r>
        <w:rPr>
          <w:rFonts w:ascii="Arial" w:eastAsia="仿宋" w:hAnsi="Arial" w:cs="Arial"/>
          <w:color w:val="000000"/>
          <w:kern w:val="2"/>
          <w:sz w:val="28"/>
          <w:szCs w:val="28"/>
        </w:rPr>
        <w:t>交易的政策或规定。</w:t>
      </w:r>
      <w:r>
        <w:rPr>
          <w:rFonts w:ascii="Arial" w:eastAsia="仿宋" w:hAnsi="Arial" w:cs="Arial"/>
          <w:color w:val="000000"/>
          <w:kern w:val="2"/>
          <w:sz w:val="28"/>
          <w:szCs w:val="28"/>
        </w:rPr>
        <w:t>2004</w:t>
      </w:r>
      <w:r>
        <w:rPr>
          <w:rFonts w:ascii="Arial" w:eastAsia="仿宋" w:hAnsi="Arial" w:cs="Arial"/>
          <w:color w:val="000000"/>
          <w:kern w:val="2"/>
          <w:sz w:val="28"/>
          <w:szCs w:val="28"/>
        </w:rPr>
        <w:t>年，国土资源部颁布第</w:t>
      </w:r>
      <w:r>
        <w:rPr>
          <w:rFonts w:ascii="Arial" w:eastAsia="仿宋" w:hAnsi="Arial" w:cs="Arial"/>
          <w:color w:val="000000"/>
          <w:kern w:val="2"/>
          <w:sz w:val="28"/>
          <w:szCs w:val="28"/>
        </w:rPr>
        <w:t>71</w:t>
      </w:r>
      <w:r>
        <w:rPr>
          <w:rFonts w:ascii="Arial" w:eastAsia="仿宋" w:hAnsi="Arial" w:cs="Arial"/>
          <w:color w:val="000000"/>
          <w:kern w:val="2"/>
          <w:sz w:val="28"/>
          <w:szCs w:val="28"/>
        </w:rPr>
        <w:t>令，《关于继续开展经营性土地使用权招标拍卖挂牌出让情况执法监察工作的通知》，规定</w:t>
      </w:r>
      <w:r>
        <w:rPr>
          <w:rFonts w:ascii="Arial" w:eastAsia="仿宋" w:hAnsi="Arial" w:cs="Arial"/>
          <w:color w:val="000000"/>
          <w:kern w:val="2"/>
          <w:sz w:val="28"/>
          <w:szCs w:val="28"/>
        </w:rPr>
        <w:t>2004</w:t>
      </w:r>
      <w:r>
        <w:rPr>
          <w:rFonts w:ascii="Arial" w:eastAsia="仿宋" w:hAnsi="Arial" w:cs="Arial"/>
          <w:color w:val="000000"/>
          <w:kern w:val="2"/>
          <w:sz w:val="28"/>
          <w:szCs w:val="28"/>
        </w:rPr>
        <w:t>年</w:t>
      </w:r>
      <w:r>
        <w:rPr>
          <w:rFonts w:ascii="Arial" w:eastAsia="仿宋" w:hAnsi="Arial" w:cs="Arial"/>
          <w:color w:val="000000"/>
          <w:kern w:val="2"/>
          <w:sz w:val="28"/>
          <w:szCs w:val="28"/>
        </w:rPr>
        <w:t>8</w:t>
      </w:r>
      <w:r>
        <w:rPr>
          <w:rFonts w:ascii="Arial" w:eastAsia="仿宋" w:hAnsi="Arial" w:cs="Arial"/>
          <w:color w:val="000000"/>
          <w:kern w:val="2"/>
          <w:sz w:val="28"/>
          <w:szCs w:val="28"/>
        </w:rPr>
        <w:t>月</w:t>
      </w:r>
      <w:r>
        <w:rPr>
          <w:rFonts w:ascii="Arial" w:eastAsia="仿宋" w:hAnsi="Arial" w:cs="Arial"/>
          <w:color w:val="000000"/>
          <w:kern w:val="2"/>
          <w:sz w:val="28"/>
          <w:szCs w:val="28"/>
        </w:rPr>
        <w:t>31</w:t>
      </w:r>
      <w:r>
        <w:rPr>
          <w:rFonts w:ascii="Arial" w:eastAsia="仿宋" w:hAnsi="Arial" w:cs="Arial"/>
          <w:color w:val="000000"/>
          <w:kern w:val="2"/>
          <w:sz w:val="28"/>
          <w:szCs w:val="28"/>
        </w:rPr>
        <w:t>号以后所有经营性用地出让全部实行招拍挂制度。该方式作为我国经营性用地出让的指定方式，对规范土地市场、提高政府的对城市土地的管理水平、促进房地产市场的有序发展等方面都有着重要意义。</w:t>
      </w:r>
    </w:p>
    <w:p w14:paraId="7866177A"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按照</w:t>
      </w:r>
      <w:r>
        <w:rPr>
          <w:rFonts w:ascii="Arial" w:eastAsia="仿宋" w:hAnsi="Arial" w:cs="Arial"/>
          <w:color w:val="000000"/>
          <w:kern w:val="2"/>
          <w:sz w:val="28"/>
          <w:szCs w:val="28"/>
        </w:rPr>
        <w:t>“</w:t>
      </w:r>
      <w:r>
        <w:rPr>
          <w:rFonts w:ascii="Arial" w:eastAsia="仿宋" w:hAnsi="Arial" w:cs="Arial"/>
          <w:color w:val="000000"/>
          <w:kern w:val="2"/>
          <w:sz w:val="28"/>
          <w:szCs w:val="28"/>
        </w:rPr>
        <w:t>十三五</w:t>
      </w:r>
      <w:r>
        <w:rPr>
          <w:rFonts w:ascii="Arial" w:eastAsia="仿宋" w:hAnsi="Arial" w:cs="Arial"/>
          <w:color w:val="000000"/>
          <w:kern w:val="2"/>
          <w:sz w:val="28"/>
          <w:szCs w:val="28"/>
        </w:rPr>
        <w:t>”</w:t>
      </w:r>
      <w:r>
        <w:rPr>
          <w:rFonts w:ascii="Arial" w:eastAsia="仿宋" w:hAnsi="Arial" w:cs="Arial"/>
          <w:color w:val="000000"/>
          <w:kern w:val="2"/>
          <w:sz w:val="28"/>
          <w:szCs w:val="28"/>
        </w:rPr>
        <w:t>时期的规划，北京市目前已基本建立全域国土空间开发保护新格局，提升绿色生态空间本底规模质量，深化耕地保护空间与政策保障，减量发展迈出实质性步伐。</w:t>
      </w:r>
      <w:r>
        <w:rPr>
          <w:rFonts w:ascii="Arial" w:eastAsia="仿宋" w:hAnsi="Arial" w:cs="Arial"/>
          <w:color w:val="000000"/>
          <w:kern w:val="2"/>
          <w:sz w:val="28"/>
          <w:szCs w:val="28"/>
        </w:rPr>
        <w:t>“</w:t>
      </w:r>
      <w:r>
        <w:rPr>
          <w:rFonts w:ascii="Arial" w:eastAsia="仿宋" w:hAnsi="Arial" w:cs="Arial"/>
          <w:color w:val="000000"/>
          <w:kern w:val="2"/>
          <w:sz w:val="28"/>
          <w:szCs w:val="28"/>
        </w:rPr>
        <w:t>十三五</w:t>
      </w:r>
      <w:r>
        <w:rPr>
          <w:rFonts w:ascii="Arial" w:eastAsia="仿宋" w:hAnsi="Arial" w:cs="Arial"/>
          <w:color w:val="000000"/>
          <w:kern w:val="2"/>
          <w:sz w:val="28"/>
          <w:szCs w:val="28"/>
        </w:rPr>
        <w:t>”</w:t>
      </w:r>
      <w:r>
        <w:rPr>
          <w:rFonts w:ascii="Arial" w:eastAsia="仿宋" w:hAnsi="Arial" w:cs="Arial"/>
          <w:color w:val="000000"/>
          <w:kern w:val="2"/>
          <w:sz w:val="28"/>
          <w:szCs w:val="28"/>
        </w:rPr>
        <w:t>确定的土地资源保护利用任务目标基本完成，土地资源治理体系逐步完善，保障和支撑了城市发展方式实现历史性变革。</w:t>
      </w:r>
    </w:p>
    <w:p w14:paraId="7F9F9821"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w:t>
      </w:r>
      <w:r>
        <w:rPr>
          <w:rFonts w:ascii="Arial" w:eastAsia="仿宋" w:hAnsi="Arial" w:cs="Arial"/>
          <w:color w:val="000000"/>
          <w:kern w:val="2"/>
          <w:sz w:val="28"/>
          <w:szCs w:val="28"/>
        </w:rPr>
        <w:t>1</w:t>
      </w:r>
      <w:r>
        <w:rPr>
          <w:rFonts w:ascii="Arial" w:eastAsia="仿宋" w:hAnsi="Arial" w:cs="Arial"/>
          <w:color w:val="000000"/>
          <w:kern w:val="2"/>
          <w:sz w:val="28"/>
          <w:szCs w:val="28"/>
        </w:rPr>
        <w:t>）在国土空间规划中统筹划定落实永久基本农田、生态保护红线、城镇开发边界三条控制线（以下简称三条控制线），确定国土空间开发保护刚性管控边界。统筹全域全类型国土空间用途管制，划定覆盖全域的</w:t>
      </w:r>
      <w:r>
        <w:rPr>
          <w:rFonts w:ascii="Arial" w:eastAsia="仿宋" w:hAnsi="Arial" w:cs="Arial"/>
          <w:color w:val="000000"/>
          <w:kern w:val="2"/>
          <w:sz w:val="28"/>
          <w:szCs w:val="28"/>
        </w:rPr>
        <w:t>11</w:t>
      </w:r>
      <w:r>
        <w:rPr>
          <w:rFonts w:ascii="Arial" w:eastAsia="仿宋" w:hAnsi="Arial" w:cs="Arial"/>
          <w:color w:val="000000"/>
          <w:kern w:val="2"/>
          <w:sz w:val="28"/>
          <w:szCs w:val="28"/>
        </w:rPr>
        <w:t>类国土空间规划分区。</w:t>
      </w:r>
    </w:p>
    <w:p w14:paraId="289C3116"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w:t>
      </w:r>
      <w:r>
        <w:rPr>
          <w:rFonts w:ascii="Arial" w:eastAsia="仿宋" w:hAnsi="Arial" w:cs="Arial"/>
          <w:color w:val="000000"/>
          <w:kern w:val="2"/>
          <w:sz w:val="28"/>
          <w:szCs w:val="28"/>
        </w:rPr>
        <w:t>2</w:t>
      </w:r>
      <w:r>
        <w:rPr>
          <w:rFonts w:ascii="Arial" w:eastAsia="仿宋" w:hAnsi="Arial" w:cs="Arial"/>
          <w:color w:val="000000"/>
          <w:kern w:val="2"/>
          <w:sz w:val="28"/>
          <w:szCs w:val="28"/>
        </w:rPr>
        <w:t>）严守耕地规模底线，划定耕地保护空间。</w:t>
      </w:r>
    </w:p>
    <w:p w14:paraId="0B13DFA7"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强化耕地保护，深化耕地保护空间与政策保障。完善耕地主动保护机制，出台《落实城市总体规划统筹推进耕地和永久基本农田保护工作实施方案（试行）》、《北京市耕地保护责任目标考核办法》、《北京市耕地保护补偿资金管理暂行办法》，签订《耕地保护目标管理暨永久基本农田保护责任书》，全面推行四级田长制，压实耕地保护主体责任。</w:t>
      </w:r>
    </w:p>
    <w:p w14:paraId="1477C829"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w:t>
      </w:r>
      <w:r>
        <w:rPr>
          <w:rFonts w:ascii="Arial" w:eastAsia="仿宋" w:hAnsi="Arial" w:cs="Arial"/>
          <w:color w:val="000000"/>
          <w:kern w:val="2"/>
          <w:sz w:val="28"/>
          <w:szCs w:val="28"/>
        </w:rPr>
        <w:t>3</w:t>
      </w:r>
      <w:r>
        <w:rPr>
          <w:rFonts w:ascii="Arial" w:eastAsia="仿宋" w:hAnsi="Arial" w:cs="Arial"/>
          <w:color w:val="000000"/>
          <w:kern w:val="2"/>
          <w:sz w:val="28"/>
          <w:szCs w:val="28"/>
        </w:rPr>
        <w:t>）严控建设用地规模，城乡建设用地规模得到历史性控制。以疏解非首都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w:t>
      </w:r>
      <w:r>
        <w:rPr>
          <w:rFonts w:ascii="Arial" w:eastAsia="仿宋" w:hAnsi="Arial" w:cs="Arial"/>
          <w:color w:val="000000"/>
          <w:kern w:val="2"/>
          <w:sz w:val="28"/>
          <w:szCs w:val="28"/>
        </w:rPr>
        <w:t>“</w:t>
      </w:r>
      <w:r>
        <w:rPr>
          <w:rFonts w:ascii="Arial" w:eastAsia="仿宋" w:hAnsi="Arial" w:cs="Arial"/>
          <w:color w:val="000000"/>
          <w:kern w:val="2"/>
          <w:sz w:val="28"/>
          <w:szCs w:val="28"/>
        </w:rPr>
        <w:t>十二五</w:t>
      </w:r>
      <w:r>
        <w:rPr>
          <w:rFonts w:ascii="Arial" w:eastAsia="仿宋" w:hAnsi="Arial" w:cs="Arial"/>
          <w:color w:val="000000"/>
          <w:kern w:val="2"/>
          <w:sz w:val="28"/>
          <w:szCs w:val="28"/>
        </w:rPr>
        <w:t>”</w:t>
      </w:r>
      <w:r>
        <w:rPr>
          <w:rFonts w:ascii="Arial" w:eastAsia="仿宋" w:hAnsi="Arial" w:cs="Arial"/>
          <w:color w:val="000000"/>
          <w:kern w:val="2"/>
          <w:sz w:val="28"/>
          <w:szCs w:val="28"/>
        </w:rPr>
        <w:t>时期的</w:t>
      </w:r>
      <w:r>
        <w:rPr>
          <w:rFonts w:ascii="Arial" w:eastAsia="仿宋" w:hAnsi="Arial" w:cs="Arial"/>
          <w:color w:val="000000"/>
          <w:kern w:val="2"/>
          <w:sz w:val="28"/>
          <w:szCs w:val="28"/>
        </w:rPr>
        <w:t>51%</w:t>
      </w:r>
      <w:r>
        <w:rPr>
          <w:rFonts w:ascii="Arial" w:eastAsia="仿宋" w:hAnsi="Arial" w:cs="Arial"/>
          <w:color w:val="000000"/>
          <w:kern w:val="2"/>
          <w:sz w:val="28"/>
          <w:szCs w:val="28"/>
        </w:rPr>
        <w:t>提升至</w:t>
      </w:r>
      <w:r>
        <w:rPr>
          <w:rFonts w:ascii="Arial" w:eastAsia="仿宋" w:hAnsi="Arial" w:cs="Arial"/>
          <w:color w:val="000000"/>
          <w:kern w:val="2"/>
          <w:sz w:val="28"/>
          <w:szCs w:val="28"/>
        </w:rPr>
        <w:t>“</w:t>
      </w:r>
      <w:r>
        <w:rPr>
          <w:rFonts w:ascii="Arial" w:eastAsia="仿宋" w:hAnsi="Arial" w:cs="Arial"/>
          <w:color w:val="000000"/>
          <w:kern w:val="2"/>
          <w:sz w:val="28"/>
          <w:szCs w:val="28"/>
        </w:rPr>
        <w:t>十三五</w:t>
      </w:r>
      <w:r>
        <w:rPr>
          <w:rFonts w:ascii="Arial" w:eastAsia="仿宋" w:hAnsi="Arial" w:cs="Arial"/>
          <w:color w:val="000000"/>
          <w:kern w:val="2"/>
          <w:sz w:val="28"/>
          <w:szCs w:val="28"/>
        </w:rPr>
        <w:t>”</w:t>
      </w:r>
      <w:r>
        <w:rPr>
          <w:rFonts w:ascii="Arial" w:eastAsia="仿宋" w:hAnsi="Arial" w:cs="Arial"/>
          <w:color w:val="000000"/>
          <w:kern w:val="2"/>
          <w:sz w:val="28"/>
          <w:szCs w:val="28"/>
        </w:rPr>
        <w:t>时期的</w:t>
      </w:r>
      <w:r>
        <w:rPr>
          <w:rFonts w:ascii="Arial" w:eastAsia="仿宋" w:hAnsi="Arial" w:cs="Arial"/>
          <w:color w:val="000000"/>
          <w:kern w:val="2"/>
          <w:sz w:val="28"/>
          <w:szCs w:val="28"/>
        </w:rPr>
        <w:t>55%</w:t>
      </w:r>
      <w:r>
        <w:rPr>
          <w:rFonts w:ascii="Arial" w:eastAsia="仿宋" w:hAnsi="Arial" w:cs="Arial"/>
          <w:color w:val="000000"/>
          <w:kern w:val="2"/>
          <w:sz w:val="28"/>
          <w:szCs w:val="28"/>
        </w:rPr>
        <w:t>以上</w:t>
      </w:r>
      <w:r>
        <w:rPr>
          <w:rFonts w:ascii="Arial" w:eastAsia="仿宋" w:hAnsi="Arial" w:cs="Arial"/>
          <w:color w:val="000000"/>
          <w:kern w:val="2"/>
          <w:sz w:val="28"/>
          <w:szCs w:val="28"/>
        </w:rPr>
        <w:t>.</w:t>
      </w:r>
    </w:p>
    <w:p w14:paraId="5246931A"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w:t>
      </w:r>
      <w:r>
        <w:rPr>
          <w:rFonts w:ascii="Arial" w:eastAsia="仿宋" w:hAnsi="Arial" w:cs="Arial"/>
          <w:color w:val="000000"/>
          <w:kern w:val="2"/>
          <w:sz w:val="28"/>
          <w:szCs w:val="28"/>
        </w:rPr>
        <w:t>4</w:t>
      </w:r>
      <w:r>
        <w:rPr>
          <w:rFonts w:ascii="Arial" w:eastAsia="仿宋" w:hAnsi="Arial" w:cs="Arial"/>
          <w:color w:val="000000"/>
          <w:kern w:val="2"/>
          <w:sz w:val="28"/>
          <w:szCs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Pr>
          <w:rFonts w:ascii="Arial" w:eastAsia="仿宋" w:hAnsi="Arial" w:cs="Arial"/>
          <w:color w:val="000000"/>
          <w:kern w:val="2"/>
          <w:sz w:val="28"/>
          <w:szCs w:val="28"/>
        </w:rPr>
        <w:t>“</w:t>
      </w:r>
      <w:r>
        <w:rPr>
          <w:rFonts w:ascii="Arial" w:eastAsia="仿宋" w:hAnsi="Arial" w:cs="Arial"/>
          <w:color w:val="000000"/>
          <w:kern w:val="2"/>
          <w:sz w:val="28"/>
          <w:szCs w:val="28"/>
        </w:rPr>
        <w:t>两图合一</w:t>
      </w:r>
      <w:r>
        <w:rPr>
          <w:rFonts w:ascii="Arial" w:eastAsia="仿宋" w:hAnsi="Arial" w:cs="Arial"/>
          <w:color w:val="000000"/>
          <w:kern w:val="2"/>
          <w:sz w:val="28"/>
          <w:szCs w:val="28"/>
        </w:rPr>
        <w:t>”</w:t>
      </w:r>
      <w:r>
        <w:rPr>
          <w:rFonts w:ascii="Arial" w:eastAsia="仿宋" w:hAnsi="Arial" w:cs="Arial"/>
          <w:color w:val="000000"/>
          <w:kern w:val="2"/>
          <w:sz w:val="28"/>
          <w:szCs w:val="28"/>
        </w:rPr>
        <w:t>规划编制技术指南》《北京市国土空间规划分区和用途管制规则》等一系列政策文件，初步建立首都</w:t>
      </w:r>
      <w:r>
        <w:rPr>
          <w:rFonts w:ascii="Arial" w:eastAsia="仿宋" w:hAnsi="Arial" w:cs="Arial"/>
          <w:color w:val="000000"/>
          <w:kern w:val="2"/>
          <w:sz w:val="28"/>
          <w:szCs w:val="28"/>
        </w:rPr>
        <w:t>“</w:t>
      </w:r>
      <w:r>
        <w:rPr>
          <w:rFonts w:ascii="Arial" w:eastAsia="仿宋" w:hAnsi="Arial" w:cs="Arial"/>
          <w:color w:val="000000"/>
          <w:kern w:val="2"/>
          <w:sz w:val="28"/>
          <w:szCs w:val="28"/>
        </w:rPr>
        <w:t>三级三类</w:t>
      </w:r>
      <w:r>
        <w:rPr>
          <w:rFonts w:ascii="Arial" w:eastAsia="仿宋" w:hAnsi="Arial" w:cs="Arial"/>
          <w:color w:val="000000"/>
          <w:kern w:val="2"/>
          <w:sz w:val="28"/>
          <w:szCs w:val="28"/>
        </w:rPr>
        <w:t>”</w:t>
      </w:r>
      <w:r>
        <w:rPr>
          <w:rFonts w:ascii="Arial" w:eastAsia="仿宋" w:hAnsi="Arial" w:cs="Arial"/>
          <w:color w:val="000000"/>
          <w:kern w:val="2"/>
          <w:sz w:val="28"/>
          <w:szCs w:val="28"/>
        </w:rPr>
        <w:t>国土空间规划体系，不断完善首都国土空间治理体系，着力提高国土空间治理能力现代化水平。</w:t>
      </w:r>
    </w:p>
    <w:p w14:paraId="78862DD9"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逐步建立自然资源管理制度。制定《北京市自然资源资产产权制度改革方案》，统筹推进自然资源统一调查监测评价，建立全市统一的国土空间基础信息平台，结合分区规划编制，形成全市国土空间规划</w:t>
      </w:r>
      <w:r>
        <w:rPr>
          <w:rFonts w:ascii="Arial" w:eastAsia="仿宋" w:hAnsi="Arial" w:cs="Arial"/>
          <w:color w:val="000000"/>
          <w:kern w:val="2"/>
          <w:sz w:val="28"/>
          <w:szCs w:val="28"/>
        </w:rPr>
        <w:t>“</w:t>
      </w:r>
      <w:r>
        <w:rPr>
          <w:rFonts w:ascii="Arial" w:eastAsia="仿宋" w:hAnsi="Arial" w:cs="Arial"/>
          <w:color w:val="000000"/>
          <w:kern w:val="2"/>
          <w:sz w:val="28"/>
          <w:szCs w:val="28"/>
        </w:rPr>
        <w:t>一张底图</w:t>
      </w:r>
      <w:r>
        <w:rPr>
          <w:rFonts w:ascii="Arial" w:eastAsia="仿宋" w:hAnsi="Arial" w:cs="Arial"/>
          <w:color w:val="000000"/>
          <w:kern w:val="2"/>
          <w:sz w:val="28"/>
          <w:szCs w:val="28"/>
        </w:rPr>
        <w:t>”</w:t>
      </w:r>
      <w:r>
        <w:rPr>
          <w:rFonts w:ascii="Arial" w:eastAsia="仿宋" w:hAnsi="Arial" w:cs="Arial"/>
          <w:color w:val="000000"/>
          <w:kern w:val="2"/>
          <w:sz w:val="28"/>
          <w:szCs w:val="28"/>
        </w:rPr>
        <w:t>。建立北京市国有自然资源报告工作制度，自然资源统一调查、监测、确权、配置、评价、监督的管理制度逐步建立。</w:t>
      </w:r>
    </w:p>
    <w:p w14:paraId="4E99E321"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加强推进农村土地管理改革。制定《关于进一步加强农村集体土地管理加快建立健全</w:t>
      </w:r>
      <w:r>
        <w:rPr>
          <w:rFonts w:ascii="Arial" w:eastAsia="仿宋" w:hAnsi="Arial" w:cs="Arial"/>
          <w:color w:val="000000"/>
          <w:kern w:val="2"/>
          <w:sz w:val="28"/>
          <w:szCs w:val="28"/>
        </w:rPr>
        <w:t>“</w:t>
      </w:r>
      <w:r>
        <w:rPr>
          <w:rFonts w:ascii="Arial" w:eastAsia="仿宋" w:hAnsi="Arial" w:cs="Arial"/>
          <w:color w:val="000000"/>
          <w:kern w:val="2"/>
          <w:sz w:val="28"/>
          <w:szCs w:val="28"/>
        </w:rPr>
        <w:t>村地区管</w:t>
      </w:r>
      <w:r>
        <w:rPr>
          <w:rFonts w:ascii="Arial" w:eastAsia="仿宋" w:hAnsi="Arial" w:cs="Arial"/>
          <w:color w:val="000000"/>
          <w:kern w:val="2"/>
          <w:sz w:val="28"/>
          <w:szCs w:val="28"/>
        </w:rPr>
        <w:t>”</w:t>
      </w:r>
      <w:r>
        <w:rPr>
          <w:rFonts w:ascii="Arial" w:eastAsia="仿宋" w:hAnsi="Arial" w:cs="Arial"/>
          <w:color w:val="000000"/>
          <w:kern w:val="2"/>
          <w:sz w:val="28"/>
          <w:szCs w:val="28"/>
        </w:rPr>
        <w:t>机制的指导意见》，强化区级管规划、管用途、管合同、管程序、管监督、管查处的权责；在大兴区全面推进农村土地制度改革三项试点工作，集体经营性建设用地入市试点改革取得重大成果，征地制度改革向纵深推进，宅基地制度改革取得阶段性成果，探索形成了一批可复制、可推广的改革成果。</w:t>
      </w:r>
    </w:p>
    <w:p w14:paraId="00AB483A"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14:paraId="45FE8760" w14:textId="77777777" w:rsidR="00E70101" w:rsidRDefault="0060680B">
      <w:pPr>
        <w:spacing w:line="360" w:lineRule="auto"/>
        <w:ind w:firstLine="560"/>
        <w:jc w:val="both"/>
        <w:outlineLvl w:val="0"/>
      </w:pPr>
      <w:r>
        <w:rPr>
          <w:rFonts w:ascii="Arial" w:eastAsia="仿宋" w:hAnsi="Arial" w:cs="Arial"/>
          <w:color w:val="000000"/>
          <w:kern w:val="2"/>
          <w:sz w:val="28"/>
          <w:szCs w:val="28"/>
        </w:rPr>
        <w:t>2022</w:t>
      </w:r>
      <w:r>
        <w:rPr>
          <w:rFonts w:ascii="Arial" w:eastAsia="仿宋" w:hAnsi="Arial" w:cs="Arial"/>
          <w:color w:val="000000"/>
          <w:kern w:val="2"/>
          <w:sz w:val="28"/>
          <w:szCs w:val="28"/>
        </w:rPr>
        <w:t>年北京市人民政府关于印发《北京市</w:t>
      </w:r>
      <w:r>
        <w:rPr>
          <w:rFonts w:ascii="Arial" w:eastAsia="仿宋" w:hAnsi="Arial" w:cs="Arial"/>
          <w:color w:val="000000"/>
          <w:kern w:val="2"/>
          <w:sz w:val="28"/>
          <w:szCs w:val="28"/>
        </w:rPr>
        <w:t>“</w:t>
      </w:r>
      <w:r>
        <w:rPr>
          <w:rFonts w:ascii="Arial" w:eastAsia="仿宋" w:hAnsi="Arial" w:cs="Arial"/>
          <w:color w:val="000000"/>
          <w:kern w:val="2"/>
          <w:sz w:val="28"/>
          <w:szCs w:val="28"/>
        </w:rPr>
        <w:t>十四五</w:t>
      </w:r>
      <w:r>
        <w:rPr>
          <w:rFonts w:ascii="Arial" w:eastAsia="仿宋" w:hAnsi="Arial" w:cs="Arial"/>
          <w:color w:val="000000"/>
          <w:kern w:val="2"/>
          <w:sz w:val="28"/>
          <w:szCs w:val="28"/>
        </w:rPr>
        <w:t>”</w:t>
      </w:r>
      <w:r>
        <w:rPr>
          <w:rFonts w:ascii="Arial" w:eastAsia="仿宋" w:hAnsi="Arial" w:cs="Arial"/>
          <w:color w:val="000000"/>
          <w:kern w:val="2"/>
          <w:sz w:val="28"/>
          <w:szCs w:val="28"/>
        </w:rPr>
        <w:t>时期土地资源保护利用规划》的通知，要求全市继续统筹土地资源保护和利用工作，强化科学布局、整体保护、系统修复、高效利用、综合治理。</w:t>
      </w:r>
    </w:p>
    <w:p w14:paraId="509C5175" w14:textId="77777777" w:rsidR="00E70101" w:rsidRDefault="0060680B">
      <w:pPr>
        <w:numPr>
          <w:ilvl w:val="0"/>
          <w:numId w:val="2"/>
        </w:numPr>
        <w:spacing w:line="360" w:lineRule="auto"/>
        <w:ind w:right="205"/>
        <w:jc w:val="both"/>
        <w:rPr>
          <w:rFonts w:ascii="仿宋_GB2312;仿宋" w:eastAsia="仿宋_GB2312;仿宋" w:hAnsi="仿宋_GB2312;仿宋"/>
          <w:b/>
          <w:bCs/>
          <w:color w:val="000000"/>
          <w:sz w:val="28"/>
          <w:szCs w:val="28"/>
          <w:u w:val="single"/>
        </w:rPr>
      </w:pPr>
      <w:r>
        <w:rPr>
          <w:rFonts w:ascii="仿宋_GB2312;仿宋" w:eastAsia="仿宋_GB2312;仿宋" w:hAnsi="仿宋_GB2312;仿宋"/>
          <w:b/>
          <w:bCs/>
          <w:color w:val="000000"/>
          <w:sz w:val="28"/>
          <w:szCs w:val="28"/>
          <w:u w:val="single"/>
        </w:rPr>
        <w:t>不动产管理政策：</w:t>
      </w:r>
    </w:p>
    <w:p w14:paraId="17EDC3CF" w14:textId="77777777" w:rsidR="00E70101" w:rsidRDefault="0060680B">
      <w:pPr>
        <w:spacing w:line="360" w:lineRule="auto"/>
        <w:ind w:firstLine="560"/>
        <w:jc w:val="both"/>
        <w:rPr>
          <w:rFonts w:ascii="Arial" w:eastAsia="仿宋" w:hAnsi="Arial" w:cs="Arial"/>
          <w:color w:val="000000"/>
          <w:kern w:val="2"/>
          <w:sz w:val="28"/>
          <w:szCs w:val="28"/>
        </w:rPr>
      </w:pPr>
      <w:r>
        <w:rPr>
          <w:rFonts w:ascii="Arial" w:eastAsia="仿宋" w:hAnsi="Arial" w:cs="Arial"/>
          <w:color w:val="000000"/>
          <w:kern w:val="2"/>
          <w:sz w:val="28"/>
          <w:szCs w:val="28"/>
        </w:rPr>
        <w:t>2022</w:t>
      </w:r>
      <w:r>
        <w:rPr>
          <w:rFonts w:ascii="Arial" w:eastAsia="仿宋" w:hAnsi="Arial" w:cs="Arial"/>
          <w:color w:val="000000"/>
          <w:kern w:val="2"/>
          <w:sz w:val="28"/>
          <w:szCs w:val="28"/>
        </w:rPr>
        <w:t>年</w:t>
      </w:r>
      <w:r>
        <w:rPr>
          <w:rFonts w:ascii="Arial" w:eastAsia="仿宋" w:hAnsi="Arial" w:cs="Arial"/>
          <w:color w:val="000000"/>
          <w:kern w:val="2"/>
          <w:sz w:val="28"/>
          <w:szCs w:val="28"/>
        </w:rPr>
        <w:t>8</w:t>
      </w:r>
      <w:r>
        <w:rPr>
          <w:rFonts w:ascii="Arial" w:eastAsia="仿宋" w:hAnsi="Arial" w:cs="Arial"/>
          <w:color w:val="000000"/>
          <w:kern w:val="2"/>
          <w:sz w:val="28"/>
          <w:szCs w:val="28"/>
        </w:rPr>
        <w:t>月</w:t>
      </w:r>
      <w:r>
        <w:rPr>
          <w:rFonts w:ascii="Arial" w:eastAsia="仿宋" w:hAnsi="Arial" w:cs="Arial"/>
          <w:color w:val="000000"/>
          <w:kern w:val="2"/>
          <w:sz w:val="28"/>
          <w:szCs w:val="28"/>
        </w:rPr>
        <w:t>5</w:t>
      </w:r>
      <w:r>
        <w:rPr>
          <w:rFonts w:ascii="Arial" w:eastAsia="仿宋" w:hAnsi="Arial" w:cs="Arial"/>
          <w:color w:val="000000"/>
          <w:kern w:val="2"/>
          <w:sz w:val="28"/>
          <w:szCs w:val="28"/>
        </w:rPr>
        <w:t>日，北京市住建委正式发布《北京住房和城乡建设发展白皮书（</w:t>
      </w:r>
      <w:r>
        <w:rPr>
          <w:rFonts w:ascii="Arial" w:eastAsia="仿宋" w:hAnsi="Arial" w:cs="Arial"/>
          <w:color w:val="000000"/>
          <w:kern w:val="2"/>
          <w:sz w:val="28"/>
          <w:szCs w:val="28"/>
        </w:rPr>
        <w:t>2022</w:t>
      </w:r>
      <w:r>
        <w:rPr>
          <w:rFonts w:ascii="Arial" w:eastAsia="仿宋" w:hAnsi="Arial" w:cs="Arial"/>
          <w:color w:val="000000"/>
          <w:kern w:val="2"/>
          <w:sz w:val="28"/>
          <w:szCs w:val="28"/>
        </w:rPr>
        <w:t>）》，围绕</w:t>
      </w:r>
      <w:r>
        <w:rPr>
          <w:rFonts w:ascii="Arial" w:eastAsia="仿宋" w:hAnsi="Arial" w:cs="Arial"/>
          <w:color w:val="000000"/>
          <w:kern w:val="2"/>
          <w:sz w:val="28"/>
          <w:szCs w:val="28"/>
        </w:rPr>
        <w:t>“</w:t>
      </w:r>
      <w:r>
        <w:rPr>
          <w:rFonts w:ascii="Arial" w:eastAsia="仿宋" w:hAnsi="Arial" w:cs="Arial"/>
          <w:color w:val="000000"/>
          <w:kern w:val="2"/>
          <w:sz w:val="28"/>
          <w:szCs w:val="28"/>
        </w:rPr>
        <w:t>三稳</w:t>
      </w:r>
      <w:r>
        <w:rPr>
          <w:rFonts w:ascii="Arial" w:eastAsia="仿宋" w:hAnsi="Arial" w:cs="Arial"/>
          <w:color w:val="000000"/>
          <w:kern w:val="2"/>
          <w:sz w:val="28"/>
          <w:szCs w:val="28"/>
        </w:rPr>
        <w:t>”</w:t>
      </w:r>
      <w:r>
        <w:rPr>
          <w:rFonts w:ascii="Arial" w:eastAsia="仿宋" w:hAnsi="Arial" w:cs="Arial"/>
          <w:color w:val="000000"/>
          <w:kern w:val="2"/>
          <w:sz w:val="28"/>
          <w:szCs w:val="28"/>
        </w:rPr>
        <w:t>目标下功夫，加快构建公租房等住房保障体系。</w:t>
      </w:r>
    </w:p>
    <w:p w14:paraId="177D888F" w14:textId="77777777" w:rsidR="00E70101" w:rsidRDefault="0060680B">
      <w:pPr>
        <w:spacing w:line="360" w:lineRule="auto"/>
        <w:ind w:firstLine="560"/>
        <w:jc w:val="both"/>
        <w:rPr>
          <w:rFonts w:ascii="Arial" w:eastAsia="仿宋" w:hAnsi="Arial" w:cs="Arial"/>
          <w:color w:val="000000"/>
          <w:kern w:val="2"/>
          <w:sz w:val="28"/>
          <w:szCs w:val="28"/>
        </w:rPr>
      </w:pPr>
      <w:r>
        <w:rPr>
          <w:rFonts w:ascii="Arial" w:eastAsia="仿宋" w:hAnsi="Arial" w:cs="Arial"/>
          <w:color w:val="000000"/>
          <w:kern w:val="2"/>
          <w:sz w:val="28"/>
          <w:szCs w:val="28"/>
        </w:rPr>
        <w:t>2023</w:t>
      </w:r>
      <w:r>
        <w:rPr>
          <w:rFonts w:ascii="Arial" w:eastAsia="仿宋" w:hAnsi="Arial" w:cs="Arial"/>
          <w:color w:val="000000"/>
          <w:kern w:val="2"/>
          <w:sz w:val="28"/>
          <w:szCs w:val="28"/>
        </w:rPr>
        <w:t>年</w:t>
      </w:r>
      <w:r>
        <w:rPr>
          <w:rFonts w:ascii="Arial" w:eastAsia="仿宋" w:hAnsi="Arial" w:cs="Arial"/>
          <w:color w:val="000000"/>
          <w:kern w:val="2"/>
          <w:sz w:val="28"/>
          <w:szCs w:val="28"/>
        </w:rPr>
        <w:t>4</w:t>
      </w:r>
      <w:r>
        <w:rPr>
          <w:rFonts w:ascii="Arial" w:eastAsia="仿宋" w:hAnsi="Arial" w:cs="Arial"/>
          <w:color w:val="000000"/>
          <w:kern w:val="2"/>
          <w:sz w:val="28"/>
          <w:szCs w:val="28"/>
        </w:rPr>
        <w:t>月</w:t>
      </w:r>
      <w:r>
        <w:rPr>
          <w:rFonts w:ascii="Arial" w:eastAsia="仿宋" w:hAnsi="Arial" w:cs="Arial"/>
          <w:color w:val="000000"/>
          <w:kern w:val="2"/>
          <w:sz w:val="28"/>
          <w:szCs w:val="28"/>
        </w:rPr>
        <w:t>25</w:t>
      </w:r>
      <w:r>
        <w:rPr>
          <w:rFonts w:ascii="Arial" w:eastAsia="仿宋" w:hAnsi="Arial" w:cs="Arial"/>
          <w:color w:val="000000"/>
          <w:kern w:val="2"/>
          <w:sz w:val="28"/>
          <w:szCs w:val="28"/>
        </w:rPr>
        <w:t>日，自然资源部部长在全国自然资源和不动产确权登记工作会议上宣布，我国全面实现不动产统一登记。我国的不动产登记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撑的不动产统一登记制度体系基本成型。</w:t>
      </w:r>
    </w:p>
    <w:p w14:paraId="45EC9DCE"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2024</w:t>
      </w:r>
      <w:r>
        <w:rPr>
          <w:rFonts w:ascii="Arial" w:eastAsia="仿宋" w:hAnsi="Arial" w:cs="Arial"/>
          <w:color w:val="000000"/>
          <w:kern w:val="2"/>
          <w:sz w:val="28"/>
          <w:szCs w:val="28"/>
        </w:rPr>
        <w:t>年</w:t>
      </w:r>
      <w:r>
        <w:rPr>
          <w:rFonts w:ascii="Arial" w:eastAsia="仿宋" w:hAnsi="Arial" w:cs="Arial"/>
          <w:color w:val="000000"/>
          <w:kern w:val="2"/>
          <w:sz w:val="28"/>
          <w:szCs w:val="28"/>
        </w:rPr>
        <w:t>1</w:t>
      </w:r>
      <w:r>
        <w:rPr>
          <w:rFonts w:ascii="Arial" w:eastAsia="仿宋" w:hAnsi="Arial" w:cs="Arial"/>
          <w:color w:val="000000"/>
          <w:kern w:val="2"/>
          <w:sz w:val="28"/>
          <w:szCs w:val="28"/>
        </w:rPr>
        <w:t>月</w:t>
      </w:r>
      <w:r>
        <w:rPr>
          <w:rFonts w:ascii="Arial" w:eastAsia="仿宋" w:hAnsi="Arial" w:cs="Arial"/>
          <w:color w:val="000000"/>
          <w:kern w:val="2"/>
          <w:sz w:val="28"/>
          <w:szCs w:val="28"/>
        </w:rPr>
        <w:t>17</w:t>
      </w:r>
      <w:r>
        <w:rPr>
          <w:rFonts w:ascii="Arial" w:eastAsia="仿宋" w:hAnsi="Arial" w:cs="Arial"/>
          <w:color w:val="000000"/>
          <w:kern w:val="2"/>
          <w:sz w:val="28"/>
          <w:szCs w:val="28"/>
        </w:rPr>
        <w:t>日，北京市规划和自然资源委员会、北京市发展和改革委员会联合发布《北京市</w:t>
      </w:r>
      <w:r>
        <w:rPr>
          <w:rFonts w:ascii="Arial" w:eastAsia="仿宋" w:hAnsi="Arial" w:cs="Arial"/>
          <w:color w:val="000000"/>
          <w:kern w:val="2"/>
          <w:sz w:val="28"/>
          <w:szCs w:val="28"/>
        </w:rPr>
        <w:t>2024</w:t>
      </w:r>
      <w:r>
        <w:rPr>
          <w:rFonts w:ascii="Arial" w:eastAsia="仿宋" w:hAnsi="Arial" w:cs="Arial"/>
          <w:color w:val="000000"/>
          <w:kern w:val="2"/>
          <w:sz w:val="28"/>
          <w:szCs w:val="28"/>
        </w:rPr>
        <w:t>年度建设用地供应计划》，</w:t>
      </w:r>
      <w:r>
        <w:rPr>
          <w:rFonts w:ascii="Arial" w:eastAsia="仿宋" w:hAnsi="Arial" w:cs="Arial"/>
          <w:color w:val="000000"/>
          <w:kern w:val="2"/>
          <w:sz w:val="28"/>
          <w:szCs w:val="28"/>
        </w:rPr>
        <w:t xml:space="preserve">2024 </w:t>
      </w:r>
      <w:r>
        <w:rPr>
          <w:rFonts w:ascii="Arial" w:eastAsia="仿宋" w:hAnsi="Arial" w:cs="Arial"/>
          <w:color w:val="000000"/>
          <w:kern w:val="2"/>
          <w:sz w:val="28"/>
          <w:szCs w:val="28"/>
        </w:rPr>
        <w:t>年计划安排建设用地供应总量</w:t>
      </w:r>
      <w:r>
        <w:rPr>
          <w:rFonts w:ascii="Arial" w:eastAsia="仿宋" w:hAnsi="Arial" w:cs="Arial"/>
          <w:color w:val="000000"/>
          <w:kern w:val="2"/>
          <w:sz w:val="28"/>
          <w:szCs w:val="28"/>
        </w:rPr>
        <w:t>3240</w:t>
      </w:r>
      <w:r>
        <w:rPr>
          <w:rFonts w:ascii="Arial" w:eastAsia="仿宋" w:hAnsi="Arial" w:cs="Arial"/>
          <w:color w:val="000000"/>
          <w:kern w:val="2"/>
          <w:sz w:val="28"/>
          <w:szCs w:val="28"/>
        </w:rPr>
        <w:t>至</w:t>
      </w:r>
      <w:r>
        <w:rPr>
          <w:rFonts w:ascii="Arial" w:eastAsia="仿宋" w:hAnsi="Arial" w:cs="Arial"/>
          <w:color w:val="000000"/>
          <w:kern w:val="2"/>
          <w:sz w:val="28"/>
          <w:szCs w:val="28"/>
        </w:rPr>
        <w:t>3660</w:t>
      </w:r>
      <w:r>
        <w:rPr>
          <w:rFonts w:ascii="Arial" w:eastAsia="仿宋" w:hAnsi="Arial" w:cs="Arial"/>
          <w:color w:val="000000"/>
          <w:kern w:val="2"/>
          <w:sz w:val="28"/>
          <w:szCs w:val="28"/>
        </w:rPr>
        <w:t>公顷，较</w:t>
      </w:r>
      <w:r>
        <w:rPr>
          <w:rFonts w:ascii="Arial" w:eastAsia="仿宋" w:hAnsi="Arial" w:cs="Arial"/>
          <w:color w:val="000000"/>
          <w:kern w:val="2"/>
          <w:sz w:val="28"/>
          <w:szCs w:val="28"/>
        </w:rPr>
        <w:t>2023</w:t>
      </w:r>
      <w:r>
        <w:rPr>
          <w:rFonts w:ascii="Arial" w:eastAsia="仿宋" w:hAnsi="Arial" w:cs="Arial"/>
          <w:color w:val="000000"/>
          <w:kern w:val="2"/>
          <w:sz w:val="28"/>
          <w:szCs w:val="28"/>
        </w:rPr>
        <w:t>年增加</w:t>
      </w:r>
      <w:r>
        <w:rPr>
          <w:rFonts w:ascii="Arial" w:eastAsia="仿宋" w:hAnsi="Arial" w:cs="Arial"/>
          <w:color w:val="000000"/>
          <w:kern w:val="2"/>
          <w:sz w:val="28"/>
          <w:szCs w:val="28"/>
        </w:rPr>
        <w:t>30</w:t>
      </w:r>
      <w:r>
        <w:rPr>
          <w:rFonts w:ascii="Arial" w:eastAsia="仿宋" w:hAnsi="Arial" w:cs="Arial"/>
          <w:color w:val="000000"/>
          <w:kern w:val="2"/>
          <w:sz w:val="28"/>
          <w:szCs w:val="28"/>
        </w:rPr>
        <w:t>公顷（全部增加在特交水用地）。住宅用地安排</w:t>
      </w:r>
      <w:r>
        <w:rPr>
          <w:rFonts w:ascii="Arial" w:eastAsia="Arial" w:hAnsi="Arial" w:cs="Arial"/>
          <w:color w:val="000000"/>
          <w:kern w:val="2"/>
          <w:sz w:val="28"/>
          <w:szCs w:val="28"/>
        </w:rPr>
        <w:t xml:space="preserve"> </w:t>
      </w:r>
      <w:r>
        <w:rPr>
          <w:rFonts w:ascii="Arial" w:eastAsia="仿宋" w:hAnsi="Arial" w:cs="Arial"/>
          <w:color w:val="000000"/>
          <w:kern w:val="2"/>
          <w:sz w:val="28"/>
          <w:szCs w:val="28"/>
        </w:rPr>
        <w:t>1060</w:t>
      </w:r>
      <w:r>
        <w:rPr>
          <w:rFonts w:ascii="Arial" w:eastAsia="仿宋" w:hAnsi="Arial" w:cs="Arial"/>
          <w:color w:val="000000"/>
          <w:kern w:val="2"/>
          <w:sz w:val="28"/>
          <w:szCs w:val="28"/>
        </w:rPr>
        <w:t>公顷，与去年持平。本次供地计划保持供应总量、生产生活结构基本稳定，重点在优空间、调结构、提质量上积极进取，全力稳投资、保增长、稳预期。在空间布局上，持续强化</w:t>
      </w:r>
      <w:r>
        <w:rPr>
          <w:rFonts w:ascii="Arial" w:eastAsia="仿宋" w:hAnsi="Arial" w:cs="Arial"/>
          <w:color w:val="000000"/>
          <w:kern w:val="2"/>
          <w:sz w:val="28"/>
          <w:szCs w:val="28"/>
        </w:rPr>
        <w:t>“</w:t>
      </w:r>
      <w:r>
        <w:rPr>
          <w:rFonts w:ascii="Arial" w:eastAsia="仿宋" w:hAnsi="Arial" w:cs="Arial"/>
          <w:color w:val="000000"/>
          <w:kern w:val="2"/>
          <w:sz w:val="28"/>
          <w:szCs w:val="28"/>
        </w:rPr>
        <w:t>一核一主一副、两轴多点一区</w:t>
      </w:r>
      <w:r>
        <w:rPr>
          <w:rFonts w:ascii="Arial" w:eastAsia="仿宋" w:hAnsi="Arial" w:cs="Arial"/>
          <w:color w:val="000000"/>
          <w:kern w:val="2"/>
          <w:sz w:val="28"/>
          <w:szCs w:val="28"/>
        </w:rPr>
        <w:t>”</w:t>
      </w:r>
      <w:r>
        <w:rPr>
          <w:rFonts w:ascii="Arial" w:eastAsia="仿宋" w:hAnsi="Arial" w:cs="Arial"/>
          <w:color w:val="000000"/>
          <w:kern w:val="2"/>
          <w:sz w:val="28"/>
          <w:szCs w:val="28"/>
        </w:rPr>
        <w:t>圈层协同的城市空间结构，着力推进中心城区功能疏解提升、重点推进资源向城市副中心多点地区投放、平原新城梯次承接，构建起北京新的城市发展格局，土地供应向重点功能区、轨道站点周边、南部地区等重点发展空间倾斜。中心城区（含核心区）土地供应规模约占全市土地供应总量</w:t>
      </w:r>
      <w:r>
        <w:rPr>
          <w:rFonts w:ascii="Arial" w:eastAsia="仿宋" w:hAnsi="Arial" w:cs="Arial"/>
          <w:color w:val="000000"/>
          <w:kern w:val="2"/>
          <w:sz w:val="28"/>
          <w:szCs w:val="28"/>
        </w:rPr>
        <w:t>25%</w:t>
      </w:r>
      <w:r>
        <w:rPr>
          <w:rFonts w:ascii="Arial" w:eastAsia="仿宋" w:hAnsi="Arial" w:cs="Arial"/>
          <w:color w:val="000000"/>
          <w:kern w:val="2"/>
          <w:sz w:val="28"/>
          <w:szCs w:val="28"/>
        </w:rPr>
        <w:t>，对比过去五年，</w:t>
      </w:r>
      <w:r>
        <w:rPr>
          <w:rFonts w:ascii="Arial" w:eastAsia="Arial" w:hAnsi="Arial" w:cs="Arial"/>
          <w:color w:val="000000"/>
          <w:kern w:val="2"/>
          <w:sz w:val="28"/>
          <w:szCs w:val="28"/>
        </w:rPr>
        <w:t xml:space="preserve"> </w:t>
      </w:r>
      <w:r>
        <w:rPr>
          <w:rFonts w:ascii="Arial" w:eastAsia="仿宋" w:hAnsi="Arial" w:cs="Arial"/>
          <w:color w:val="000000"/>
          <w:kern w:val="2"/>
          <w:sz w:val="28"/>
          <w:szCs w:val="28"/>
        </w:rPr>
        <w:t>2024</w:t>
      </w:r>
      <w:r>
        <w:rPr>
          <w:rFonts w:ascii="Arial" w:eastAsia="仿宋" w:hAnsi="Arial" w:cs="Arial"/>
          <w:color w:val="000000"/>
          <w:kern w:val="2"/>
          <w:sz w:val="28"/>
          <w:szCs w:val="28"/>
        </w:rPr>
        <w:t>年中心城区供地占比是近年最高水平（</w:t>
      </w:r>
      <w:r>
        <w:rPr>
          <w:rFonts w:ascii="Arial" w:eastAsia="仿宋" w:hAnsi="Arial" w:cs="Arial"/>
          <w:color w:val="000000"/>
          <w:kern w:val="2"/>
          <w:sz w:val="28"/>
          <w:szCs w:val="28"/>
        </w:rPr>
        <w:t>2022</w:t>
      </w:r>
      <w:r>
        <w:rPr>
          <w:rFonts w:ascii="Arial" w:eastAsia="仿宋" w:hAnsi="Arial" w:cs="Arial"/>
          <w:color w:val="000000"/>
          <w:kern w:val="2"/>
          <w:sz w:val="28"/>
          <w:szCs w:val="28"/>
        </w:rPr>
        <w:t>、</w:t>
      </w:r>
      <w:r>
        <w:rPr>
          <w:rFonts w:ascii="Arial" w:eastAsia="仿宋" w:hAnsi="Arial" w:cs="Arial"/>
          <w:color w:val="000000"/>
          <w:kern w:val="2"/>
          <w:sz w:val="28"/>
          <w:szCs w:val="28"/>
        </w:rPr>
        <w:t>2023</w:t>
      </w:r>
      <w:r>
        <w:rPr>
          <w:rFonts w:ascii="Arial" w:eastAsia="仿宋" w:hAnsi="Arial" w:cs="Arial"/>
          <w:color w:val="000000"/>
          <w:kern w:val="2"/>
          <w:sz w:val="28"/>
          <w:szCs w:val="28"/>
        </w:rPr>
        <w:t>年分别为</w:t>
      </w:r>
      <w:r>
        <w:rPr>
          <w:rFonts w:ascii="Arial" w:eastAsia="仿宋" w:hAnsi="Arial" w:cs="Arial"/>
          <w:color w:val="000000"/>
          <w:kern w:val="2"/>
          <w:sz w:val="28"/>
          <w:szCs w:val="28"/>
        </w:rPr>
        <w:t>23%</w:t>
      </w:r>
      <w:r>
        <w:rPr>
          <w:rFonts w:ascii="Arial" w:eastAsia="仿宋" w:hAnsi="Arial" w:cs="Arial"/>
          <w:color w:val="000000"/>
          <w:kern w:val="2"/>
          <w:sz w:val="28"/>
          <w:szCs w:val="28"/>
        </w:rPr>
        <w:t>和</w:t>
      </w:r>
      <w:r>
        <w:rPr>
          <w:rFonts w:ascii="Arial" w:eastAsia="仿宋" w:hAnsi="Arial" w:cs="Arial"/>
          <w:color w:val="000000"/>
          <w:kern w:val="2"/>
          <w:sz w:val="28"/>
          <w:szCs w:val="28"/>
        </w:rPr>
        <w:t>20%</w:t>
      </w:r>
      <w:r>
        <w:rPr>
          <w:rFonts w:ascii="Arial" w:eastAsia="仿宋" w:hAnsi="Arial" w:cs="Arial"/>
          <w:color w:val="000000"/>
          <w:kern w:val="2"/>
          <w:sz w:val="28"/>
          <w:szCs w:val="28"/>
        </w:rPr>
        <w:t>），预计</w:t>
      </w:r>
      <w:r>
        <w:rPr>
          <w:rFonts w:ascii="Arial" w:eastAsia="仿宋" w:hAnsi="Arial" w:cs="Arial"/>
          <w:color w:val="000000"/>
          <w:kern w:val="2"/>
          <w:sz w:val="28"/>
          <w:szCs w:val="28"/>
        </w:rPr>
        <w:t>2024</w:t>
      </w:r>
      <w:r>
        <w:rPr>
          <w:rFonts w:ascii="Arial" w:eastAsia="仿宋" w:hAnsi="Arial" w:cs="Arial"/>
          <w:color w:val="000000"/>
          <w:kern w:val="2"/>
          <w:sz w:val="28"/>
          <w:szCs w:val="28"/>
        </w:rPr>
        <w:t>年北京土地市场供应宗地质量将有望进一步提升。从用地结构上，</w:t>
      </w:r>
      <w:r>
        <w:rPr>
          <w:rFonts w:ascii="Arial" w:eastAsia="仿宋" w:hAnsi="Arial" w:cs="Arial"/>
          <w:color w:val="000000"/>
          <w:kern w:val="2"/>
          <w:sz w:val="28"/>
          <w:szCs w:val="28"/>
        </w:rPr>
        <w:t>2024</w:t>
      </w:r>
      <w:r>
        <w:rPr>
          <w:rFonts w:ascii="Arial" w:eastAsia="仿宋" w:hAnsi="Arial" w:cs="Arial"/>
          <w:color w:val="000000"/>
          <w:kern w:val="2"/>
          <w:sz w:val="28"/>
          <w:szCs w:val="28"/>
        </w:rPr>
        <w:t>年安排产业用地</w:t>
      </w:r>
      <w:r>
        <w:rPr>
          <w:rFonts w:ascii="Arial" w:eastAsia="仿宋" w:hAnsi="Arial" w:cs="Arial"/>
          <w:color w:val="000000"/>
          <w:kern w:val="2"/>
          <w:sz w:val="28"/>
          <w:szCs w:val="28"/>
        </w:rPr>
        <w:t>510-530</w:t>
      </w:r>
      <w:r>
        <w:rPr>
          <w:rFonts w:ascii="Arial" w:eastAsia="仿宋" w:hAnsi="Arial" w:cs="Arial"/>
          <w:color w:val="000000"/>
          <w:kern w:val="2"/>
          <w:sz w:val="28"/>
          <w:szCs w:val="28"/>
        </w:rPr>
        <w:t>公顷（研发用地</w:t>
      </w:r>
      <w:r>
        <w:rPr>
          <w:rFonts w:ascii="Arial" w:eastAsia="仿宋" w:hAnsi="Arial" w:cs="Arial"/>
          <w:color w:val="000000"/>
          <w:kern w:val="2"/>
          <w:sz w:val="28"/>
          <w:szCs w:val="28"/>
        </w:rPr>
        <w:t>80</w:t>
      </w:r>
      <w:r>
        <w:rPr>
          <w:rFonts w:ascii="Arial" w:eastAsia="仿宋" w:hAnsi="Arial" w:cs="Arial"/>
          <w:color w:val="000000"/>
          <w:kern w:val="2"/>
          <w:sz w:val="28"/>
          <w:szCs w:val="28"/>
        </w:rPr>
        <w:t>公顷，工业用地</w:t>
      </w:r>
      <w:r>
        <w:rPr>
          <w:rFonts w:ascii="Arial" w:eastAsia="仿宋" w:hAnsi="Arial" w:cs="Arial"/>
          <w:color w:val="000000"/>
          <w:kern w:val="2"/>
          <w:sz w:val="28"/>
          <w:szCs w:val="28"/>
        </w:rPr>
        <w:t>200</w:t>
      </w:r>
      <w:r>
        <w:rPr>
          <w:rFonts w:ascii="Arial" w:eastAsia="仿宋" w:hAnsi="Arial" w:cs="Arial"/>
          <w:color w:val="000000"/>
          <w:kern w:val="2"/>
          <w:sz w:val="28"/>
          <w:szCs w:val="28"/>
        </w:rPr>
        <w:t>公顷，仓储用地</w:t>
      </w:r>
      <w:r>
        <w:rPr>
          <w:rFonts w:ascii="Arial" w:eastAsia="仿宋" w:hAnsi="Arial" w:cs="Arial"/>
          <w:color w:val="000000"/>
          <w:kern w:val="2"/>
          <w:sz w:val="28"/>
          <w:szCs w:val="28"/>
        </w:rPr>
        <w:t>100</w:t>
      </w:r>
      <w:r>
        <w:rPr>
          <w:rFonts w:ascii="Arial" w:eastAsia="仿宋" w:hAnsi="Arial" w:cs="Arial"/>
          <w:color w:val="000000"/>
          <w:kern w:val="2"/>
          <w:sz w:val="28"/>
          <w:szCs w:val="28"/>
        </w:rPr>
        <w:t>公顷，商服用地</w:t>
      </w:r>
      <w:r>
        <w:rPr>
          <w:rFonts w:ascii="Arial" w:eastAsia="仿宋" w:hAnsi="Arial" w:cs="Arial"/>
          <w:color w:val="000000"/>
          <w:kern w:val="2"/>
          <w:sz w:val="28"/>
          <w:szCs w:val="28"/>
        </w:rPr>
        <w:t>80</w:t>
      </w:r>
      <w:r>
        <w:rPr>
          <w:rFonts w:ascii="Arial" w:eastAsia="仿宋" w:hAnsi="Arial" w:cs="Arial"/>
          <w:color w:val="000000"/>
          <w:kern w:val="2"/>
          <w:sz w:val="28"/>
          <w:szCs w:val="28"/>
        </w:rPr>
        <w:t>公顷，乡村产业用地</w:t>
      </w:r>
      <w:r>
        <w:rPr>
          <w:rFonts w:ascii="Arial" w:eastAsia="仿宋" w:hAnsi="Arial" w:cs="Arial"/>
          <w:color w:val="000000"/>
          <w:kern w:val="2"/>
          <w:sz w:val="28"/>
          <w:szCs w:val="28"/>
        </w:rPr>
        <w:t>50-70</w:t>
      </w:r>
      <w:r>
        <w:rPr>
          <w:rFonts w:ascii="Arial" w:eastAsia="仿宋" w:hAnsi="Arial" w:cs="Arial"/>
          <w:color w:val="000000"/>
          <w:kern w:val="2"/>
          <w:sz w:val="28"/>
          <w:szCs w:val="28"/>
        </w:rPr>
        <w:t>公顷）；住宅用地</w:t>
      </w:r>
      <w:r>
        <w:rPr>
          <w:rFonts w:ascii="Arial" w:eastAsia="仿宋" w:hAnsi="Arial" w:cs="Arial"/>
          <w:color w:val="000000"/>
          <w:kern w:val="2"/>
          <w:sz w:val="28"/>
          <w:szCs w:val="28"/>
        </w:rPr>
        <w:t>1060</w:t>
      </w:r>
      <w:r>
        <w:rPr>
          <w:rFonts w:ascii="Arial" w:eastAsia="仿宋" w:hAnsi="Arial" w:cs="Arial"/>
          <w:color w:val="000000"/>
          <w:kern w:val="2"/>
          <w:sz w:val="28"/>
          <w:szCs w:val="28"/>
        </w:rPr>
        <w:t>公顷，其中安排商品住宅用地供应不低于</w:t>
      </w:r>
      <w:r>
        <w:rPr>
          <w:rFonts w:ascii="Arial" w:eastAsia="仿宋" w:hAnsi="Arial" w:cs="Arial"/>
          <w:color w:val="000000"/>
          <w:kern w:val="2"/>
          <w:sz w:val="28"/>
          <w:szCs w:val="28"/>
        </w:rPr>
        <w:t>300</w:t>
      </w:r>
      <w:r>
        <w:rPr>
          <w:rFonts w:ascii="Arial" w:eastAsia="仿宋" w:hAnsi="Arial" w:cs="Arial"/>
          <w:color w:val="000000"/>
          <w:kern w:val="2"/>
          <w:sz w:val="28"/>
          <w:szCs w:val="28"/>
        </w:rPr>
        <w:t>公顷，安排保障性住房用地</w:t>
      </w:r>
      <w:r>
        <w:rPr>
          <w:rFonts w:ascii="Arial" w:eastAsia="仿宋" w:hAnsi="Arial" w:cs="Arial"/>
          <w:color w:val="000000"/>
          <w:kern w:val="2"/>
          <w:sz w:val="28"/>
          <w:szCs w:val="28"/>
        </w:rPr>
        <w:t>460</w:t>
      </w:r>
      <w:r>
        <w:rPr>
          <w:rFonts w:ascii="Arial" w:eastAsia="仿宋" w:hAnsi="Arial" w:cs="Arial"/>
          <w:color w:val="000000"/>
          <w:kern w:val="2"/>
          <w:sz w:val="28"/>
          <w:szCs w:val="28"/>
        </w:rPr>
        <w:t>公顷。</w:t>
      </w:r>
      <w:r>
        <w:rPr>
          <w:rFonts w:ascii="Arial" w:eastAsia="仿宋" w:hAnsi="Arial" w:cs="Arial"/>
          <w:color w:val="000000"/>
          <w:kern w:val="2"/>
          <w:sz w:val="28"/>
          <w:szCs w:val="28"/>
        </w:rPr>
        <w:t>2024</w:t>
      </w:r>
      <w:r>
        <w:rPr>
          <w:rFonts w:ascii="Arial" w:eastAsia="仿宋" w:hAnsi="Arial" w:cs="Arial"/>
          <w:color w:val="000000"/>
          <w:kern w:val="2"/>
          <w:sz w:val="28"/>
          <w:szCs w:val="28"/>
        </w:rPr>
        <w:t>年产业用地供应布局倾向的重点功能区中去掉了现代服务业聚集区，这也意味着城市副中心运河商务区和文化旅游区、新首都高端产业综合服务区、丽泽金融商务服务区、南苑</w:t>
      </w:r>
      <w:r>
        <w:rPr>
          <w:rFonts w:ascii="Arial" w:eastAsia="仿宋" w:hAnsi="Arial" w:cs="Arial"/>
          <w:color w:val="000000"/>
          <w:kern w:val="2"/>
          <w:sz w:val="28"/>
          <w:szCs w:val="28"/>
        </w:rPr>
        <w:t>-</w:t>
      </w:r>
      <w:r>
        <w:rPr>
          <w:rFonts w:ascii="Arial" w:eastAsia="仿宋" w:hAnsi="Arial" w:cs="Arial"/>
          <w:color w:val="000000"/>
          <w:kern w:val="2"/>
          <w:sz w:val="28"/>
          <w:szCs w:val="28"/>
        </w:rPr>
        <w:t>大红门地区等服务业聚集区的产业用地供应将减少或者告一段落。</w:t>
      </w:r>
    </w:p>
    <w:p w14:paraId="216EC918" w14:textId="77777777" w:rsidR="00E70101" w:rsidRDefault="0060680B">
      <w:pPr>
        <w:spacing w:line="360" w:lineRule="auto"/>
        <w:ind w:right="205"/>
        <w:jc w:val="both"/>
      </w:pPr>
      <w:r>
        <w:rPr>
          <w:rFonts w:ascii="MS Gothic;ＭＳ ゴシック" w:eastAsia="MS Gothic;ＭＳ ゴシック" w:hAnsi="MS Gothic;ＭＳ ゴシック" w:cs="MS Gothic;ＭＳ ゴシック"/>
          <w:b/>
          <w:bCs/>
          <w:color w:val="000000"/>
          <w:sz w:val="28"/>
          <w:szCs w:val="28"/>
        </w:rPr>
        <w:t xml:space="preserve">◆  </w:t>
      </w:r>
      <w:r>
        <w:rPr>
          <w:rFonts w:ascii="Arial" w:eastAsia="仿宋_GB2312;仿宋" w:hAnsi="Arial" w:cs="Arial"/>
          <w:b/>
          <w:bCs/>
          <w:color w:val="000000"/>
          <w:sz w:val="28"/>
          <w:szCs w:val="28"/>
        </w:rPr>
        <w:t>不动产市场状况</w:t>
      </w:r>
    </w:p>
    <w:p w14:paraId="32256EB8" w14:textId="77777777" w:rsidR="00E70101" w:rsidRDefault="0060680B">
      <w:pPr>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w:t>
      </w:r>
      <w:r>
        <w:rPr>
          <w:rFonts w:ascii="Arial" w:eastAsia="仿宋_GB2312;仿宋" w:hAnsi="Arial" w:cs="Arial"/>
          <w:bCs/>
          <w:color w:val="000000"/>
          <w:sz w:val="28"/>
          <w:szCs w:val="28"/>
        </w:rPr>
        <w:t>1</w:t>
      </w:r>
      <w:r>
        <w:rPr>
          <w:rFonts w:ascii="Arial" w:eastAsia="仿宋_GB2312;仿宋" w:hAnsi="Arial" w:cs="Arial"/>
          <w:bCs/>
          <w:color w:val="000000"/>
          <w:sz w:val="28"/>
          <w:szCs w:val="28"/>
        </w:rPr>
        <w:t>）土地供应及成交</w:t>
      </w:r>
    </w:p>
    <w:p w14:paraId="611549E1" w14:textId="77777777" w:rsidR="00E70101" w:rsidRDefault="0060680B">
      <w:pPr>
        <w:spacing w:line="360" w:lineRule="auto"/>
        <w:ind w:firstLine="560"/>
        <w:jc w:val="both"/>
      </w:pPr>
      <w:r>
        <w:rPr>
          <w:rFonts w:ascii="Arial" w:eastAsia="仿宋_GB2312;仿宋" w:hAnsi="Arial" w:cs="Arial"/>
          <w:bCs/>
          <w:color w:val="000000"/>
          <w:sz w:val="28"/>
          <w:szCs w:val="28"/>
        </w:rPr>
        <w:t>2024</w:t>
      </w:r>
      <w:r>
        <w:rPr>
          <w:rFonts w:ascii="Arial" w:eastAsia="仿宋_GB2312;仿宋" w:hAnsi="Arial" w:cs="Arial"/>
          <w:bCs/>
          <w:color w:val="000000"/>
          <w:sz w:val="28"/>
          <w:szCs w:val="28"/>
        </w:rPr>
        <w:t>年北京计划供应产业用地</w:t>
      </w:r>
      <w:r>
        <w:rPr>
          <w:rFonts w:ascii="Arial" w:eastAsia="仿宋_GB2312;仿宋" w:hAnsi="Arial" w:cs="Arial"/>
          <w:bCs/>
          <w:color w:val="000000"/>
          <w:sz w:val="28"/>
          <w:szCs w:val="28"/>
        </w:rPr>
        <w:t>510~530</w:t>
      </w:r>
      <w:r>
        <w:rPr>
          <w:rFonts w:ascii="Arial" w:eastAsia="仿宋_GB2312;仿宋" w:hAnsi="Arial" w:cs="Arial"/>
          <w:bCs/>
          <w:color w:val="000000"/>
          <w:sz w:val="28"/>
          <w:szCs w:val="28"/>
        </w:rPr>
        <w:t>公顷，其中研发用地</w:t>
      </w:r>
      <w:r>
        <w:rPr>
          <w:rFonts w:ascii="Arial" w:eastAsia="仿宋_GB2312;仿宋" w:hAnsi="Arial" w:cs="Arial"/>
          <w:bCs/>
          <w:color w:val="000000"/>
          <w:sz w:val="28"/>
          <w:szCs w:val="28"/>
        </w:rPr>
        <w:t>80</w:t>
      </w:r>
      <w:r>
        <w:rPr>
          <w:rFonts w:ascii="Arial" w:eastAsia="仿宋_GB2312;仿宋" w:hAnsi="Arial" w:cs="Arial"/>
          <w:bCs/>
          <w:color w:val="000000"/>
          <w:sz w:val="28"/>
          <w:szCs w:val="28"/>
        </w:rPr>
        <w:t>公顷、工业用地</w:t>
      </w:r>
      <w:r>
        <w:rPr>
          <w:rFonts w:ascii="Arial" w:eastAsia="仿宋_GB2312;仿宋" w:hAnsi="Arial" w:cs="Arial"/>
          <w:bCs/>
          <w:color w:val="000000"/>
          <w:sz w:val="28"/>
          <w:szCs w:val="28"/>
        </w:rPr>
        <w:t>200</w:t>
      </w:r>
      <w:r>
        <w:rPr>
          <w:rFonts w:ascii="Arial" w:eastAsia="仿宋_GB2312;仿宋" w:hAnsi="Arial" w:cs="Arial"/>
          <w:bCs/>
          <w:color w:val="000000"/>
          <w:sz w:val="28"/>
          <w:szCs w:val="28"/>
        </w:rPr>
        <w:t>公顷、仓储用地</w:t>
      </w:r>
      <w:r>
        <w:rPr>
          <w:rFonts w:ascii="Arial" w:eastAsia="仿宋_GB2312;仿宋" w:hAnsi="Arial" w:cs="Arial"/>
          <w:bCs/>
          <w:color w:val="000000"/>
          <w:sz w:val="28"/>
          <w:szCs w:val="28"/>
        </w:rPr>
        <w:t>100</w:t>
      </w:r>
      <w:r>
        <w:rPr>
          <w:rFonts w:ascii="Arial" w:eastAsia="仿宋_GB2312;仿宋" w:hAnsi="Arial" w:cs="Arial"/>
          <w:bCs/>
          <w:color w:val="000000"/>
          <w:sz w:val="28"/>
          <w:szCs w:val="28"/>
        </w:rPr>
        <w:t>公顷、商服用地</w:t>
      </w:r>
      <w:r>
        <w:rPr>
          <w:rFonts w:ascii="Arial" w:eastAsia="仿宋_GB2312;仿宋" w:hAnsi="Arial" w:cs="Arial"/>
          <w:bCs/>
          <w:color w:val="000000"/>
          <w:sz w:val="28"/>
          <w:szCs w:val="28"/>
        </w:rPr>
        <w:t>80</w:t>
      </w:r>
      <w:r>
        <w:rPr>
          <w:rFonts w:ascii="Arial" w:eastAsia="仿宋_GB2312;仿宋" w:hAnsi="Arial" w:cs="Arial"/>
          <w:bCs/>
          <w:color w:val="000000"/>
          <w:sz w:val="28"/>
          <w:szCs w:val="28"/>
        </w:rPr>
        <w:t>公顷，乡村产业用地</w:t>
      </w:r>
      <w:r>
        <w:rPr>
          <w:rFonts w:ascii="Arial" w:eastAsia="仿宋_GB2312;仿宋" w:hAnsi="Arial" w:cs="Arial"/>
          <w:bCs/>
          <w:color w:val="000000"/>
          <w:sz w:val="28"/>
          <w:szCs w:val="28"/>
        </w:rPr>
        <w:t>50-70</w:t>
      </w:r>
      <w:r>
        <w:rPr>
          <w:rFonts w:ascii="Arial" w:eastAsia="仿宋_GB2312;仿宋" w:hAnsi="Arial" w:cs="Arial"/>
          <w:bCs/>
          <w:color w:val="000000"/>
          <w:sz w:val="28"/>
          <w:szCs w:val="28"/>
        </w:rPr>
        <w:t>公顷。按照不低于</w:t>
      </w:r>
      <w:r>
        <w:rPr>
          <w:rFonts w:ascii="Arial" w:eastAsia="仿宋_GB2312;仿宋" w:hAnsi="Arial" w:cs="Arial"/>
          <w:bCs/>
          <w:color w:val="000000"/>
          <w:sz w:val="28"/>
          <w:szCs w:val="28"/>
        </w:rPr>
        <w:t>80%</w:t>
      </w:r>
      <w:r>
        <w:rPr>
          <w:rFonts w:ascii="Arial" w:eastAsia="仿宋_GB2312;仿宋" w:hAnsi="Arial" w:cs="Arial"/>
          <w:bCs/>
          <w:color w:val="000000"/>
          <w:sz w:val="28"/>
          <w:szCs w:val="28"/>
        </w:rPr>
        <w:t>的比例推动产业用地向产业发展重点领域、重点功能区集聚，支持壮大高精尖产业集聚势能，加快供应智能制造、产业互联网、医药健康等产业用地。重点向服务国际科技创新中心、国家服务业扩大开放综合示范区和中国（北京）自由贸易试验区、</w:t>
      </w:r>
      <w:r>
        <w:rPr>
          <w:rFonts w:ascii="Arial" w:eastAsia="仿宋_GB2312;仿宋" w:hAnsi="Arial" w:cs="Arial"/>
          <w:bCs/>
          <w:color w:val="000000"/>
          <w:sz w:val="28"/>
          <w:szCs w:val="28"/>
        </w:rPr>
        <w:t>“</w:t>
      </w:r>
      <w:r>
        <w:rPr>
          <w:rFonts w:ascii="Arial" w:eastAsia="仿宋_GB2312;仿宋" w:hAnsi="Arial" w:cs="Arial"/>
          <w:bCs/>
          <w:color w:val="000000"/>
          <w:sz w:val="28"/>
          <w:szCs w:val="28"/>
        </w:rPr>
        <w:t>三城一区</w:t>
      </w:r>
      <w:r>
        <w:rPr>
          <w:rFonts w:ascii="Arial" w:eastAsia="仿宋_GB2312;仿宋" w:hAnsi="Arial" w:cs="Arial"/>
          <w:bCs/>
          <w:color w:val="000000"/>
          <w:sz w:val="28"/>
          <w:szCs w:val="28"/>
        </w:rPr>
        <w:t>”</w:t>
      </w:r>
      <w:r>
        <w:rPr>
          <w:rFonts w:ascii="Arial" w:eastAsia="仿宋_GB2312;仿宋" w:hAnsi="Arial" w:cs="Arial"/>
          <w:bCs/>
          <w:color w:val="000000"/>
          <w:sz w:val="28"/>
          <w:szCs w:val="28"/>
        </w:rPr>
        <w:t>、中关村国家自主创新示范区、临空经济区等重点功能区精准配置产业用地。</w:t>
      </w:r>
    </w:p>
    <w:p w14:paraId="08C0300E" w14:textId="77777777" w:rsidR="00E70101" w:rsidRDefault="0060680B">
      <w:pPr>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2024</w:t>
      </w:r>
      <w:r>
        <w:rPr>
          <w:rFonts w:ascii="Arial" w:eastAsia="仿宋_GB2312;仿宋" w:hAnsi="Arial" w:cs="Arial"/>
          <w:bCs/>
          <w:color w:val="000000"/>
          <w:sz w:val="28"/>
          <w:szCs w:val="28"/>
        </w:rPr>
        <w:t>年一季度，北京市推出工业用地（按公告时间）共计</w:t>
      </w:r>
      <w:r>
        <w:rPr>
          <w:rFonts w:ascii="Arial" w:eastAsia="仿宋_GB2312;仿宋" w:hAnsi="Arial" w:cs="Arial"/>
          <w:bCs/>
          <w:color w:val="000000"/>
          <w:sz w:val="28"/>
          <w:szCs w:val="28"/>
        </w:rPr>
        <w:t>4</w:t>
      </w:r>
      <w:r>
        <w:rPr>
          <w:rFonts w:ascii="Arial" w:eastAsia="仿宋_GB2312;仿宋" w:hAnsi="Arial" w:cs="Arial"/>
          <w:bCs/>
          <w:color w:val="000000"/>
          <w:sz w:val="28"/>
          <w:szCs w:val="28"/>
        </w:rPr>
        <w:t>宗，推出建设用地面积</w:t>
      </w:r>
      <w:r>
        <w:rPr>
          <w:rFonts w:ascii="Arial" w:eastAsia="仿宋_GB2312;仿宋" w:hAnsi="Arial" w:cs="Arial"/>
          <w:bCs/>
          <w:color w:val="000000"/>
          <w:sz w:val="28"/>
          <w:szCs w:val="28"/>
        </w:rPr>
        <w:t>26.77</w:t>
      </w:r>
      <w:r>
        <w:rPr>
          <w:rFonts w:ascii="Arial" w:eastAsia="仿宋_GB2312;仿宋" w:hAnsi="Arial" w:cs="Arial"/>
          <w:bCs/>
          <w:color w:val="000000"/>
          <w:sz w:val="28"/>
          <w:szCs w:val="28"/>
        </w:rPr>
        <w:t>万平方米；实际成交</w:t>
      </w:r>
      <w:r>
        <w:rPr>
          <w:rFonts w:ascii="Arial" w:eastAsia="仿宋_GB2312;仿宋" w:hAnsi="Arial" w:cs="Arial"/>
          <w:bCs/>
          <w:color w:val="000000"/>
          <w:sz w:val="28"/>
          <w:szCs w:val="28"/>
        </w:rPr>
        <w:t>3</w:t>
      </w:r>
      <w:r>
        <w:rPr>
          <w:rFonts w:ascii="Arial" w:eastAsia="仿宋_GB2312;仿宋" w:hAnsi="Arial" w:cs="Arial"/>
          <w:bCs/>
          <w:color w:val="000000"/>
          <w:sz w:val="28"/>
          <w:szCs w:val="28"/>
        </w:rPr>
        <w:t>宗，成交建设用地面积</w:t>
      </w:r>
      <w:r>
        <w:rPr>
          <w:rFonts w:ascii="Arial" w:eastAsia="仿宋_GB2312;仿宋" w:hAnsi="Arial" w:cs="Arial"/>
          <w:bCs/>
          <w:color w:val="000000"/>
          <w:sz w:val="28"/>
          <w:szCs w:val="28"/>
        </w:rPr>
        <w:t>22.99</w:t>
      </w:r>
      <w:r>
        <w:rPr>
          <w:rFonts w:ascii="Arial" w:eastAsia="仿宋_GB2312;仿宋" w:hAnsi="Arial" w:cs="Arial"/>
          <w:bCs/>
          <w:color w:val="000000"/>
          <w:sz w:val="28"/>
          <w:szCs w:val="28"/>
        </w:rPr>
        <w:t>万平方米。</w:t>
      </w:r>
    </w:p>
    <w:p w14:paraId="50005177" w14:textId="77777777" w:rsidR="00E70101" w:rsidRDefault="0060680B">
      <w:pPr>
        <w:spacing w:line="360" w:lineRule="auto"/>
        <w:jc w:val="center"/>
        <w:rPr>
          <w:rFonts w:ascii="Arial" w:eastAsia="仿宋_GB2312;仿宋" w:hAnsi="Arial" w:cs="Arial"/>
          <w:bCs/>
          <w:color w:val="000000"/>
          <w:sz w:val="28"/>
          <w:szCs w:val="28"/>
        </w:rPr>
      </w:pPr>
      <w:r>
        <w:rPr>
          <w:noProof/>
        </w:rPr>
        <w:drawing>
          <wp:inline distT="0" distB="0" distL="0" distR="0" wp14:anchorId="34C050C8" wp14:editId="50E7C845">
            <wp:extent cx="5900420" cy="2696210"/>
            <wp:effectExtent l="0" t="0" r="0" b="0"/>
            <wp:docPr id="13" name="图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像2"/>
                    <pic:cNvPicPr>
                      <a:picLocks noChangeAspect="1" noChangeArrowheads="1"/>
                    </pic:cNvPicPr>
                  </pic:nvPicPr>
                  <pic:blipFill>
                    <a:blip r:embed="rId29"/>
                    <a:srcRect l="-6" t="-12" r="-6" b="-12"/>
                    <a:stretch>
                      <a:fillRect/>
                    </a:stretch>
                  </pic:blipFill>
                  <pic:spPr bwMode="auto">
                    <a:xfrm>
                      <a:off x="0" y="0"/>
                      <a:ext cx="5900420" cy="2696210"/>
                    </a:xfrm>
                    <a:prstGeom prst="rect">
                      <a:avLst/>
                    </a:prstGeom>
                  </pic:spPr>
                </pic:pic>
              </a:graphicData>
            </a:graphic>
          </wp:inline>
        </w:drawing>
      </w:r>
    </w:p>
    <w:p w14:paraId="37422DE7" w14:textId="77777777" w:rsidR="00E70101" w:rsidRDefault="0060680B">
      <w:pPr>
        <w:spacing w:line="360" w:lineRule="auto"/>
        <w:ind w:firstLine="560"/>
        <w:jc w:val="both"/>
      </w:pPr>
      <w:r>
        <w:rPr>
          <w:rFonts w:ascii="Arial" w:eastAsia="仿宋_GB2312;仿宋" w:hAnsi="Arial" w:cs="Arial"/>
          <w:bCs/>
          <w:color w:val="000000"/>
          <w:sz w:val="28"/>
          <w:szCs w:val="28"/>
        </w:rPr>
        <w:t>（</w:t>
      </w:r>
      <w:r>
        <w:rPr>
          <w:rFonts w:ascii="Arial" w:eastAsia="仿宋_GB2312;仿宋" w:hAnsi="Arial" w:cs="Arial"/>
          <w:bCs/>
          <w:color w:val="000000"/>
          <w:sz w:val="28"/>
          <w:szCs w:val="28"/>
        </w:rPr>
        <w:t>2</w:t>
      </w:r>
      <w:r>
        <w:rPr>
          <w:rFonts w:ascii="Arial" w:eastAsia="仿宋_GB2312;仿宋" w:hAnsi="Arial" w:cs="Arial"/>
          <w:bCs/>
          <w:color w:val="000000"/>
          <w:sz w:val="28"/>
          <w:szCs w:val="28"/>
        </w:rPr>
        <w:t>）成交价格</w:t>
      </w:r>
    </w:p>
    <w:p w14:paraId="00E7D16F" w14:textId="77777777" w:rsidR="00E70101" w:rsidRDefault="0060680B">
      <w:pPr>
        <w:spacing w:line="360" w:lineRule="auto"/>
        <w:ind w:firstLine="560"/>
        <w:jc w:val="both"/>
      </w:pPr>
      <w:r>
        <w:rPr>
          <w:rFonts w:ascii="Arial" w:eastAsia="仿宋_GB2312;仿宋" w:hAnsi="Arial" w:cs="Arial"/>
          <w:bCs/>
          <w:color w:val="000000"/>
          <w:sz w:val="28"/>
          <w:szCs w:val="28"/>
        </w:rPr>
        <w:t>2024</w:t>
      </w:r>
      <w:r>
        <w:rPr>
          <w:rFonts w:ascii="Arial" w:eastAsia="仿宋_GB2312;仿宋" w:hAnsi="Arial" w:cs="Arial"/>
          <w:bCs/>
          <w:color w:val="000000"/>
          <w:sz w:val="28"/>
          <w:szCs w:val="28"/>
        </w:rPr>
        <w:t>年一季度，北京市工业用地成交总额约</w:t>
      </w:r>
      <w:r>
        <w:rPr>
          <w:rFonts w:ascii="Arial" w:eastAsia="仿宋_GB2312;仿宋" w:hAnsi="Arial" w:cs="Arial"/>
          <w:bCs/>
          <w:color w:val="000000"/>
          <w:sz w:val="28"/>
          <w:szCs w:val="28"/>
        </w:rPr>
        <w:t>8811</w:t>
      </w:r>
      <w:r>
        <w:rPr>
          <w:rFonts w:ascii="Arial" w:eastAsia="仿宋_GB2312;仿宋" w:hAnsi="Arial" w:cs="Arial"/>
          <w:bCs/>
          <w:color w:val="000000"/>
          <w:sz w:val="28"/>
          <w:szCs w:val="28"/>
        </w:rPr>
        <w:t>万元，成交楼面单价</w:t>
      </w:r>
      <w:r>
        <w:rPr>
          <w:rFonts w:ascii="Arial" w:eastAsia="仿宋_GB2312;仿宋" w:hAnsi="Arial" w:cs="Arial"/>
          <w:bCs/>
          <w:color w:val="000000"/>
          <w:sz w:val="28"/>
          <w:szCs w:val="28"/>
        </w:rPr>
        <w:t>2209</w:t>
      </w:r>
      <w:r>
        <w:rPr>
          <w:rFonts w:ascii="Arial" w:eastAsia="仿宋_GB2312;仿宋" w:hAnsi="Arial" w:cs="Arial"/>
          <w:bCs/>
          <w:color w:val="000000"/>
          <w:sz w:val="28"/>
          <w:szCs w:val="28"/>
        </w:rPr>
        <w:t>元</w:t>
      </w:r>
      <w:r>
        <w:rPr>
          <w:rFonts w:ascii="Arial" w:eastAsia="仿宋_GB2312;仿宋" w:hAnsi="Arial" w:cs="Arial"/>
          <w:bCs/>
          <w:color w:val="000000"/>
          <w:sz w:val="28"/>
          <w:szCs w:val="28"/>
        </w:rPr>
        <w:t>/</w:t>
      </w:r>
      <w:r>
        <w:rPr>
          <w:rFonts w:ascii="Arial" w:eastAsia="仿宋_GB2312;仿宋" w:hAnsi="Arial" w:cs="Arial"/>
          <w:bCs/>
          <w:color w:val="000000"/>
          <w:sz w:val="28"/>
          <w:szCs w:val="28"/>
        </w:rPr>
        <w:t>平方米，地面价</w:t>
      </w:r>
      <w:r>
        <w:rPr>
          <w:rFonts w:ascii="Arial" w:eastAsia="仿宋_GB2312;仿宋" w:hAnsi="Arial" w:cs="Arial"/>
          <w:bCs/>
          <w:color w:val="000000"/>
          <w:sz w:val="28"/>
          <w:szCs w:val="28"/>
        </w:rPr>
        <w:t>3767</w:t>
      </w:r>
      <w:r>
        <w:rPr>
          <w:rFonts w:ascii="Arial" w:eastAsia="仿宋_GB2312;仿宋" w:hAnsi="Arial" w:cs="Arial"/>
          <w:bCs/>
          <w:color w:val="000000"/>
          <w:sz w:val="28"/>
          <w:szCs w:val="28"/>
        </w:rPr>
        <w:t>元</w:t>
      </w:r>
      <w:r>
        <w:rPr>
          <w:rFonts w:ascii="Arial" w:eastAsia="仿宋_GB2312;仿宋" w:hAnsi="Arial" w:cs="Arial"/>
          <w:bCs/>
          <w:color w:val="000000"/>
          <w:sz w:val="28"/>
          <w:szCs w:val="28"/>
        </w:rPr>
        <w:t>/</w:t>
      </w:r>
      <w:r>
        <w:rPr>
          <w:rFonts w:ascii="Arial" w:eastAsia="仿宋_GB2312;仿宋" w:hAnsi="Arial" w:cs="Arial"/>
          <w:bCs/>
          <w:color w:val="000000"/>
          <w:sz w:val="28"/>
          <w:szCs w:val="28"/>
        </w:rPr>
        <w:t>平方米（合</w:t>
      </w:r>
      <w:r>
        <w:rPr>
          <w:rFonts w:ascii="Arial" w:eastAsia="仿宋_GB2312;仿宋" w:hAnsi="Arial" w:cs="Arial"/>
          <w:bCs/>
          <w:color w:val="000000"/>
          <w:sz w:val="28"/>
          <w:szCs w:val="28"/>
        </w:rPr>
        <w:t>251</w:t>
      </w:r>
      <w:r>
        <w:rPr>
          <w:rFonts w:ascii="Arial" w:eastAsia="仿宋_GB2312;仿宋" w:hAnsi="Arial" w:cs="Arial"/>
          <w:bCs/>
          <w:color w:val="000000"/>
          <w:sz w:val="28"/>
          <w:szCs w:val="28"/>
        </w:rPr>
        <w:t>万元</w:t>
      </w:r>
      <w:r>
        <w:rPr>
          <w:rFonts w:ascii="Arial" w:eastAsia="仿宋_GB2312;仿宋" w:hAnsi="Arial" w:cs="Arial"/>
          <w:bCs/>
          <w:color w:val="000000"/>
          <w:sz w:val="28"/>
          <w:szCs w:val="28"/>
        </w:rPr>
        <w:t>/</w:t>
      </w:r>
      <w:r>
        <w:rPr>
          <w:rFonts w:ascii="Arial" w:eastAsia="仿宋_GB2312;仿宋" w:hAnsi="Arial" w:cs="Arial"/>
          <w:bCs/>
          <w:color w:val="000000"/>
          <w:sz w:val="28"/>
          <w:szCs w:val="28"/>
        </w:rPr>
        <w:t>亩）。自</w:t>
      </w:r>
      <w:r>
        <w:rPr>
          <w:rFonts w:ascii="Arial" w:eastAsia="仿宋_GB2312;仿宋" w:hAnsi="Arial" w:cs="Arial"/>
          <w:bCs/>
          <w:color w:val="000000"/>
          <w:sz w:val="28"/>
          <w:szCs w:val="28"/>
        </w:rPr>
        <w:t>2015</w:t>
      </w:r>
      <w:r>
        <w:rPr>
          <w:rFonts w:ascii="Arial" w:eastAsia="仿宋_GB2312;仿宋" w:hAnsi="Arial" w:cs="Arial"/>
          <w:bCs/>
          <w:color w:val="000000"/>
          <w:sz w:val="28"/>
          <w:szCs w:val="28"/>
        </w:rPr>
        <w:t>年起，北京市工业用地均为零溢价成交。地价方面，</w:t>
      </w:r>
      <w:r>
        <w:rPr>
          <w:rFonts w:ascii="Arial" w:eastAsia="仿宋_GB2312;仿宋" w:hAnsi="Arial" w:cs="Arial"/>
          <w:bCs/>
          <w:color w:val="000000"/>
          <w:sz w:val="28"/>
          <w:szCs w:val="28"/>
        </w:rPr>
        <w:t>2013</w:t>
      </w:r>
      <w:r>
        <w:rPr>
          <w:rFonts w:ascii="Arial" w:eastAsia="仿宋_GB2312;仿宋" w:hAnsi="Arial" w:cs="Arial"/>
          <w:bCs/>
          <w:color w:val="000000"/>
          <w:sz w:val="28"/>
          <w:szCs w:val="28"/>
        </w:rPr>
        <w:t>年至今除受成交结构影响在</w:t>
      </w:r>
      <w:r>
        <w:rPr>
          <w:rFonts w:ascii="Arial" w:eastAsia="仿宋_GB2312;仿宋" w:hAnsi="Arial" w:cs="Arial"/>
          <w:bCs/>
          <w:color w:val="000000"/>
          <w:sz w:val="28"/>
          <w:szCs w:val="28"/>
        </w:rPr>
        <w:t>2017</w:t>
      </w:r>
      <w:r>
        <w:rPr>
          <w:rFonts w:ascii="Arial" w:eastAsia="仿宋_GB2312;仿宋" w:hAnsi="Arial" w:cs="Arial"/>
          <w:bCs/>
          <w:color w:val="000000"/>
          <w:sz w:val="28"/>
          <w:szCs w:val="28"/>
        </w:rPr>
        <w:t>年出现较大波动，工业用地市场呈平稳上涨趋势。</w:t>
      </w:r>
      <w:r>
        <w:rPr>
          <w:rFonts w:ascii="Arial" w:eastAsia="仿宋_GB2312;仿宋" w:hAnsi="Arial" w:cs="Arial"/>
          <w:bCs/>
          <w:color w:val="000000"/>
          <w:sz w:val="28"/>
          <w:szCs w:val="28"/>
        </w:rPr>
        <w:t>2024</w:t>
      </w:r>
      <w:r>
        <w:rPr>
          <w:rFonts w:ascii="Arial" w:eastAsia="仿宋_GB2312;仿宋" w:hAnsi="Arial" w:cs="Arial"/>
          <w:bCs/>
          <w:color w:val="000000"/>
          <w:sz w:val="28"/>
          <w:szCs w:val="28"/>
        </w:rPr>
        <w:t>年一季度，受成交物流用地影响，工业成交地价再次出现较大涨幅，若扣除物流用地成交影响，整体仍呈平稳上涨趋势。</w:t>
      </w:r>
    </w:p>
    <w:p w14:paraId="585A52FC" w14:textId="77777777" w:rsidR="00E70101" w:rsidRDefault="0060680B">
      <w:pPr>
        <w:spacing w:line="360" w:lineRule="auto"/>
        <w:jc w:val="center"/>
      </w:pPr>
      <w:r>
        <w:rPr>
          <w:rFonts w:ascii="Arial" w:eastAsia="仿宋_GB2312;仿宋" w:hAnsi="Arial" w:cs="Arial"/>
          <w:b/>
          <w:bCs/>
          <w:color w:val="000000"/>
          <w:szCs w:val="28"/>
        </w:rPr>
        <w:t>2014</w:t>
      </w:r>
      <w:r>
        <w:rPr>
          <w:rFonts w:ascii="Arial" w:eastAsia="仿宋_GB2312;仿宋" w:hAnsi="Arial" w:cs="Arial"/>
          <w:b/>
          <w:bCs/>
          <w:color w:val="000000"/>
          <w:szCs w:val="28"/>
        </w:rPr>
        <w:t>年至</w:t>
      </w:r>
      <w:r>
        <w:rPr>
          <w:rFonts w:ascii="Arial" w:eastAsia="仿宋_GB2312;仿宋" w:hAnsi="Arial" w:cs="Arial"/>
          <w:b/>
          <w:bCs/>
          <w:color w:val="000000"/>
          <w:szCs w:val="28"/>
        </w:rPr>
        <w:t>2024</w:t>
      </w:r>
      <w:r>
        <w:rPr>
          <w:rFonts w:ascii="Arial" w:eastAsia="仿宋_GB2312;仿宋" w:hAnsi="Arial" w:cs="Arial"/>
          <w:b/>
          <w:bCs/>
          <w:color w:val="000000"/>
          <w:szCs w:val="28"/>
        </w:rPr>
        <w:t>年</w:t>
      </w:r>
      <w:r>
        <w:rPr>
          <w:rFonts w:ascii="Arial" w:eastAsia="仿宋_GB2312;仿宋" w:hAnsi="Arial" w:cs="Arial"/>
          <w:b/>
          <w:bCs/>
          <w:color w:val="000000"/>
          <w:szCs w:val="28"/>
        </w:rPr>
        <w:t>Q1</w:t>
      </w:r>
      <w:r>
        <w:rPr>
          <w:rFonts w:ascii="Arial" w:eastAsia="仿宋_GB2312;仿宋" w:hAnsi="Arial" w:cs="Arial"/>
          <w:b/>
          <w:bCs/>
          <w:color w:val="000000"/>
          <w:szCs w:val="28"/>
        </w:rPr>
        <w:t>北京市工业用地地价走势</w:t>
      </w:r>
    </w:p>
    <w:p w14:paraId="1C2E6837" w14:textId="77777777" w:rsidR="00E70101" w:rsidRDefault="0060680B">
      <w:pPr>
        <w:spacing w:line="360" w:lineRule="auto"/>
        <w:jc w:val="center"/>
        <w:rPr>
          <w:lang w:val="zh-CN"/>
        </w:rPr>
      </w:pPr>
      <w:r>
        <w:rPr>
          <w:noProof/>
        </w:rPr>
        <w:drawing>
          <wp:inline distT="0" distB="0" distL="0" distR="0" wp14:anchorId="66FAE112" wp14:editId="41995FDB">
            <wp:extent cx="5905500" cy="2315210"/>
            <wp:effectExtent l="0" t="0" r="0" b="0"/>
            <wp:docPr id="14" name="图像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像3"/>
                    <pic:cNvPicPr>
                      <a:picLocks noChangeAspect="1" noChangeArrowheads="1"/>
                    </pic:cNvPicPr>
                  </pic:nvPicPr>
                  <pic:blipFill>
                    <a:blip r:embed="rId30"/>
                    <a:srcRect l="-6" t="-15" r="-6" b="-15"/>
                    <a:stretch>
                      <a:fillRect/>
                    </a:stretch>
                  </pic:blipFill>
                  <pic:spPr bwMode="auto">
                    <a:xfrm>
                      <a:off x="0" y="0"/>
                      <a:ext cx="5905500" cy="2315210"/>
                    </a:xfrm>
                    <a:prstGeom prst="rect">
                      <a:avLst/>
                    </a:prstGeom>
                  </pic:spPr>
                </pic:pic>
              </a:graphicData>
            </a:graphic>
          </wp:inline>
        </w:drawing>
      </w:r>
    </w:p>
    <w:p w14:paraId="3B60BCAE" w14:textId="77777777" w:rsidR="00E70101" w:rsidRDefault="0060680B">
      <w:pPr>
        <w:widowControl/>
        <w:spacing w:line="220" w:lineRule="exact"/>
        <w:textAlignment w:val="auto"/>
      </w:pPr>
      <w:r>
        <w:rPr>
          <w:rFonts w:ascii="Arial" w:hAnsi="Arial" w:cs="宋体;SimSun"/>
          <w:color w:val="000000"/>
          <w:sz w:val="20"/>
        </w:rPr>
        <w:t>注：图中</w:t>
      </w:r>
      <w:r>
        <w:rPr>
          <w:rFonts w:ascii="Arial" w:hAnsi="Arial" w:cs="宋体;SimSun"/>
          <w:color w:val="000000"/>
          <w:sz w:val="20"/>
        </w:rPr>
        <w:t>2022</w:t>
      </w:r>
      <w:r>
        <w:rPr>
          <w:rFonts w:ascii="Arial" w:hAnsi="Arial" w:cs="宋体;SimSun"/>
          <w:color w:val="000000"/>
          <w:sz w:val="20"/>
        </w:rPr>
        <w:t>年至</w:t>
      </w:r>
      <w:r>
        <w:rPr>
          <w:rFonts w:ascii="Arial" w:hAnsi="Arial" w:cs="宋体;SimSun"/>
          <w:color w:val="000000"/>
          <w:sz w:val="20"/>
        </w:rPr>
        <w:t>2024Q1</w:t>
      </w:r>
      <w:r>
        <w:rPr>
          <w:rFonts w:ascii="Arial" w:hAnsi="Arial" w:cs="宋体;SimSun"/>
          <w:color w:val="000000"/>
          <w:sz w:val="20"/>
        </w:rPr>
        <w:t>虚线段为扣除物流用地影响走势</w:t>
      </w:r>
    </w:p>
    <w:p w14:paraId="0933299E" w14:textId="77777777" w:rsidR="00E70101" w:rsidRDefault="00E70101">
      <w:pPr>
        <w:widowControl/>
        <w:spacing w:line="220" w:lineRule="exact"/>
        <w:textAlignment w:val="auto"/>
        <w:rPr>
          <w:rFonts w:ascii="宋体;SimSun" w:hAnsi="宋体;SimSun" w:cs="宋体;SimSun"/>
          <w:color w:val="000000"/>
          <w:sz w:val="22"/>
          <w:szCs w:val="22"/>
        </w:rPr>
      </w:pPr>
    </w:p>
    <w:p w14:paraId="0AD0540A" w14:textId="77777777" w:rsidR="00E70101" w:rsidRDefault="0060680B">
      <w:pPr>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w:t>
      </w:r>
      <w:r>
        <w:rPr>
          <w:rFonts w:ascii="Arial" w:eastAsia="仿宋_GB2312;仿宋" w:hAnsi="Arial" w:cs="Arial"/>
          <w:bCs/>
          <w:color w:val="000000"/>
          <w:sz w:val="28"/>
          <w:szCs w:val="28"/>
        </w:rPr>
        <w:t>3</w:t>
      </w:r>
      <w:r>
        <w:rPr>
          <w:rFonts w:ascii="Arial" w:eastAsia="仿宋_GB2312;仿宋" w:hAnsi="Arial" w:cs="Arial"/>
          <w:bCs/>
          <w:color w:val="000000"/>
          <w:sz w:val="28"/>
          <w:szCs w:val="28"/>
        </w:rPr>
        <w:t>）区域成交情况</w:t>
      </w:r>
    </w:p>
    <w:p w14:paraId="7534BB9A" w14:textId="77777777" w:rsidR="00E70101" w:rsidRDefault="0060680B">
      <w:pPr>
        <w:widowControl/>
        <w:spacing w:line="360" w:lineRule="auto"/>
        <w:ind w:firstLine="560"/>
        <w:jc w:val="both"/>
        <w:textAlignment w:val="auto"/>
      </w:pPr>
      <w:r>
        <w:rPr>
          <w:rFonts w:ascii="Arial" w:eastAsia="仿宋_GB2312;仿宋" w:hAnsi="Arial" w:cs="Arial"/>
          <w:bCs/>
          <w:color w:val="000000"/>
          <w:sz w:val="28"/>
          <w:szCs w:val="28"/>
        </w:rPr>
        <w:t>2024</w:t>
      </w:r>
      <w:r>
        <w:rPr>
          <w:rFonts w:ascii="Arial" w:eastAsia="仿宋_GB2312;仿宋" w:hAnsi="Arial" w:cs="Arial"/>
          <w:bCs/>
          <w:color w:val="000000"/>
          <w:sz w:val="28"/>
          <w:szCs w:val="28"/>
        </w:rPr>
        <w:t>年一季度北京市工业用地成交</w:t>
      </w:r>
      <w:r>
        <w:rPr>
          <w:rFonts w:ascii="Arial" w:eastAsia="仿宋_GB2312;仿宋" w:hAnsi="Arial" w:cs="Arial"/>
          <w:bCs/>
          <w:color w:val="000000"/>
          <w:sz w:val="28"/>
          <w:szCs w:val="28"/>
        </w:rPr>
        <w:t>3</w:t>
      </w:r>
      <w:r>
        <w:rPr>
          <w:rFonts w:ascii="Arial" w:eastAsia="仿宋_GB2312;仿宋" w:hAnsi="Arial" w:cs="Arial"/>
          <w:bCs/>
          <w:color w:val="000000"/>
          <w:sz w:val="28"/>
          <w:szCs w:val="28"/>
        </w:rPr>
        <w:t>宗，分别位于大兴区、平谷区及昌平区。</w:t>
      </w:r>
    </w:p>
    <w:p w14:paraId="030DF717" w14:textId="77777777" w:rsidR="00E70101" w:rsidRDefault="0060680B">
      <w:pPr>
        <w:widowControl/>
        <w:spacing w:line="360" w:lineRule="auto"/>
        <w:ind w:firstLine="560"/>
        <w:jc w:val="both"/>
        <w:textAlignment w:val="auto"/>
        <w:rPr>
          <w:lang w:val="zh-CN"/>
        </w:rPr>
      </w:pPr>
      <w:r>
        <w:rPr>
          <w:rFonts w:ascii="Arial" w:eastAsia="仿宋_GB2312;仿宋" w:hAnsi="Arial" w:cs="Arial"/>
          <w:bCs/>
          <w:sz w:val="28"/>
          <w:szCs w:val="28"/>
        </w:rPr>
        <w:t>大兴区成交宗地位于亦庄新城地区，为</w:t>
      </w:r>
      <w:r>
        <w:rPr>
          <w:rFonts w:ascii="Arial" w:eastAsia="仿宋_GB2312;仿宋" w:hAnsi="Arial" w:cs="Arial"/>
          <w:bCs/>
          <w:sz w:val="28"/>
          <w:szCs w:val="28"/>
        </w:rPr>
        <w:t>M1</w:t>
      </w:r>
      <w:r>
        <w:rPr>
          <w:rFonts w:ascii="Arial" w:eastAsia="仿宋_GB2312;仿宋" w:hAnsi="Arial" w:cs="Arial"/>
          <w:bCs/>
          <w:sz w:val="28"/>
          <w:szCs w:val="28"/>
        </w:rPr>
        <w:t>一类工业用地，建设用地面积</w:t>
      </w:r>
      <w:r>
        <w:rPr>
          <w:rFonts w:ascii="Arial" w:eastAsia="仿宋_GB2312;仿宋" w:hAnsi="Arial" w:cs="Arial"/>
          <w:bCs/>
          <w:sz w:val="28"/>
          <w:szCs w:val="28"/>
        </w:rPr>
        <w:t>1.75</w:t>
      </w:r>
      <w:r>
        <w:rPr>
          <w:rFonts w:ascii="Arial" w:eastAsia="仿宋_GB2312;仿宋" w:hAnsi="Arial" w:cs="Arial"/>
          <w:bCs/>
          <w:sz w:val="28"/>
          <w:szCs w:val="28"/>
        </w:rPr>
        <w:t>万平方米，成交地面均价为</w:t>
      </w:r>
      <w:r>
        <w:rPr>
          <w:rFonts w:ascii="Arial" w:eastAsia="仿宋_GB2312;仿宋" w:hAnsi="Arial" w:cs="Arial"/>
          <w:bCs/>
          <w:sz w:val="28"/>
          <w:szCs w:val="28"/>
        </w:rPr>
        <w:t>1197</w:t>
      </w:r>
      <w:r>
        <w:rPr>
          <w:rFonts w:ascii="Arial" w:eastAsia="仿宋_GB2312;仿宋" w:hAnsi="Arial" w:cs="Arial"/>
          <w:bCs/>
          <w:sz w:val="28"/>
          <w:szCs w:val="28"/>
        </w:rPr>
        <w:t>元</w:t>
      </w:r>
      <w:r>
        <w:rPr>
          <w:rFonts w:ascii="Arial" w:eastAsia="仿宋_GB2312;仿宋" w:hAnsi="Arial" w:cs="Arial"/>
          <w:bCs/>
          <w:sz w:val="28"/>
          <w:szCs w:val="28"/>
        </w:rPr>
        <w:t>/</w:t>
      </w:r>
      <w:r>
        <w:rPr>
          <w:rFonts w:ascii="Arial" w:eastAsia="仿宋_GB2312;仿宋" w:hAnsi="Arial" w:cs="Arial"/>
          <w:bCs/>
          <w:sz w:val="28"/>
          <w:szCs w:val="28"/>
        </w:rPr>
        <w:t>平方米（约合</w:t>
      </w:r>
      <w:r>
        <w:rPr>
          <w:rFonts w:ascii="Arial" w:eastAsia="仿宋_GB2312;仿宋" w:hAnsi="Arial" w:cs="Arial"/>
          <w:bCs/>
          <w:sz w:val="28"/>
          <w:szCs w:val="28"/>
        </w:rPr>
        <w:t>79.8</w:t>
      </w:r>
      <w:r>
        <w:rPr>
          <w:rFonts w:ascii="Arial" w:eastAsia="仿宋_GB2312;仿宋" w:hAnsi="Arial" w:cs="Arial"/>
          <w:bCs/>
          <w:sz w:val="28"/>
          <w:szCs w:val="28"/>
        </w:rPr>
        <w:t>万</w:t>
      </w:r>
      <w:r>
        <w:rPr>
          <w:rFonts w:ascii="Arial" w:eastAsia="仿宋_GB2312;仿宋" w:hAnsi="Arial" w:cs="Arial"/>
          <w:bCs/>
          <w:sz w:val="28"/>
          <w:szCs w:val="28"/>
        </w:rPr>
        <w:t>/</w:t>
      </w:r>
      <w:r>
        <w:rPr>
          <w:rFonts w:ascii="Arial" w:eastAsia="仿宋_GB2312;仿宋" w:hAnsi="Arial" w:cs="Arial"/>
          <w:bCs/>
          <w:sz w:val="28"/>
          <w:szCs w:val="28"/>
        </w:rPr>
        <w:t>亩）；平谷区成交建设用地面积</w:t>
      </w:r>
      <w:r>
        <w:rPr>
          <w:rFonts w:ascii="Arial" w:eastAsia="仿宋_GB2312;仿宋" w:hAnsi="Arial" w:cs="Arial"/>
          <w:bCs/>
          <w:sz w:val="28"/>
          <w:szCs w:val="28"/>
        </w:rPr>
        <w:t>18.67</w:t>
      </w:r>
      <w:r>
        <w:rPr>
          <w:rFonts w:ascii="Arial" w:eastAsia="仿宋_GB2312;仿宋" w:hAnsi="Arial" w:cs="Arial"/>
          <w:bCs/>
          <w:sz w:val="28"/>
          <w:szCs w:val="28"/>
        </w:rPr>
        <w:t>万平方米，成交地面均价为</w:t>
      </w:r>
      <w:r>
        <w:rPr>
          <w:rFonts w:ascii="Arial" w:eastAsia="仿宋_GB2312;仿宋" w:hAnsi="Arial" w:cs="Arial"/>
          <w:bCs/>
          <w:sz w:val="28"/>
          <w:szCs w:val="28"/>
        </w:rPr>
        <w:t>4168</w:t>
      </w:r>
      <w:r>
        <w:rPr>
          <w:rFonts w:ascii="Arial" w:eastAsia="仿宋_GB2312;仿宋" w:hAnsi="Arial" w:cs="Arial"/>
          <w:bCs/>
          <w:sz w:val="28"/>
          <w:szCs w:val="28"/>
        </w:rPr>
        <w:t>元</w:t>
      </w:r>
      <w:r>
        <w:rPr>
          <w:rFonts w:ascii="Arial" w:eastAsia="仿宋_GB2312;仿宋" w:hAnsi="Arial" w:cs="Arial"/>
          <w:bCs/>
          <w:sz w:val="28"/>
          <w:szCs w:val="28"/>
        </w:rPr>
        <w:t>/</w:t>
      </w:r>
      <w:r>
        <w:rPr>
          <w:rFonts w:ascii="Arial" w:eastAsia="仿宋_GB2312;仿宋" w:hAnsi="Arial" w:cs="Arial"/>
          <w:bCs/>
          <w:sz w:val="28"/>
          <w:szCs w:val="28"/>
        </w:rPr>
        <w:t>平方米（约合</w:t>
      </w:r>
      <w:r>
        <w:rPr>
          <w:rFonts w:ascii="Arial" w:eastAsia="仿宋_GB2312;仿宋" w:hAnsi="Arial" w:cs="Arial"/>
          <w:bCs/>
          <w:sz w:val="28"/>
          <w:szCs w:val="28"/>
        </w:rPr>
        <w:t>278</w:t>
      </w:r>
      <w:r>
        <w:rPr>
          <w:rFonts w:ascii="Arial" w:eastAsia="仿宋_GB2312;仿宋" w:hAnsi="Arial" w:cs="Arial"/>
          <w:bCs/>
          <w:sz w:val="28"/>
          <w:szCs w:val="28"/>
        </w:rPr>
        <w:t>万</w:t>
      </w:r>
      <w:r>
        <w:rPr>
          <w:rFonts w:ascii="Arial" w:eastAsia="仿宋_GB2312;仿宋" w:hAnsi="Arial" w:cs="Arial"/>
          <w:bCs/>
          <w:sz w:val="28"/>
          <w:szCs w:val="28"/>
        </w:rPr>
        <w:t>/</w:t>
      </w:r>
      <w:r>
        <w:rPr>
          <w:rFonts w:ascii="Arial" w:eastAsia="仿宋_GB2312;仿宋" w:hAnsi="Arial" w:cs="Arial"/>
          <w:bCs/>
          <w:sz w:val="28"/>
          <w:szCs w:val="28"/>
        </w:rPr>
        <w:t>亩），为</w:t>
      </w:r>
      <w:r>
        <w:rPr>
          <w:rFonts w:ascii="Arial" w:eastAsia="仿宋_GB2312;仿宋" w:hAnsi="Arial" w:cs="Arial"/>
          <w:bCs/>
          <w:sz w:val="28"/>
          <w:szCs w:val="28"/>
        </w:rPr>
        <w:t>W1</w:t>
      </w:r>
      <w:r>
        <w:rPr>
          <w:rFonts w:ascii="Arial" w:eastAsia="仿宋_GB2312;仿宋" w:hAnsi="Arial" w:cs="Arial"/>
          <w:bCs/>
          <w:sz w:val="28"/>
          <w:szCs w:val="28"/>
        </w:rPr>
        <w:t>物流用地；昌平区成交建设用地面积</w:t>
      </w:r>
      <w:r>
        <w:rPr>
          <w:rFonts w:ascii="Arial" w:eastAsia="仿宋_GB2312;仿宋" w:hAnsi="Arial" w:cs="Arial"/>
          <w:bCs/>
          <w:sz w:val="28"/>
          <w:szCs w:val="28"/>
        </w:rPr>
        <w:t>2.57</w:t>
      </w:r>
      <w:r>
        <w:rPr>
          <w:rFonts w:ascii="Arial" w:eastAsia="仿宋_GB2312;仿宋" w:hAnsi="Arial" w:cs="Arial"/>
          <w:bCs/>
          <w:sz w:val="28"/>
          <w:szCs w:val="28"/>
        </w:rPr>
        <w:t>万平方米，成交地面均价为</w:t>
      </w:r>
      <w:r>
        <w:rPr>
          <w:rFonts w:ascii="Arial" w:eastAsia="仿宋_GB2312;仿宋" w:hAnsi="Arial" w:cs="Arial"/>
          <w:bCs/>
          <w:sz w:val="28"/>
          <w:szCs w:val="28"/>
        </w:rPr>
        <w:t>2610</w:t>
      </w:r>
      <w:r>
        <w:rPr>
          <w:rFonts w:ascii="Arial" w:eastAsia="仿宋_GB2312;仿宋" w:hAnsi="Arial" w:cs="Arial"/>
          <w:bCs/>
          <w:sz w:val="28"/>
          <w:szCs w:val="28"/>
        </w:rPr>
        <w:t>元</w:t>
      </w:r>
      <w:r>
        <w:rPr>
          <w:rFonts w:ascii="Arial" w:eastAsia="仿宋_GB2312;仿宋" w:hAnsi="Arial" w:cs="Arial"/>
          <w:bCs/>
          <w:sz w:val="28"/>
          <w:szCs w:val="28"/>
        </w:rPr>
        <w:t>/</w:t>
      </w:r>
      <w:r>
        <w:rPr>
          <w:rFonts w:ascii="Arial" w:eastAsia="仿宋_GB2312;仿宋" w:hAnsi="Arial" w:cs="Arial"/>
          <w:bCs/>
          <w:sz w:val="28"/>
          <w:szCs w:val="28"/>
        </w:rPr>
        <w:t>平方米（约合</w:t>
      </w:r>
      <w:r>
        <w:rPr>
          <w:rFonts w:ascii="Arial" w:eastAsia="仿宋_GB2312;仿宋" w:hAnsi="Arial" w:cs="Arial"/>
          <w:bCs/>
          <w:sz w:val="28"/>
          <w:szCs w:val="28"/>
        </w:rPr>
        <w:t>174</w:t>
      </w:r>
      <w:r>
        <w:rPr>
          <w:rFonts w:ascii="Arial" w:eastAsia="仿宋_GB2312;仿宋" w:hAnsi="Arial" w:cs="Arial"/>
          <w:bCs/>
          <w:sz w:val="28"/>
          <w:szCs w:val="28"/>
        </w:rPr>
        <w:t>万</w:t>
      </w:r>
      <w:r>
        <w:rPr>
          <w:rFonts w:ascii="Arial" w:eastAsia="仿宋_GB2312;仿宋" w:hAnsi="Arial" w:cs="Arial"/>
          <w:bCs/>
          <w:sz w:val="28"/>
          <w:szCs w:val="28"/>
        </w:rPr>
        <w:t>/</w:t>
      </w:r>
      <w:r>
        <w:rPr>
          <w:rFonts w:ascii="Arial" w:eastAsia="仿宋_GB2312;仿宋" w:hAnsi="Arial" w:cs="Arial"/>
          <w:bCs/>
          <w:sz w:val="28"/>
          <w:szCs w:val="28"/>
        </w:rPr>
        <w:t>亩），为</w:t>
      </w:r>
      <w:r>
        <w:rPr>
          <w:rFonts w:ascii="Arial" w:eastAsia="仿宋_GB2312;仿宋" w:hAnsi="Arial" w:cs="Arial"/>
          <w:bCs/>
          <w:sz w:val="28"/>
          <w:szCs w:val="28"/>
        </w:rPr>
        <w:t>M1</w:t>
      </w:r>
      <w:r>
        <w:rPr>
          <w:rFonts w:ascii="Arial" w:eastAsia="仿宋_GB2312;仿宋" w:hAnsi="Arial" w:cs="Arial"/>
          <w:bCs/>
          <w:sz w:val="28"/>
          <w:szCs w:val="28"/>
        </w:rPr>
        <w:t>一类工业用地。</w:t>
      </w:r>
      <w:r>
        <w:rPr>
          <w:rFonts w:eastAsia="Times New Roman"/>
          <w:lang w:val="zh-CN"/>
        </w:rPr>
        <w:t xml:space="preserve"> </w:t>
      </w:r>
    </w:p>
    <w:p w14:paraId="49CCCF73" w14:textId="77777777" w:rsidR="00E70101" w:rsidRDefault="0060680B">
      <w:pPr>
        <w:spacing w:line="360" w:lineRule="auto"/>
        <w:rPr>
          <w:lang w:val="zh-CN"/>
        </w:rPr>
      </w:pPr>
      <w:r>
        <w:rPr>
          <w:rFonts w:eastAsia="Times New Roman"/>
          <w:lang w:val="zh-CN"/>
        </w:rPr>
        <w:t xml:space="preserve"> </w:t>
      </w:r>
      <w:r>
        <w:rPr>
          <w:rFonts w:eastAsia="Times New Roman"/>
          <w:noProof/>
        </w:rPr>
        <mc:AlternateContent>
          <mc:Choice Requires="wps">
            <w:drawing>
              <wp:anchor distT="0" distB="0" distL="114935" distR="114935" simplePos="0" relativeHeight="73" behindDoc="0" locked="0" layoutInCell="1" allowOverlap="1" wp14:anchorId="33FF391D" wp14:editId="613EDE3B">
                <wp:simplePos x="0" y="0"/>
                <wp:positionH relativeFrom="column">
                  <wp:posOffset>4194810</wp:posOffset>
                </wp:positionH>
                <wp:positionV relativeFrom="paragraph">
                  <wp:posOffset>4697095</wp:posOffset>
                </wp:positionV>
                <wp:extent cx="1603375" cy="591185"/>
                <wp:effectExtent l="0" t="0" r="0" b="0"/>
                <wp:wrapNone/>
                <wp:docPr id="15" name="线形标注 2 15"/>
                <wp:cNvGraphicFramePr/>
                <a:graphic xmlns:a="http://schemas.openxmlformats.org/drawingml/2006/main">
                  <a:graphicData uri="http://schemas.microsoft.com/office/word/2010/wordprocessingShape">
                    <wps:wsp>
                      <wps:cNvSpPr/>
                      <wps:spPr>
                        <a:xfrm>
                          <a:off x="0" y="0"/>
                          <a:ext cx="1602720" cy="590400"/>
                        </a:xfrm>
                        <a:prstGeom prst="borderCallout2">
                          <a:avLst>
                            <a:gd name="adj1" fmla="val 18750"/>
                            <a:gd name="adj2" fmla="val -8333"/>
                            <a:gd name="adj3" fmla="val 19356"/>
                            <a:gd name="adj4" fmla="val -41083"/>
                            <a:gd name="adj5" fmla="val -96129"/>
                            <a:gd name="adj6" fmla="val -77893"/>
                          </a:avLst>
                        </a:prstGeom>
                        <a:solidFill>
                          <a:srgbClr val="FFFFFF"/>
                        </a:solidFill>
                        <a:ln w="9360">
                          <a:solidFill>
                            <a:srgbClr val="000000"/>
                          </a:solidFill>
                          <a:miter/>
                          <a:headEnd type="oval" w="med" len="med"/>
                          <a:tailEnd type="oval" w="med" len="med"/>
                        </a:ln>
                      </wps:spPr>
                      <wps:style>
                        <a:lnRef idx="0">
                          <a:scrgbClr r="0" g="0" b="0"/>
                        </a:lnRef>
                        <a:fillRef idx="0">
                          <a:scrgbClr r="0" g="0" b="0"/>
                        </a:fillRef>
                        <a:effectRef idx="0">
                          <a:scrgbClr r="0" g="0" b="0"/>
                        </a:effectRef>
                        <a:fontRef idx="minor"/>
                      </wps:style>
                      <wps:txbx>
                        <w:txbxContent>
                          <w:p w14:paraId="30DF2EE5" w14:textId="77777777" w:rsidR="0060680B" w:rsidRDefault="0060680B">
                            <w:pPr>
                              <w:overflowPunct w:val="0"/>
                              <w:spacing w:line="240" w:lineRule="exact"/>
                            </w:pPr>
                            <w:r>
                              <w:rPr>
                                <w:rFonts w:ascii="Arial" w:hAnsi="Arial" w:cs="Arial"/>
                                <w:b/>
                                <w:kern w:val="2"/>
                                <w:sz w:val="15"/>
                                <w:szCs w:val="15"/>
                              </w:rPr>
                              <w:t>亦庄新城地区（</w:t>
                            </w:r>
                            <w:r>
                              <w:rPr>
                                <w:rFonts w:ascii="Arial" w:hAnsi="Arial" w:cs="Arial"/>
                                <w:b/>
                                <w:kern w:val="2"/>
                                <w:sz w:val="15"/>
                                <w:szCs w:val="15"/>
                              </w:rPr>
                              <w:t>1</w:t>
                            </w:r>
                            <w:r>
                              <w:rPr>
                                <w:rFonts w:ascii="Arial" w:hAnsi="Arial" w:cs="Arial"/>
                                <w:b/>
                                <w:kern w:val="2"/>
                                <w:sz w:val="15"/>
                                <w:szCs w:val="15"/>
                              </w:rPr>
                              <w:t>宗）</w:t>
                            </w:r>
                          </w:p>
                          <w:p w14:paraId="7D16D018" w14:textId="77777777" w:rsidR="0060680B" w:rsidRDefault="0060680B">
                            <w:pPr>
                              <w:overflowPunct w:val="0"/>
                              <w:spacing w:line="240" w:lineRule="exact"/>
                            </w:pPr>
                            <w:r>
                              <w:rPr>
                                <w:rFonts w:ascii="Arial" w:hAnsi="Arial" w:cs="Arial"/>
                                <w:kern w:val="2"/>
                                <w:sz w:val="15"/>
                                <w:szCs w:val="15"/>
                              </w:rPr>
                              <w:t>综合配套服务区（瀛海），</w:t>
                            </w: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79.8</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6F3A1ECE" w14:textId="77777777" w:rsidR="0060680B" w:rsidRDefault="0060680B">
                            <w:pPr>
                              <w:overflowPunct w:val="0"/>
                              <w:spacing w:line="240" w:lineRule="exact"/>
                            </w:pPr>
                            <w:r>
                              <w:rPr>
                                <w:rFonts w:ascii="Arial" w:hAnsi="Arial" w:cs="Arial"/>
                                <w:kern w:val="2"/>
                                <w:sz w:val="15"/>
                                <w:szCs w:val="15"/>
                              </w:rPr>
                              <w:t xml:space="preserve">      </w:t>
                            </w:r>
                          </w:p>
                        </w:txbxContent>
                      </wps:txbx>
                      <wps:bodyPr lIns="36360" tIns="36360" rIns="36360" bIns="36360">
                        <a:noAutofit/>
                      </wps:bodyPr>
                    </wps:wsp>
                  </a:graphicData>
                </a:graphic>
              </wp:anchor>
            </w:drawing>
          </mc:Choice>
          <mc:Fallback>
            <w:pict>
              <v:shapetype w14:anchorId="33FF391D"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线形标注 2 15" o:spid="_x0000_s1026" type="#_x0000_t48" style="position:absolute;margin-left:330.3pt;margin-top:369.85pt;width:126.25pt;height:46.55pt;z-index:73;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" adj="-16825,-20764,-8874,4181" strokeweight=".26mm">
                <v:stroke startarrow="oval" endarrow="oval"/>
                <v:textbox inset="1.01mm,1.01mm,1.01mm,1.01mm">
                  <w:txbxContent>
                    <w:p w14:paraId="30DF2EE5" w14:textId="77777777" w:rsidR="0060680B" w:rsidRDefault="0060680B">
                      <w:pPr>
                        <w:overflowPunct w:val="0"/>
                        <w:spacing w:line="240" w:lineRule="exact"/>
                      </w:pPr>
                      <w:r>
                        <w:rPr>
                          <w:rFonts w:ascii="Arial" w:hAnsi="Arial" w:cs="Arial"/>
                          <w:b/>
                          <w:kern w:val="2"/>
                          <w:sz w:val="15"/>
                          <w:szCs w:val="15"/>
                        </w:rPr>
                        <w:t>亦庄新城地区（</w:t>
                      </w:r>
                      <w:r>
                        <w:rPr>
                          <w:rFonts w:ascii="Arial" w:hAnsi="Arial" w:cs="Arial"/>
                          <w:b/>
                          <w:kern w:val="2"/>
                          <w:sz w:val="15"/>
                          <w:szCs w:val="15"/>
                        </w:rPr>
                        <w:t>1</w:t>
                      </w:r>
                      <w:r>
                        <w:rPr>
                          <w:rFonts w:ascii="Arial" w:hAnsi="Arial" w:cs="Arial"/>
                          <w:b/>
                          <w:kern w:val="2"/>
                          <w:sz w:val="15"/>
                          <w:szCs w:val="15"/>
                        </w:rPr>
                        <w:t>宗）</w:t>
                      </w:r>
                    </w:p>
                    <w:p w14:paraId="7D16D018" w14:textId="77777777" w:rsidR="0060680B" w:rsidRDefault="0060680B">
                      <w:pPr>
                        <w:overflowPunct w:val="0"/>
                        <w:spacing w:line="240" w:lineRule="exact"/>
                      </w:pPr>
                      <w:r>
                        <w:rPr>
                          <w:rFonts w:ascii="Arial" w:hAnsi="Arial" w:cs="Arial"/>
                          <w:kern w:val="2"/>
                          <w:sz w:val="15"/>
                          <w:szCs w:val="15"/>
                        </w:rPr>
                        <w:t>综合配套服务区（瀛海），</w:t>
                      </w: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79.8</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6F3A1ECE" w14:textId="77777777" w:rsidR="0060680B" w:rsidRDefault="0060680B">
                      <w:pPr>
                        <w:overflowPunct w:val="0"/>
                        <w:spacing w:line="240" w:lineRule="exact"/>
                      </w:pPr>
                      <w:r>
                        <w:rPr>
                          <w:rFonts w:ascii="Arial" w:hAnsi="Arial" w:cs="Arial"/>
                          <w:kern w:val="2"/>
                          <w:sz w:val="15"/>
                          <w:szCs w:val="15"/>
                        </w:rPr>
                        <w:t xml:space="preserve">      </w:t>
                      </w:r>
                    </w:p>
                  </w:txbxContent>
                </v:textbox>
              </v:shape>
            </w:pict>
          </mc:Fallback>
        </mc:AlternateContent>
      </w:r>
      <w:r>
        <w:rPr>
          <w:rFonts w:eastAsia="Times New Roman"/>
          <w:noProof/>
        </w:rPr>
        <mc:AlternateContent>
          <mc:Choice Requires="wps">
            <w:drawing>
              <wp:anchor distT="0" distB="0" distL="114935" distR="114935" simplePos="0" relativeHeight="74" behindDoc="0" locked="0" layoutInCell="1" allowOverlap="1" wp14:anchorId="43E06F53" wp14:editId="141BA097">
                <wp:simplePos x="0" y="0"/>
                <wp:positionH relativeFrom="column">
                  <wp:posOffset>4605655</wp:posOffset>
                </wp:positionH>
                <wp:positionV relativeFrom="paragraph">
                  <wp:posOffset>3084195</wp:posOffset>
                </wp:positionV>
                <wp:extent cx="1192530" cy="695325"/>
                <wp:effectExtent l="0" t="0" r="0" b="0"/>
                <wp:wrapNone/>
                <wp:docPr id="16" name="线形标注 2 16"/>
                <wp:cNvGraphicFramePr/>
                <a:graphic xmlns:a="http://schemas.openxmlformats.org/drawingml/2006/main">
                  <a:graphicData uri="http://schemas.microsoft.com/office/word/2010/wordprocessingShape">
                    <wps:wsp>
                      <wps:cNvSpPr/>
                      <wps:spPr>
                        <a:xfrm>
                          <a:off x="0" y="0"/>
                          <a:ext cx="1191960" cy="694800"/>
                        </a:xfrm>
                        <a:prstGeom prst="borderCallout2">
                          <a:avLst>
                            <a:gd name="adj1" fmla="val 18750"/>
                            <a:gd name="adj2" fmla="val -8333"/>
                            <a:gd name="adj3" fmla="val 16453"/>
                            <a:gd name="adj4" fmla="val -6393"/>
                            <a:gd name="adj5" fmla="val 16453"/>
                            <a:gd name="adj6" fmla="val -28717"/>
                          </a:avLst>
                        </a:prstGeom>
                        <a:solidFill>
                          <a:srgbClr val="FFFFFF"/>
                        </a:solidFill>
                        <a:ln w="9360">
                          <a:solidFill>
                            <a:srgbClr val="000000"/>
                          </a:solidFill>
                          <a:miter/>
                          <a:headEnd type="oval" w="med" len="med"/>
                          <a:tailEnd type="oval" w="med" len="med"/>
                        </a:ln>
                      </wps:spPr>
                      <wps:style>
                        <a:lnRef idx="0">
                          <a:scrgbClr r="0" g="0" b="0"/>
                        </a:lnRef>
                        <a:fillRef idx="0">
                          <a:scrgbClr r="0" g="0" b="0"/>
                        </a:fillRef>
                        <a:effectRef idx="0">
                          <a:scrgbClr r="0" g="0" b="0"/>
                        </a:effectRef>
                        <a:fontRef idx="minor"/>
                      </wps:style>
                      <wps:txbx>
                        <w:txbxContent>
                          <w:p w14:paraId="17A71302" w14:textId="77777777" w:rsidR="0060680B" w:rsidRDefault="0060680B">
                            <w:pPr>
                              <w:overflowPunct w:val="0"/>
                              <w:spacing w:line="240" w:lineRule="exact"/>
                            </w:pPr>
                            <w:r>
                              <w:rPr>
                                <w:rFonts w:ascii="Arial" w:hAnsi="Arial" w:cs="Arial"/>
                                <w:b/>
                                <w:kern w:val="2"/>
                                <w:sz w:val="15"/>
                                <w:szCs w:val="15"/>
                              </w:rPr>
                              <w:t>平谷区（</w:t>
                            </w:r>
                            <w:r>
                              <w:rPr>
                                <w:rFonts w:ascii="Arial" w:hAnsi="Arial" w:cs="Arial"/>
                                <w:b/>
                                <w:kern w:val="2"/>
                                <w:sz w:val="15"/>
                                <w:szCs w:val="15"/>
                              </w:rPr>
                              <w:t>1</w:t>
                            </w:r>
                            <w:r>
                              <w:rPr>
                                <w:rFonts w:ascii="Arial" w:hAnsi="Arial" w:cs="Arial"/>
                                <w:b/>
                                <w:kern w:val="2"/>
                                <w:sz w:val="15"/>
                                <w:szCs w:val="15"/>
                              </w:rPr>
                              <w:t>宗）</w:t>
                            </w:r>
                          </w:p>
                          <w:p w14:paraId="7F90FCB4" w14:textId="77777777" w:rsidR="0060680B" w:rsidRDefault="0060680B">
                            <w:pPr>
                              <w:overflowPunct w:val="0"/>
                              <w:spacing w:line="240" w:lineRule="exact"/>
                            </w:pPr>
                            <w:r>
                              <w:rPr>
                                <w:rFonts w:ascii="Arial" w:hAnsi="Arial" w:cs="Arial"/>
                                <w:kern w:val="2"/>
                                <w:sz w:val="15"/>
                                <w:szCs w:val="15"/>
                              </w:rPr>
                              <w:t>京平公转铁综合物流枢纽产业园，</w:t>
                            </w:r>
                            <w:r>
                              <w:rPr>
                                <w:rFonts w:ascii="Arial" w:hAnsi="Arial" w:cs="Arial"/>
                                <w:kern w:val="2"/>
                                <w:sz w:val="15"/>
                                <w:szCs w:val="15"/>
                              </w:rPr>
                              <w:t>W1</w:t>
                            </w:r>
                            <w:r>
                              <w:rPr>
                                <w:rFonts w:ascii="Arial" w:hAnsi="Arial" w:cs="Arial"/>
                                <w:kern w:val="2"/>
                                <w:sz w:val="15"/>
                                <w:szCs w:val="15"/>
                              </w:rPr>
                              <w:t>（</w:t>
                            </w:r>
                            <w:r>
                              <w:rPr>
                                <w:rFonts w:ascii="Arial" w:hAnsi="Arial" w:cs="Arial"/>
                                <w:kern w:val="2"/>
                                <w:sz w:val="15"/>
                                <w:szCs w:val="15"/>
                              </w:rPr>
                              <w:t>50</w:t>
                            </w:r>
                            <w:r>
                              <w:rPr>
                                <w:rFonts w:ascii="Arial" w:hAnsi="Arial" w:cs="Arial"/>
                                <w:kern w:val="2"/>
                                <w:sz w:val="15"/>
                                <w:szCs w:val="15"/>
                              </w:rPr>
                              <w:t>年）：</w:t>
                            </w:r>
                          </w:p>
                          <w:p w14:paraId="783B8271" w14:textId="77777777" w:rsidR="0060680B" w:rsidRDefault="0060680B">
                            <w:pPr>
                              <w:overflowPunct w:val="0"/>
                              <w:spacing w:line="240" w:lineRule="exact"/>
                              <w:ind w:firstLine="225"/>
                            </w:pPr>
                            <w:r>
                              <w:rPr>
                                <w:rFonts w:ascii="Arial" w:hAnsi="Arial" w:cs="Arial"/>
                                <w:kern w:val="2"/>
                                <w:sz w:val="15"/>
                                <w:szCs w:val="15"/>
                              </w:rPr>
                              <w:t>278</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wps:txbx>
                      <wps:bodyPr lIns="36360" tIns="36360" rIns="36360" bIns="36360">
                        <a:noAutofit/>
                      </wps:bodyPr>
                    </wps:wsp>
                  </a:graphicData>
                </a:graphic>
              </wp:anchor>
            </w:drawing>
          </mc:Choice>
          <mc:Fallback>
            <w:pict>
              <v:shape w14:anchorId="43E06F53" id="线形标注 2 16" o:spid="_x0000_s1027" type="#_x0000_t48" style="position:absolute;margin-left:362.65pt;margin-top:242.85pt;width:93.9pt;height:54.75pt;z-index:7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" adj="-6203,3554,-1381,3554" strokeweight=".26mm">
                <v:stroke startarrow="oval" endarrow="oval"/>
                <v:textbox inset="1.01mm,1.01mm,1.01mm,1.01mm">
                  <w:txbxContent>
                    <w:p w14:paraId="17A71302" w14:textId="77777777" w:rsidR="0060680B" w:rsidRDefault="0060680B">
                      <w:pPr>
                        <w:overflowPunct w:val="0"/>
                        <w:spacing w:line="240" w:lineRule="exact"/>
                      </w:pPr>
                      <w:r>
                        <w:rPr>
                          <w:rFonts w:ascii="Arial" w:hAnsi="Arial" w:cs="Arial"/>
                          <w:b/>
                          <w:kern w:val="2"/>
                          <w:sz w:val="15"/>
                          <w:szCs w:val="15"/>
                        </w:rPr>
                        <w:t>平谷区（</w:t>
                      </w:r>
                      <w:r>
                        <w:rPr>
                          <w:rFonts w:ascii="Arial" w:hAnsi="Arial" w:cs="Arial"/>
                          <w:b/>
                          <w:kern w:val="2"/>
                          <w:sz w:val="15"/>
                          <w:szCs w:val="15"/>
                        </w:rPr>
                        <w:t>1</w:t>
                      </w:r>
                      <w:r>
                        <w:rPr>
                          <w:rFonts w:ascii="Arial" w:hAnsi="Arial" w:cs="Arial"/>
                          <w:b/>
                          <w:kern w:val="2"/>
                          <w:sz w:val="15"/>
                          <w:szCs w:val="15"/>
                        </w:rPr>
                        <w:t>宗）</w:t>
                      </w:r>
                    </w:p>
                    <w:p w14:paraId="7F90FCB4" w14:textId="77777777" w:rsidR="0060680B" w:rsidRDefault="0060680B">
                      <w:pPr>
                        <w:overflowPunct w:val="0"/>
                        <w:spacing w:line="240" w:lineRule="exact"/>
                      </w:pPr>
                      <w:r>
                        <w:rPr>
                          <w:rFonts w:ascii="Arial" w:hAnsi="Arial" w:cs="Arial"/>
                          <w:kern w:val="2"/>
                          <w:sz w:val="15"/>
                          <w:szCs w:val="15"/>
                        </w:rPr>
                        <w:t>京平公转铁综合物流枢纽产业园，</w:t>
                      </w:r>
                      <w:r>
                        <w:rPr>
                          <w:rFonts w:ascii="Arial" w:hAnsi="Arial" w:cs="Arial"/>
                          <w:kern w:val="2"/>
                          <w:sz w:val="15"/>
                          <w:szCs w:val="15"/>
                        </w:rPr>
                        <w:t>W1</w:t>
                      </w:r>
                      <w:r>
                        <w:rPr>
                          <w:rFonts w:ascii="Arial" w:hAnsi="Arial" w:cs="Arial"/>
                          <w:kern w:val="2"/>
                          <w:sz w:val="15"/>
                          <w:szCs w:val="15"/>
                        </w:rPr>
                        <w:t>（</w:t>
                      </w:r>
                      <w:r>
                        <w:rPr>
                          <w:rFonts w:ascii="Arial" w:hAnsi="Arial" w:cs="Arial"/>
                          <w:kern w:val="2"/>
                          <w:sz w:val="15"/>
                          <w:szCs w:val="15"/>
                        </w:rPr>
                        <w:t>50</w:t>
                      </w:r>
                      <w:r>
                        <w:rPr>
                          <w:rFonts w:ascii="Arial" w:hAnsi="Arial" w:cs="Arial"/>
                          <w:kern w:val="2"/>
                          <w:sz w:val="15"/>
                          <w:szCs w:val="15"/>
                        </w:rPr>
                        <w:t>年）：</w:t>
                      </w:r>
                    </w:p>
                    <w:p w14:paraId="783B8271" w14:textId="77777777" w:rsidR="0060680B" w:rsidRDefault="0060680B">
                      <w:pPr>
                        <w:overflowPunct w:val="0"/>
                        <w:spacing w:line="240" w:lineRule="exact"/>
                        <w:ind w:firstLine="225"/>
                      </w:pPr>
                      <w:r>
                        <w:rPr>
                          <w:rFonts w:ascii="Arial" w:hAnsi="Arial" w:cs="Arial"/>
                          <w:kern w:val="2"/>
                          <w:sz w:val="15"/>
                          <w:szCs w:val="15"/>
                        </w:rPr>
                        <w:t>278</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v:textbox>
              </v:shape>
            </w:pict>
          </mc:Fallback>
        </mc:AlternateContent>
      </w:r>
      <w:r>
        <w:rPr>
          <w:rFonts w:eastAsia="Times New Roman"/>
          <w:noProof/>
        </w:rPr>
        <mc:AlternateContent>
          <mc:Choice Requires="wps">
            <w:drawing>
              <wp:anchor distT="0" distB="0" distL="114935" distR="114935" simplePos="0" relativeHeight="75" behindDoc="0" locked="0" layoutInCell="1" allowOverlap="1" wp14:anchorId="02EC87BE" wp14:editId="4720310E">
                <wp:simplePos x="0" y="0"/>
                <wp:positionH relativeFrom="column">
                  <wp:posOffset>107950</wp:posOffset>
                </wp:positionH>
                <wp:positionV relativeFrom="paragraph">
                  <wp:posOffset>2006600</wp:posOffset>
                </wp:positionV>
                <wp:extent cx="1393825" cy="471805"/>
                <wp:effectExtent l="0" t="0" r="0" b="0"/>
                <wp:wrapNone/>
                <wp:docPr id="17" name="线形标注 2 17"/>
                <wp:cNvGraphicFramePr/>
                <a:graphic xmlns:a="http://schemas.openxmlformats.org/drawingml/2006/main">
                  <a:graphicData uri="http://schemas.microsoft.com/office/word/2010/wordprocessingShape">
                    <wps:wsp>
                      <wps:cNvSpPr/>
                      <wps:spPr>
                        <a:xfrm>
                          <a:off x="0" y="0"/>
                          <a:ext cx="1393200" cy="471240"/>
                        </a:xfrm>
                        <a:prstGeom prst="borderCallout2">
                          <a:avLst>
                            <a:gd name="adj1" fmla="val 18750"/>
                            <a:gd name="adj2" fmla="val -8333"/>
                            <a:gd name="adj3" fmla="val 24259"/>
                            <a:gd name="adj4" fmla="val 125203"/>
                            <a:gd name="adj5" fmla="val 207680"/>
                            <a:gd name="adj6" fmla="val 159800"/>
                          </a:avLst>
                        </a:prstGeom>
                        <a:solidFill>
                          <a:srgbClr val="FFFFFF"/>
                        </a:solidFill>
                        <a:ln w="9360">
                          <a:solidFill>
                            <a:srgbClr val="000000"/>
                          </a:solidFill>
                          <a:miter/>
                          <a:headEnd type="oval" w="med" len="med"/>
                          <a:tailEnd type="oval" w="med" len="med"/>
                        </a:ln>
                      </wps:spPr>
                      <wps:style>
                        <a:lnRef idx="0">
                          <a:scrgbClr r="0" g="0" b="0"/>
                        </a:lnRef>
                        <a:fillRef idx="0">
                          <a:scrgbClr r="0" g="0" b="0"/>
                        </a:fillRef>
                        <a:effectRef idx="0">
                          <a:scrgbClr r="0" g="0" b="0"/>
                        </a:effectRef>
                        <a:fontRef idx="minor"/>
                      </wps:style>
                      <wps:txbx>
                        <w:txbxContent>
                          <w:p w14:paraId="3B0F29C2" w14:textId="77777777" w:rsidR="0060680B" w:rsidRDefault="0060680B">
                            <w:pPr>
                              <w:overflowPunct w:val="0"/>
                              <w:spacing w:line="240" w:lineRule="exact"/>
                            </w:pPr>
                            <w:r>
                              <w:rPr>
                                <w:rFonts w:ascii="Arial" w:hAnsi="Arial" w:cs="Arial"/>
                                <w:b/>
                                <w:kern w:val="2"/>
                                <w:sz w:val="15"/>
                                <w:szCs w:val="15"/>
                              </w:rPr>
                              <w:t>昌平区（</w:t>
                            </w:r>
                            <w:r>
                              <w:rPr>
                                <w:rFonts w:ascii="Arial" w:hAnsi="Arial" w:cs="Arial"/>
                                <w:b/>
                                <w:kern w:val="2"/>
                                <w:sz w:val="15"/>
                                <w:szCs w:val="15"/>
                              </w:rPr>
                              <w:t>1</w:t>
                            </w:r>
                            <w:r>
                              <w:rPr>
                                <w:rFonts w:ascii="Arial" w:hAnsi="Arial" w:cs="Arial"/>
                                <w:b/>
                                <w:kern w:val="2"/>
                                <w:sz w:val="15"/>
                                <w:szCs w:val="15"/>
                              </w:rPr>
                              <w:t>宗）</w:t>
                            </w:r>
                          </w:p>
                          <w:p w14:paraId="4FC1B8D0" w14:textId="77777777" w:rsidR="0060680B" w:rsidRDefault="0060680B">
                            <w:pPr>
                              <w:overflowPunct w:val="0"/>
                              <w:spacing w:line="240" w:lineRule="exact"/>
                            </w:pPr>
                            <w:r>
                              <w:rPr>
                                <w:rFonts w:ascii="Arial" w:hAnsi="Arial" w:cs="Arial"/>
                                <w:kern w:val="2"/>
                                <w:sz w:val="15"/>
                                <w:szCs w:val="15"/>
                              </w:rPr>
                              <w:t>北七家，</w:t>
                            </w: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174</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wps:txbx>
                      <wps:bodyPr lIns="36360" tIns="36360" rIns="36360" bIns="36360">
                        <a:noAutofit/>
                      </wps:bodyPr>
                    </wps:wsp>
                  </a:graphicData>
                </a:graphic>
              </wp:anchor>
            </w:drawing>
          </mc:Choice>
          <mc:Fallback>
            <w:pict>
              <v:shape w14:anchorId="02EC87BE" id="线形标注 2 17" o:spid="_x0000_s1028" type="#_x0000_t48" style="position:absolute;margin-left:8.5pt;margin-top:158pt;width:109.75pt;height:37.15pt;z-index:75;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" adj="34517,44859,27044,5240" strokeweight=".26mm">
                <v:stroke startarrow="oval" endarrow="oval"/>
                <v:textbox inset="1.01mm,1.01mm,1.01mm,1.01mm">
                  <w:txbxContent>
                    <w:p w14:paraId="3B0F29C2" w14:textId="77777777" w:rsidR="0060680B" w:rsidRDefault="0060680B">
                      <w:pPr>
                        <w:overflowPunct w:val="0"/>
                        <w:spacing w:line="240" w:lineRule="exact"/>
                      </w:pPr>
                      <w:r>
                        <w:rPr>
                          <w:rFonts w:ascii="Arial" w:hAnsi="Arial" w:cs="Arial"/>
                          <w:b/>
                          <w:kern w:val="2"/>
                          <w:sz w:val="15"/>
                          <w:szCs w:val="15"/>
                        </w:rPr>
                        <w:t>昌平区（</w:t>
                      </w:r>
                      <w:r>
                        <w:rPr>
                          <w:rFonts w:ascii="Arial" w:hAnsi="Arial" w:cs="Arial"/>
                          <w:b/>
                          <w:kern w:val="2"/>
                          <w:sz w:val="15"/>
                          <w:szCs w:val="15"/>
                        </w:rPr>
                        <w:t>1</w:t>
                      </w:r>
                      <w:r>
                        <w:rPr>
                          <w:rFonts w:ascii="Arial" w:hAnsi="Arial" w:cs="Arial"/>
                          <w:b/>
                          <w:kern w:val="2"/>
                          <w:sz w:val="15"/>
                          <w:szCs w:val="15"/>
                        </w:rPr>
                        <w:t>宗）</w:t>
                      </w:r>
                    </w:p>
                    <w:p w14:paraId="4FC1B8D0" w14:textId="77777777" w:rsidR="0060680B" w:rsidRDefault="0060680B">
                      <w:pPr>
                        <w:overflowPunct w:val="0"/>
                        <w:spacing w:line="240" w:lineRule="exact"/>
                      </w:pPr>
                      <w:r>
                        <w:rPr>
                          <w:rFonts w:ascii="Arial" w:hAnsi="Arial" w:cs="Arial"/>
                          <w:kern w:val="2"/>
                          <w:sz w:val="15"/>
                          <w:szCs w:val="15"/>
                        </w:rPr>
                        <w:t>北七家，</w:t>
                      </w: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174</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v:textbox>
                <o:callout v:ext="edit" minusx="t" minusy="t"/>
              </v:shape>
            </w:pict>
          </mc:Fallback>
        </mc:AlternateContent>
      </w:r>
      <w:r>
        <w:rPr>
          <w:noProof/>
        </w:rPr>
        <w:drawing>
          <wp:inline distT="0" distB="0" distL="0" distR="0" wp14:anchorId="3906C64C" wp14:editId="53F224C7">
            <wp:extent cx="5749925" cy="5760720"/>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noChangeArrowheads="1"/>
                    </pic:cNvPicPr>
                  </pic:nvPicPr>
                  <pic:blipFill>
                    <a:blip r:embed="rId31"/>
                    <a:srcRect l="-5" t="-6" r="-5" b="-6"/>
                    <a:stretch>
                      <a:fillRect/>
                    </a:stretch>
                  </pic:blipFill>
                  <pic:spPr bwMode="auto">
                    <a:xfrm>
                      <a:off x="0" y="0"/>
                      <a:ext cx="5749925" cy="5760720"/>
                    </a:xfrm>
                    <a:prstGeom prst="rect">
                      <a:avLst/>
                    </a:prstGeom>
                  </pic:spPr>
                </pic:pic>
              </a:graphicData>
            </a:graphic>
          </wp:inline>
        </w:drawing>
      </w:r>
      <w:r>
        <w:rPr>
          <w:noProof/>
        </w:rPr>
        <mc:AlternateContent>
          <mc:Choice Requires="wps">
            <w:drawing>
              <wp:anchor distT="0" distB="0" distL="114935" distR="114935" simplePos="0" relativeHeight="76" behindDoc="0" locked="0" layoutInCell="1" allowOverlap="1" wp14:anchorId="0B79D7F6" wp14:editId="5C5EC0E5">
                <wp:simplePos x="0" y="0"/>
                <wp:positionH relativeFrom="column">
                  <wp:posOffset>2136775</wp:posOffset>
                </wp:positionH>
                <wp:positionV relativeFrom="paragraph">
                  <wp:posOffset>163195</wp:posOffset>
                </wp:positionV>
                <wp:extent cx="1703070" cy="257175"/>
                <wp:effectExtent l="0" t="0" r="0" b="0"/>
                <wp:wrapNone/>
                <wp:docPr id="19" name="框架1"/>
                <wp:cNvGraphicFramePr/>
                <a:graphic xmlns:a="http://schemas.openxmlformats.org/drawingml/2006/main">
                  <a:graphicData uri="http://schemas.microsoft.com/office/word/2010/wordprocessingShape">
                    <wps:wsp>
                      <wps:cNvSpPr txBox="1"/>
                      <wps:spPr>
                        <a:xfrm>
                          <a:off x="0" y="0"/>
                          <a:ext cx="1703070" cy="257175"/>
                        </a:xfrm>
                        <a:prstGeom prst="rect">
                          <a:avLst/>
                        </a:prstGeom>
                        <a:solidFill>
                          <a:srgbClr val="FFFFFF"/>
                        </a:solidFill>
                      </wps:spPr>
                      <wps:txbx>
                        <w:txbxContent>
                          <w:p w14:paraId="71087039" w14:textId="77777777" w:rsidR="0060680B" w:rsidRDefault="0060680B">
                            <w:pPr>
                              <w:spacing w:line="240" w:lineRule="exact"/>
                              <w:jc w:val="center"/>
                              <w:rPr>
                                <w:rFonts w:ascii="Arial" w:hAnsi="Arial" w:cs="Arial"/>
                                <w:sz w:val="21"/>
                                <w:szCs w:val="21"/>
                              </w:rPr>
                            </w:pPr>
                            <w:r>
                              <w:rPr>
                                <w:rFonts w:ascii="Arial" w:hAnsi="Arial" w:cs="Arial"/>
                                <w:b/>
                                <w:sz w:val="21"/>
                                <w:szCs w:val="21"/>
                              </w:rPr>
                              <w:t>工业用地成交分布图</w:t>
                            </w:r>
                          </w:p>
                        </w:txbxContent>
                      </wps:txbx>
                      <wps:bodyPr lIns="36830" tIns="36830" rIns="36830" bIns="36830" anchor="t">
                        <a:noAutofit/>
                      </wps:bodyPr>
                    </wps:wsp>
                  </a:graphicData>
                </a:graphic>
              </wp:anchor>
            </w:drawing>
          </mc:Choice>
          <mc:Fallback>
            <w:pict>
              <v:shapetype w14:anchorId="0B79D7F6" id="_x0000_t202" coordsize="21600,21600" o:spt="202" path="m,l,21600r21600,l21600,xe">
                <v:stroke joinstyle="miter"/>
                <v:path gradientshapeok="t" o:connecttype="rect"/>
              </v:shapetype>
              <v:shape id="框架1" o:spid="_x0000_s1029" type="#_x0000_t202" style="position:absolute;margin-left:168.25pt;margin-top:12.85pt;width:134.1pt;height:20.25pt;z-index:7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" stroked="f">
                <v:textbox inset="2.9pt,2.9pt,2.9pt,2.9pt">
                  <w:txbxContent>
                    <w:p w14:paraId="71087039" w14:textId="77777777" w:rsidR="0060680B" w:rsidRDefault="0060680B">
                      <w:pPr>
                        <w:spacing w:line="240" w:lineRule="exact"/>
                        <w:jc w:val="center"/>
                        <w:rPr>
                          <w:rFonts w:ascii="Arial" w:hAnsi="Arial" w:cs="Arial"/>
                          <w:sz w:val="21"/>
                          <w:szCs w:val="21"/>
                        </w:rPr>
                      </w:pPr>
                      <w:r>
                        <w:rPr>
                          <w:rFonts w:ascii="Arial" w:hAnsi="Arial" w:cs="Arial"/>
                          <w:b/>
                          <w:sz w:val="21"/>
                          <w:szCs w:val="21"/>
                        </w:rPr>
                        <w:t>工业用地成交分布图</w:t>
                      </w:r>
                    </w:p>
                  </w:txbxContent>
                </v:textbox>
              </v:shape>
            </w:pict>
          </mc:Fallback>
        </mc:AlternateContent>
      </w:r>
    </w:p>
    <w:p w14:paraId="513F3B0E" w14:textId="77777777" w:rsidR="00E70101" w:rsidRDefault="0060680B">
      <w:pPr>
        <w:widowControl/>
        <w:spacing w:line="360" w:lineRule="auto"/>
        <w:ind w:firstLine="560"/>
        <w:jc w:val="both"/>
      </w:pPr>
      <w:r>
        <w:rPr>
          <w:rFonts w:ascii="Arial" w:eastAsia="仿宋_GB2312;仿宋" w:hAnsi="Arial" w:cs="Arial"/>
          <w:bCs/>
          <w:color w:val="000000"/>
          <w:sz w:val="28"/>
          <w:szCs w:val="28"/>
        </w:rPr>
        <w:t>（</w:t>
      </w:r>
      <w:r>
        <w:rPr>
          <w:rFonts w:ascii="Arial" w:eastAsia="仿宋_GB2312;仿宋" w:hAnsi="Arial" w:cs="Arial"/>
          <w:bCs/>
          <w:color w:val="000000"/>
          <w:sz w:val="28"/>
          <w:szCs w:val="28"/>
        </w:rPr>
        <w:t>4</w:t>
      </w:r>
      <w:r>
        <w:rPr>
          <w:rFonts w:ascii="Arial" w:eastAsia="仿宋_GB2312;仿宋" w:hAnsi="Arial" w:cs="Arial"/>
          <w:bCs/>
          <w:color w:val="000000"/>
          <w:sz w:val="28"/>
          <w:szCs w:val="28"/>
        </w:rPr>
        <w:t>）未来趋势</w:t>
      </w:r>
    </w:p>
    <w:p w14:paraId="01C9757C"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sz w:val="28"/>
          <w:szCs w:val="28"/>
        </w:rPr>
        <w:t>北京市随着经济的稳步修复，工业生产持续回升，高端产业发挥引领作用。北京</w:t>
      </w:r>
      <w:r>
        <w:rPr>
          <w:rFonts w:ascii="Arial" w:eastAsia="仿宋_GB2312;仿宋" w:hAnsi="Arial" w:cs="Arial"/>
          <w:bCs/>
          <w:sz w:val="28"/>
          <w:szCs w:val="28"/>
        </w:rPr>
        <w:t>“</w:t>
      </w:r>
      <w:r>
        <w:rPr>
          <w:rFonts w:ascii="Arial" w:eastAsia="仿宋_GB2312;仿宋" w:hAnsi="Arial" w:cs="Arial"/>
          <w:bCs/>
          <w:sz w:val="28"/>
          <w:szCs w:val="28"/>
        </w:rPr>
        <w:t>十四五</w:t>
      </w:r>
      <w:r>
        <w:rPr>
          <w:rFonts w:ascii="Arial" w:eastAsia="仿宋_GB2312;仿宋" w:hAnsi="Arial" w:cs="Arial"/>
          <w:bCs/>
          <w:sz w:val="28"/>
          <w:szCs w:val="28"/>
        </w:rPr>
        <w:t>”</w:t>
      </w:r>
      <w:r>
        <w:rPr>
          <w:rFonts w:ascii="Arial" w:eastAsia="仿宋_GB2312;仿宋" w:hAnsi="Arial" w:cs="Arial"/>
          <w:bCs/>
          <w:sz w:val="28"/>
          <w:szCs w:val="28"/>
        </w:rPr>
        <w:t>规划明确新一代信息技术、医药健康、新能源智能网联汽车、绿色智慧能源等为未来重点产业发展方向，界定多个未来重点发展新区及区域产业发展细分方向；同时，</w:t>
      </w:r>
      <w:r>
        <w:rPr>
          <w:rFonts w:ascii="Arial" w:eastAsia="仿宋_GB2312;仿宋" w:hAnsi="Arial" w:cs="Arial"/>
          <w:bCs/>
          <w:sz w:val="28"/>
          <w:szCs w:val="28"/>
        </w:rPr>
        <w:t>“</w:t>
      </w:r>
      <w:r>
        <w:rPr>
          <w:rFonts w:ascii="Arial" w:eastAsia="仿宋_GB2312;仿宋" w:hAnsi="Arial" w:cs="Arial"/>
          <w:bCs/>
          <w:sz w:val="28"/>
          <w:szCs w:val="28"/>
        </w:rPr>
        <w:t>十四五</w:t>
      </w:r>
      <w:r>
        <w:rPr>
          <w:rFonts w:ascii="Arial" w:eastAsia="仿宋_GB2312;仿宋" w:hAnsi="Arial" w:cs="Arial"/>
          <w:bCs/>
          <w:sz w:val="28"/>
          <w:szCs w:val="28"/>
        </w:rPr>
        <w:t>”</w:t>
      </w:r>
      <w:r>
        <w:rPr>
          <w:rFonts w:ascii="Arial" w:eastAsia="仿宋_GB2312;仿宋" w:hAnsi="Arial" w:cs="Arial"/>
          <w:bCs/>
          <w:sz w:val="28"/>
          <w:szCs w:val="28"/>
        </w:rPr>
        <w:t>规划还提出支持具备条件的物流园区和重点企业引入铁路专用线，支持利用工业厂房改造建设冷链物流基础设施，发展智能立体仓等</w:t>
      </w:r>
      <w:r>
        <w:rPr>
          <w:rFonts w:ascii="Arial" w:eastAsia="仿宋_GB2312;仿宋" w:hAnsi="Arial" w:cs="Arial"/>
          <w:bCs/>
          <w:color w:val="000000"/>
          <w:sz w:val="28"/>
          <w:szCs w:val="28"/>
        </w:rPr>
        <w:t>。在高技术产业快速增长的带动下，各园区稳步发展，预计工业地价继续稳中向上。</w:t>
      </w:r>
    </w:p>
    <w:p w14:paraId="28ACD104"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3.</w:t>
      </w:r>
      <w:r>
        <w:rPr>
          <w:rFonts w:ascii="Arial" w:eastAsia="仿宋_GB2312;仿宋" w:hAnsi="Arial" w:cs="Arial"/>
          <w:bCs/>
          <w:color w:val="000000"/>
          <w:sz w:val="28"/>
          <w:szCs w:val="28"/>
        </w:rPr>
        <w:t>产业政策</w:t>
      </w:r>
    </w:p>
    <w:p w14:paraId="08DB5E6D" w14:textId="77777777" w:rsidR="00E70101" w:rsidRDefault="0060680B">
      <w:pPr>
        <w:overflowPunct w:val="0"/>
        <w:spacing w:line="360" w:lineRule="auto"/>
        <w:jc w:val="both"/>
        <w:textAlignment w:val="auto"/>
        <w:rPr>
          <w:rFonts w:ascii="Arial" w:eastAsia="仿宋_GB2312;仿宋" w:hAnsi="Arial" w:cs="Arial"/>
          <w:bCs/>
          <w:color w:val="000000"/>
          <w:sz w:val="28"/>
          <w:szCs w:val="28"/>
        </w:rPr>
      </w:pPr>
      <w:r>
        <w:rPr>
          <w:rFonts w:ascii="MS Gothic;ＭＳ ゴシック" w:eastAsia="MS Gothic;ＭＳ ゴシック" w:hAnsi="MS Gothic;ＭＳ ゴシック" w:cs="MS Gothic;ＭＳ ゴシック"/>
          <w:b/>
          <w:bCs/>
          <w:color w:val="000000"/>
          <w:sz w:val="28"/>
          <w:szCs w:val="28"/>
        </w:rPr>
        <w:t xml:space="preserve">◆  </w:t>
      </w:r>
      <w:r>
        <w:rPr>
          <w:rFonts w:ascii="Arial" w:eastAsia="仿宋_GB2312;仿宋" w:hAnsi="Arial" w:cs="Arial"/>
          <w:b/>
          <w:bCs/>
          <w:color w:val="000000"/>
          <w:sz w:val="28"/>
          <w:szCs w:val="28"/>
        </w:rPr>
        <w:t>产业优惠政策</w:t>
      </w:r>
    </w:p>
    <w:p w14:paraId="62C22927"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2019</w:t>
      </w:r>
      <w:r>
        <w:rPr>
          <w:rFonts w:ascii="Arial" w:eastAsia="仿宋_GB2312;仿宋" w:hAnsi="Arial" w:cs="Arial"/>
          <w:bCs/>
          <w:color w:val="000000"/>
          <w:sz w:val="28"/>
          <w:szCs w:val="28"/>
        </w:rPr>
        <w:t>年</w:t>
      </w:r>
      <w:r>
        <w:rPr>
          <w:rFonts w:ascii="Arial" w:eastAsia="仿宋_GB2312;仿宋" w:hAnsi="Arial" w:cs="Arial"/>
          <w:bCs/>
          <w:color w:val="000000"/>
          <w:sz w:val="28"/>
          <w:szCs w:val="28"/>
        </w:rPr>
        <w:t>5</w:t>
      </w:r>
      <w:r>
        <w:rPr>
          <w:rFonts w:ascii="Arial" w:eastAsia="仿宋_GB2312;仿宋" w:hAnsi="Arial" w:cs="Arial"/>
          <w:bCs/>
          <w:color w:val="000000"/>
          <w:sz w:val="28"/>
          <w:szCs w:val="28"/>
        </w:rPr>
        <w:t>月</w:t>
      </w:r>
      <w:r>
        <w:rPr>
          <w:rFonts w:ascii="Arial" w:eastAsia="仿宋_GB2312;仿宋" w:hAnsi="Arial" w:cs="Arial"/>
          <w:bCs/>
          <w:color w:val="000000"/>
          <w:sz w:val="28"/>
          <w:szCs w:val="28"/>
        </w:rPr>
        <w:t>15</w:t>
      </w:r>
      <w:r>
        <w:rPr>
          <w:rFonts w:ascii="Arial" w:eastAsia="仿宋_GB2312;仿宋" w:hAnsi="Arial" w:cs="Arial"/>
          <w:bCs/>
          <w:color w:val="000000"/>
          <w:sz w:val="28"/>
          <w:szCs w:val="28"/>
        </w:rPr>
        <w:t>日，自然资源部发布《产业用地政策实施工作指引（</w:t>
      </w:r>
      <w:r>
        <w:rPr>
          <w:rFonts w:ascii="Arial" w:eastAsia="仿宋_GB2312;仿宋" w:hAnsi="Arial" w:cs="Arial"/>
          <w:bCs/>
          <w:color w:val="000000"/>
          <w:sz w:val="28"/>
          <w:szCs w:val="28"/>
        </w:rPr>
        <w:t>2019</w:t>
      </w:r>
      <w:r>
        <w:rPr>
          <w:rFonts w:ascii="Arial" w:eastAsia="仿宋_GB2312;仿宋" w:hAnsi="Arial" w:cs="Arial"/>
          <w:bCs/>
          <w:color w:val="000000"/>
          <w:sz w:val="28"/>
          <w:szCs w:val="28"/>
        </w:rPr>
        <w:t>年版）》（简称</w:t>
      </w:r>
      <w:r>
        <w:rPr>
          <w:rFonts w:ascii="Arial" w:eastAsia="仿宋_GB2312;仿宋" w:hAnsi="Arial" w:cs="Arial"/>
          <w:bCs/>
          <w:color w:val="000000"/>
          <w:sz w:val="28"/>
          <w:szCs w:val="28"/>
        </w:rPr>
        <w:t>2019</w:t>
      </w:r>
      <w:r>
        <w:rPr>
          <w:rFonts w:ascii="Arial" w:eastAsia="仿宋_GB2312;仿宋" w:hAnsi="Arial" w:cs="Arial"/>
          <w:bCs/>
          <w:color w:val="000000"/>
          <w:sz w:val="28"/>
          <w:szCs w:val="28"/>
        </w:rPr>
        <w:t>年版《指引》），此次更新是为了更好地指导地方自然资源主管部门规范执行产业用地政策，为包括民营企业在内的各种所有制经济提供良好服务。重点体现三个方面：一、坚持营造公平竞争环境。指导地方自然资源主管部门在产业用地政策执行中做到对各种所有制经济一视同仁，保障其平等取得土地要素。二、坚持推动高质量发展。指导地方自然资源主管部门在产业用地政策执行中落实严控增量、盘活存量、优化结构、提升效率，切实提高城镇建设用地集约化程度的总体要求，积极引导推动产业发展节约集约用地。三、坚持更好服务市场主体。对政策执行作必要说明，一方面使得市场主体能够更加充分地理解，有利于营造公开公平透明的市场环境；另一方面指导地方自然资源主管部门把握政策实施要点，积极为各种所有制经济提供良好服务。</w:t>
      </w:r>
    </w:p>
    <w:p w14:paraId="4DB1A7CA"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2019</w:t>
      </w:r>
      <w:r>
        <w:rPr>
          <w:rFonts w:ascii="Arial" w:eastAsia="仿宋_GB2312;仿宋" w:hAnsi="Arial" w:cs="Arial"/>
          <w:bCs/>
          <w:color w:val="000000"/>
          <w:sz w:val="28"/>
          <w:szCs w:val="28"/>
        </w:rPr>
        <w:t>年</w:t>
      </w:r>
      <w:r>
        <w:rPr>
          <w:rFonts w:ascii="Arial" w:eastAsia="仿宋_GB2312;仿宋" w:hAnsi="Arial" w:cs="Arial"/>
          <w:bCs/>
          <w:color w:val="000000"/>
          <w:sz w:val="28"/>
          <w:szCs w:val="28"/>
        </w:rPr>
        <w:t>5</w:t>
      </w:r>
      <w:r>
        <w:rPr>
          <w:rFonts w:ascii="Arial" w:eastAsia="仿宋_GB2312;仿宋" w:hAnsi="Arial" w:cs="Arial"/>
          <w:bCs/>
          <w:color w:val="000000"/>
          <w:sz w:val="28"/>
          <w:szCs w:val="28"/>
        </w:rPr>
        <w:t>月</w:t>
      </w:r>
      <w:r>
        <w:rPr>
          <w:rFonts w:ascii="Arial" w:eastAsia="仿宋_GB2312;仿宋" w:hAnsi="Arial" w:cs="Arial"/>
          <w:bCs/>
          <w:color w:val="000000"/>
          <w:sz w:val="28"/>
          <w:szCs w:val="28"/>
        </w:rPr>
        <w:t>23</w:t>
      </w:r>
      <w:r>
        <w:rPr>
          <w:rFonts w:ascii="Arial" w:eastAsia="仿宋_GB2312;仿宋" w:hAnsi="Arial" w:cs="Arial"/>
          <w:bCs/>
          <w:color w:val="000000"/>
          <w:sz w:val="28"/>
          <w:szCs w:val="28"/>
        </w:rPr>
        <w:t>日，北京市住房和城乡建设委员会官网发布《关于进一步完善已建成研发、工业项目转让管理有关问题的通知（京建发〔</w:t>
      </w:r>
      <w:r>
        <w:rPr>
          <w:rFonts w:ascii="Arial" w:eastAsia="仿宋_GB2312;仿宋" w:hAnsi="Arial" w:cs="Arial"/>
          <w:bCs/>
          <w:color w:val="000000"/>
          <w:sz w:val="28"/>
          <w:szCs w:val="28"/>
        </w:rPr>
        <w:t>2019</w:t>
      </w:r>
      <w:r>
        <w:rPr>
          <w:rFonts w:ascii="Arial" w:eastAsia="仿宋_GB2312;仿宋" w:hAnsi="Arial" w:cs="Arial"/>
          <w:bCs/>
          <w:color w:val="000000"/>
          <w:sz w:val="28"/>
          <w:szCs w:val="28"/>
        </w:rPr>
        <w:t>〕</w:t>
      </w:r>
      <w:r>
        <w:rPr>
          <w:rFonts w:ascii="Arial" w:eastAsia="仿宋_GB2312;仿宋" w:hAnsi="Arial" w:cs="Arial"/>
          <w:bCs/>
          <w:color w:val="000000"/>
          <w:sz w:val="28"/>
          <w:szCs w:val="28"/>
        </w:rPr>
        <w:t>216</w:t>
      </w:r>
      <w:r>
        <w:rPr>
          <w:rFonts w:ascii="Arial" w:eastAsia="仿宋_GB2312;仿宋" w:hAnsi="Arial" w:cs="Arial"/>
          <w:bCs/>
          <w:color w:val="000000"/>
          <w:sz w:val="28"/>
          <w:szCs w:val="28"/>
        </w:rPr>
        <w:t>号）》和《关于进一步明确已建成产业项目买受人审核有关问题的通知（京建发〔</w:t>
      </w:r>
      <w:r>
        <w:rPr>
          <w:rFonts w:ascii="Arial" w:eastAsia="仿宋_GB2312;仿宋" w:hAnsi="Arial" w:cs="Arial"/>
          <w:bCs/>
          <w:color w:val="000000"/>
          <w:sz w:val="28"/>
          <w:szCs w:val="28"/>
        </w:rPr>
        <w:t>2019</w:t>
      </w:r>
      <w:r>
        <w:rPr>
          <w:rFonts w:ascii="Arial" w:eastAsia="仿宋_GB2312;仿宋" w:hAnsi="Arial" w:cs="Arial"/>
          <w:bCs/>
          <w:color w:val="000000"/>
          <w:sz w:val="28"/>
          <w:szCs w:val="28"/>
        </w:rPr>
        <w:t>〕</w:t>
      </w:r>
      <w:r>
        <w:rPr>
          <w:rFonts w:ascii="Arial" w:eastAsia="仿宋_GB2312;仿宋" w:hAnsi="Arial" w:cs="Arial"/>
          <w:bCs/>
          <w:color w:val="000000"/>
          <w:sz w:val="28"/>
          <w:szCs w:val="28"/>
        </w:rPr>
        <w:t>217</w:t>
      </w:r>
      <w:r>
        <w:rPr>
          <w:rFonts w:ascii="Arial" w:eastAsia="仿宋_GB2312;仿宋" w:hAnsi="Arial" w:cs="Arial"/>
          <w:bCs/>
          <w:color w:val="000000"/>
          <w:sz w:val="28"/>
          <w:szCs w:val="28"/>
        </w:rPr>
        <w:t>号）》两份文件。一方面，要求建设单位不得分割销售研发、工业项目，买受人应是区政府审定的企业或专业园、公共服务平台、孵化器运营机构。这是由于研发、工业项目分割销售政策可能会带来一定的负面影响，干扰房地产市场秩序，为了扼制违规炒房抄地行为，故禁止研发、工业项目的分割销售。另一方面，审批权下放，审批主体从市政府调整为区政府，对买受人的申请，应在</w:t>
      </w:r>
      <w:r>
        <w:rPr>
          <w:rFonts w:ascii="Arial" w:eastAsia="仿宋_GB2312;仿宋" w:hAnsi="Arial" w:cs="Arial"/>
          <w:bCs/>
          <w:color w:val="000000"/>
          <w:sz w:val="28"/>
          <w:szCs w:val="28"/>
        </w:rPr>
        <w:t>15</w:t>
      </w:r>
      <w:r>
        <w:rPr>
          <w:rFonts w:ascii="Arial" w:eastAsia="仿宋_GB2312;仿宋" w:hAnsi="Arial" w:cs="Arial"/>
          <w:bCs/>
          <w:color w:val="000000"/>
          <w:sz w:val="28"/>
          <w:szCs w:val="28"/>
        </w:rPr>
        <w:t>个工作日内出具书面意见，这大大加快了产业地产的审批效率，促进了产业地产的招商周转速度。</w:t>
      </w:r>
    </w:p>
    <w:p w14:paraId="337EDC6E"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2020</w:t>
      </w:r>
      <w:r>
        <w:rPr>
          <w:rFonts w:ascii="Arial" w:eastAsia="仿宋_GB2312;仿宋" w:hAnsi="Arial" w:cs="Arial"/>
          <w:bCs/>
          <w:color w:val="000000"/>
          <w:sz w:val="28"/>
          <w:szCs w:val="28"/>
        </w:rPr>
        <w:t>年</w:t>
      </w:r>
      <w:r>
        <w:rPr>
          <w:rFonts w:ascii="Arial" w:eastAsia="仿宋_GB2312;仿宋" w:hAnsi="Arial" w:cs="Arial"/>
          <w:bCs/>
          <w:color w:val="000000"/>
          <w:sz w:val="28"/>
          <w:szCs w:val="28"/>
        </w:rPr>
        <w:t>10</w:t>
      </w:r>
      <w:r>
        <w:rPr>
          <w:rFonts w:ascii="Arial" w:eastAsia="仿宋_GB2312;仿宋" w:hAnsi="Arial" w:cs="Arial"/>
          <w:bCs/>
          <w:color w:val="000000"/>
          <w:sz w:val="28"/>
          <w:szCs w:val="28"/>
        </w:rPr>
        <w:t>月</w:t>
      </w:r>
      <w:r>
        <w:rPr>
          <w:rFonts w:ascii="Arial" w:eastAsia="仿宋_GB2312;仿宋" w:hAnsi="Arial" w:cs="Arial"/>
          <w:bCs/>
          <w:color w:val="000000"/>
          <w:sz w:val="28"/>
          <w:szCs w:val="28"/>
        </w:rPr>
        <w:t>23</w:t>
      </w:r>
      <w:r>
        <w:rPr>
          <w:rFonts w:ascii="Arial" w:eastAsia="仿宋_GB2312;仿宋" w:hAnsi="Arial" w:cs="Arial"/>
          <w:bCs/>
          <w:color w:val="000000"/>
          <w:sz w:val="28"/>
          <w:szCs w:val="28"/>
        </w:rPr>
        <w:t>日，《关于支持民营企业加快改革与转型升级的实施意见》（发改体改</w:t>
      </w:r>
      <w:r>
        <w:rPr>
          <w:rFonts w:ascii="Arial" w:eastAsia="仿宋_GB2312;仿宋" w:hAnsi="Arial" w:cs="Arial"/>
          <w:bCs/>
          <w:color w:val="000000"/>
          <w:sz w:val="28"/>
          <w:szCs w:val="28"/>
        </w:rPr>
        <w:t>[2020]1566</w:t>
      </w:r>
      <w:r>
        <w:rPr>
          <w:rFonts w:ascii="Arial" w:eastAsia="仿宋_GB2312;仿宋" w:hAnsi="Arial" w:cs="Arial"/>
          <w:bCs/>
          <w:color w:val="000000"/>
          <w:sz w:val="28"/>
          <w:szCs w:val="28"/>
        </w:rPr>
        <w:t>号），允许中小民营企业联合参与工业用地招拍挂，可按规定进行宗地分割；允许增加容积率的，不增收土地价款等费用；民营企业退出原使用土地的，支持依法依约转让土地；异地发展的，可以协议出让方式重新安排工业用地。</w:t>
      </w:r>
    </w:p>
    <w:p w14:paraId="24DB3EF4"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2020</w:t>
      </w:r>
      <w:r>
        <w:rPr>
          <w:rFonts w:ascii="Arial" w:eastAsia="仿宋_GB2312;仿宋" w:hAnsi="Arial" w:cs="Arial"/>
          <w:bCs/>
          <w:color w:val="000000"/>
          <w:sz w:val="28"/>
          <w:szCs w:val="28"/>
        </w:rPr>
        <w:t>年</w:t>
      </w:r>
      <w:r>
        <w:rPr>
          <w:rFonts w:ascii="Arial" w:eastAsia="仿宋_GB2312;仿宋" w:hAnsi="Arial" w:cs="Arial"/>
          <w:bCs/>
          <w:color w:val="000000"/>
          <w:sz w:val="28"/>
          <w:szCs w:val="28"/>
        </w:rPr>
        <w:t>11</w:t>
      </w:r>
      <w:r>
        <w:rPr>
          <w:rFonts w:ascii="Arial" w:eastAsia="仿宋_GB2312;仿宋" w:hAnsi="Arial" w:cs="Arial"/>
          <w:bCs/>
          <w:color w:val="000000"/>
          <w:sz w:val="28"/>
          <w:szCs w:val="28"/>
        </w:rPr>
        <w:t>月</w:t>
      </w:r>
      <w:r>
        <w:rPr>
          <w:rFonts w:ascii="Arial" w:eastAsia="仿宋_GB2312;仿宋" w:hAnsi="Arial" w:cs="Arial"/>
          <w:bCs/>
          <w:color w:val="000000"/>
          <w:sz w:val="28"/>
          <w:szCs w:val="28"/>
        </w:rPr>
        <w:t>6</w:t>
      </w:r>
      <w:r>
        <w:rPr>
          <w:rFonts w:ascii="Arial" w:eastAsia="仿宋_GB2312;仿宋" w:hAnsi="Arial" w:cs="Arial"/>
          <w:bCs/>
          <w:color w:val="000000"/>
          <w:sz w:val="28"/>
          <w:szCs w:val="28"/>
        </w:rPr>
        <w:t>日，中关村管委会研究制定了《中关村国家自主创新示范区关于推进特色产业园建设</w:t>
      </w:r>
      <w:r>
        <w:rPr>
          <w:rFonts w:ascii="Arial" w:eastAsia="Arial" w:hAnsi="Arial" w:cs="Arial"/>
          <w:bCs/>
          <w:color w:val="000000"/>
          <w:sz w:val="28"/>
          <w:szCs w:val="28"/>
        </w:rPr>
        <w:t xml:space="preserve"> </w:t>
      </w:r>
      <w:r>
        <w:rPr>
          <w:rFonts w:ascii="Arial" w:eastAsia="仿宋_GB2312;仿宋" w:hAnsi="Arial" w:cs="Arial"/>
          <w:bCs/>
          <w:color w:val="000000"/>
          <w:sz w:val="28"/>
          <w:szCs w:val="28"/>
        </w:rPr>
        <w:t>提升分园产业服务能力的指导意见》。提出了到</w:t>
      </w:r>
      <w:r>
        <w:rPr>
          <w:rFonts w:ascii="Arial" w:eastAsia="仿宋_GB2312;仿宋" w:hAnsi="Arial" w:cs="Arial"/>
          <w:bCs/>
          <w:color w:val="000000"/>
          <w:sz w:val="28"/>
          <w:szCs w:val="28"/>
        </w:rPr>
        <w:t>2022</w:t>
      </w:r>
      <w:r>
        <w:rPr>
          <w:rFonts w:ascii="Arial" w:eastAsia="仿宋_GB2312;仿宋" w:hAnsi="Arial" w:cs="Arial"/>
          <w:bCs/>
          <w:color w:val="000000"/>
          <w:sz w:val="28"/>
          <w:szCs w:val="28"/>
        </w:rPr>
        <w:t>年，中关村示范区产业布局更加优化，体制机制持续创新，创新创业环境进一步改善，各分园产业服务能力显著提升，主导产业地位突出，高端化、特色化、差异化发展态势基本形成。特色产业园建设实现重点细分产业领域及发展组团两个</w:t>
      </w:r>
      <w:r>
        <w:rPr>
          <w:rFonts w:ascii="Arial" w:eastAsia="仿宋_GB2312;仿宋" w:hAnsi="Arial" w:cs="Arial"/>
          <w:bCs/>
          <w:color w:val="000000"/>
          <w:sz w:val="28"/>
          <w:szCs w:val="28"/>
        </w:rPr>
        <w:t>“</w:t>
      </w:r>
      <w:r>
        <w:rPr>
          <w:rFonts w:ascii="Arial" w:eastAsia="仿宋_GB2312;仿宋" w:hAnsi="Arial" w:cs="Arial"/>
          <w:bCs/>
          <w:color w:val="000000"/>
          <w:sz w:val="28"/>
          <w:szCs w:val="28"/>
        </w:rPr>
        <w:t>全覆盖</w:t>
      </w:r>
      <w:r>
        <w:rPr>
          <w:rFonts w:ascii="Arial" w:eastAsia="仿宋_GB2312;仿宋" w:hAnsi="Arial" w:cs="Arial"/>
          <w:bCs/>
          <w:color w:val="000000"/>
          <w:sz w:val="28"/>
          <w:szCs w:val="28"/>
        </w:rPr>
        <w:t>”</w:t>
      </w:r>
      <w:r>
        <w:rPr>
          <w:rFonts w:ascii="Arial" w:eastAsia="仿宋_GB2312;仿宋" w:hAnsi="Arial" w:cs="Arial"/>
          <w:bCs/>
          <w:color w:val="000000"/>
          <w:sz w:val="28"/>
          <w:szCs w:val="28"/>
        </w:rPr>
        <w:t>，成为分园主导产业发展的重要载体，对所在区域的经济贡献明显提升。各分园围绕主导产业建成产业促进服务机构，产业促进服务机构与分园结合紧密、运营高效，对分园主导产业发展的促进作用凸显。</w:t>
      </w:r>
    </w:p>
    <w:p w14:paraId="0A0AEC10"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2021</w:t>
      </w:r>
      <w:r>
        <w:rPr>
          <w:rFonts w:ascii="Arial" w:eastAsia="仿宋_GB2312;仿宋" w:hAnsi="Arial" w:cs="Arial"/>
          <w:bCs/>
          <w:color w:val="000000"/>
          <w:sz w:val="28"/>
          <w:szCs w:val="28"/>
        </w:rPr>
        <w:t>年</w:t>
      </w:r>
      <w:r>
        <w:rPr>
          <w:rFonts w:ascii="Arial" w:eastAsia="仿宋_GB2312;仿宋" w:hAnsi="Arial" w:cs="Arial"/>
          <w:bCs/>
          <w:color w:val="000000"/>
          <w:sz w:val="28"/>
          <w:szCs w:val="28"/>
        </w:rPr>
        <w:t>8</w:t>
      </w:r>
      <w:r>
        <w:rPr>
          <w:rFonts w:ascii="Arial" w:eastAsia="仿宋_GB2312;仿宋" w:hAnsi="Arial" w:cs="Arial"/>
          <w:bCs/>
          <w:color w:val="000000"/>
          <w:sz w:val="28"/>
          <w:szCs w:val="28"/>
        </w:rPr>
        <w:t>月</w:t>
      </w:r>
      <w:r>
        <w:rPr>
          <w:rFonts w:ascii="Arial" w:eastAsia="仿宋_GB2312;仿宋" w:hAnsi="Arial" w:cs="Arial"/>
          <w:bCs/>
          <w:color w:val="000000"/>
          <w:sz w:val="28"/>
          <w:szCs w:val="28"/>
        </w:rPr>
        <w:t>18</w:t>
      </w:r>
      <w:r>
        <w:rPr>
          <w:rFonts w:ascii="Arial" w:eastAsia="仿宋_GB2312;仿宋" w:hAnsi="Arial" w:cs="Arial"/>
          <w:bCs/>
          <w:color w:val="000000"/>
          <w:sz w:val="28"/>
          <w:szCs w:val="28"/>
        </w:rPr>
        <w:t>日，北京市人民政府关于印发《北京市</w:t>
      </w:r>
      <w:r>
        <w:rPr>
          <w:rFonts w:ascii="Arial" w:eastAsia="仿宋_GB2312;仿宋" w:hAnsi="Arial" w:cs="Arial"/>
          <w:bCs/>
          <w:color w:val="000000"/>
          <w:sz w:val="28"/>
          <w:szCs w:val="28"/>
        </w:rPr>
        <w:t>“</w:t>
      </w:r>
      <w:r>
        <w:rPr>
          <w:rFonts w:ascii="Arial" w:eastAsia="仿宋_GB2312;仿宋" w:hAnsi="Arial" w:cs="Arial"/>
          <w:bCs/>
          <w:color w:val="000000"/>
          <w:sz w:val="28"/>
          <w:szCs w:val="28"/>
        </w:rPr>
        <w:t>十四五</w:t>
      </w:r>
      <w:r>
        <w:rPr>
          <w:rFonts w:ascii="Arial" w:eastAsia="仿宋_GB2312;仿宋" w:hAnsi="Arial" w:cs="Arial"/>
          <w:bCs/>
          <w:color w:val="000000"/>
          <w:sz w:val="28"/>
          <w:szCs w:val="28"/>
        </w:rPr>
        <w:t>”</w:t>
      </w:r>
      <w:r>
        <w:rPr>
          <w:rFonts w:ascii="Arial" w:eastAsia="仿宋_GB2312;仿宋" w:hAnsi="Arial" w:cs="Arial"/>
          <w:bCs/>
          <w:color w:val="000000"/>
          <w:sz w:val="28"/>
          <w:szCs w:val="28"/>
        </w:rPr>
        <w:t>时期高精尖产业发展规划》的通知。作为全市</w:t>
      </w:r>
      <w:r>
        <w:rPr>
          <w:rFonts w:ascii="Arial" w:eastAsia="仿宋_GB2312;仿宋" w:hAnsi="Arial" w:cs="Arial"/>
          <w:bCs/>
          <w:color w:val="000000"/>
          <w:sz w:val="28"/>
          <w:szCs w:val="28"/>
        </w:rPr>
        <w:t>“</w:t>
      </w:r>
      <w:r>
        <w:rPr>
          <w:rFonts w:ascii="Arial" w:eastAsia="仿宋_GB2312;仿宋" w:hAnsi="Arial" w:cs="Arial"/>
          <w:bCs/>
          <w:color w:val="000000"/>
          <w:sz w:val="28"/>
          <w:szCs w:val="28"/>
        </w:rPr>
        <w:t>十四五</w:t>
      </w:r>
      <w:r>
        <w:rPr>
          <w:rFonts w:ascii="Arial" w:eastAsia="仿宋_GB2312;仿宋" w:hAnsi="Arial" w:cs="Arial"/>
          <w:bCs/>
          <w:color w:val="000000"/>
          <w:sz w:val="28"/>
          <w:szCs w:val="28"/>
        </w:rPr>
        <w:t>”</w:t>
      </w:r>
      <w:r>
        <w:rPr>
          <w:rFonts w:ascii="Arial" w:eastAsia="仿宋_GB2312;仿宋" w:hAnsi="Arial" w:cs="Arial"/>
          <w:bCs/>
          <w:color w:val="000000"/>
          <w:sz w:val="28"/>
          <w:szCs w:val="28"/>
        </w:rPr>
        <w:t>时期高精尖产业的发展蓝图，《规划》深入贯彻市委市政府工作部署，以高质量发展为主题，以城市总体规划为遵循，推动产业</w:t>
      </w:r>
      <w:r>
        <w:rPr>
          <w:rFonts w:ascii="Arial" w:eastAsia="仿宋_GB2312;仿宋" w:hAnsi="Arial" w:cs="Arial"/>
          <w:bCs/>
          <w:color w:val="000000"/>
          <w:sz w:val="28"/>
          <w:szCs w:val="28"/>
        </w:rPr>
        <w:t>“</w:t>
      </w:r>
      <w:r>
        <w:rPr>
          <w:rFonts w:ascii="Arial" w:eastAsia="仿宋_GB2312;仿宋" w:hAnsi="Arial" w:cs="Arial"/>
          <w:bCs/>
          <w:color w:val="000000"/>
          <w:sz w:val="28"/>
          <w:szCs w:val="28"/>
        </w:rPr>
        <w:t>换核、强芯、赋智、融合</w:t>
      </w:r>
      <w:r>
        <w:rPr>
          <w:rFonts w:ascii="Arial" w:eastAsia="仿宋_GB2312;仿宋" w:hAnsi="Arial" w:cs="Arial"/>
          <w:bCs/>
          <w:color w:val="000000"/>
          <w:sz w:val="28"/>
          <w:szCs w:val="28"/>
        </w:rPr>
        <w:t>”</w:t>
      </w:r>
      <w:r>
        <w:rPr>
          <w:rFonts w:ascii="Arial" w:eastAsia="仿宋_GB2312;仿宋" w:hAnsi="Arial" w:cs="Arial"/>
          <w:bCs/>
          <w:color w:val="000000"/>
          <w:sz w:val="28"/>
          <w:szCs w:val="28"/>
        </w:rPr>
        <w:t>，加快产业基础再造提升、产业链条优化升级、智能绿色全面覆盖、制造服务深度融合、区域发展开放联动</w:t>
      </w:r>
      <w:r>
        <w:rPr>
          <w:rFonts w:ascii="Arial" w:eastAsia="仿宋_GB2312;仿宋" w:hAnsi="Arial" w:cs="Arial"/>
          <w:bCs/>
          <w:color w:val="000000"/>
          <w:sz w:val="28"/>
          <w:szCs w:val="28"/>
        </w:rPr>
        <w:t>“</w:t>
      </w:r>
      <w:r>
        <w:rPr>
          <w:rFonts w:ascii="Arial" w:eastAsia="仿宋_GB2312;仿宋" w:hAnsi="Arial" w:cs="Arial"/>
          <w:bCs/>
          <w:color w:val="000000"/>
          <w:sz w:val="28"/>
          <w:szCs w:val="28"/>
        </w:rPr>
        <w:t>五个突破</w:t>
      </w:r>
      <w:r>
        <w:rPr>
          <w:rFonts w:ascii="Arial" w:eastAsia="仿宋_GB2312;仿宋" w:hAnsi="Arial" w:cs="Arial"/>
          <w:bCs/>
          <w:color w:val="000000"/>
          <w:sz w:val="28"/>
          <w:szCs w:val="28"/>
        </w:rPr>
        <w:t>”</w:t>
      </w:r>
      <w:r>
        <w:rPr>
          <w:rFonts w:ascii="Arial" w:eastAsia="仿宋_GB2312;仿宋" w:hAnsi="Arial" w:cs="Arial"/>
          <w:bCs/>
          <w:color w:val="000000"/>
          <w:sz w:val="28"/>
          <w:szCs w:val="28"/>
        </w:rPr>
        <w:t>，推进动力转换、效率提升、结构优化</w:t>
      </w:r>
      <w:r>
        <w:rPr>
          <w:rFonts w:ascii="Arial" w:eastAsia="仿宋_GB2312;仿宋" w:hAnsi="Arial" w:cs="Arial"/>
          <w:bCs/>
          <w:color w:val="000000"/>
          <w:sz w:val="28"/>
          <w:szCs w:val="28"/>
        </w:rPr>
        <w:t>“</w:t>
      </w:r>
      <w:r>
        <w:rPr>
          <w:rFonts w:ascii="Arial" w:eastAsia="仿宋_GB2312;仿宋" w:hAnsi="Arial" w:cs="Arial"/>
          <w:bCs/>
          <w:color w:val="000000"/>
          <w:sz w:val="28"/>
          <w:szCs w:val="28"/>
        </w:rPr>
        <w:t>三大变革</w:t>
      </w:r>
      <w:r>
        <w:rPr>
          <w:rFonts w:ascii="Arial" w:eastAsia="仿宋_GB2312;仿宋" w:hAnsi="Arial" w:cs="Arial"/>
          <w:bCs/>
          <w:color w:val="000000"/>
          <w:sz w:val="28"/>
          <w:szCs w:val="28"/>
        </w:rPr>
        <w:t>”</w:t>
      </w:r>
      <w:r>
        <w:rPr>
          <w:rFonts w:ascii="Arial" w:eastAsia="仿宋_GB2312;仿宋" w:hAnsi="Arial" w:cs="Arial"/>
          <w:bCs/>
          <w:color w:val="000000"/>
          <w:sz w:val="28"/>
          <w:szCs w:val="28"/>
        </w:rPr>
        <w:t>，力争到</w:t>
      </w:r>
      <w:r>
        <w:rPr>
          <w:rFonts w:ascii="Arial" w:eastAsia="仿宋_GB2312;仿宋" w:hAnsi="Arial" w:cs="Arial"/>
          <w:bCs/>
          <w:color w:val="000000"/>
          <w:sz w:val="28"/>
          <w:szCs w:val="28"/>
        </w:rPr>
        <w:t>2025</w:t>
      </w:r>
      <w:r>
        <w:rPr>
          <w:rFonts w:ascii="Arial" w:eastAsia="仿宋_GB2312;仿宋" w:hAnsi="Arial" w:cs="Arial"/>
          <w:bCs/>
          <w:color w:val="000000"/>
          <w:sz w:val="28"/>
          <w:szCs w:val="28"/>
        </w:rPr>
        <w:t>年，高精尖产业占</w:t>
      </w:r>
      <w:r>
        <w:rPr>
          <w:rFonts w:ascii="Arial" w:eastAsia="仿宋_GB2312;仿宋" w:hAnsi="Arial" w:cs="Arial"/>
          <w:bCs/>
          <w:color w:val="000000"/>
          <w:sz w:val="28"/>
          <w:szCs w:val="28"/>
        </w:rPr>
        <w:t>GDP</w:t>
      </w:r>
      <w:r>
        <w:rPr>
          <w:rFonts w:ascii="Arial" w:eastAsia="仿宋_GB2312;仿宋" w:hAnsi="Arial" w:cs="Arial"/>
          <w:bCs/>
          <w:color w:val="000000"/>
          <w:sz w:val="28"/>
          <w:szCs w:val="28"/>
        </w:rPr>
        <w:t>比重</w:t>
      </w:r>
      <w:r>
        <w:rPr>
          <w:rFonts w:ascii="Arial" w:eastAsia="仿宋_GB2312;仿宋" w:hAnsi="Arial" w:cs="Arial"/>
          <w:bCs/>
          <w:color w:val="000000"/>
          <w:sz w:val="28"/>
          <w:szCs w:val="28"/>
        </w:rPr>
        <w:t>30%</w:t>
      </w:r>
      <w:r>
        <w:rPr>
          <w:rFonts w:ascii="Arial" w:eastAsia="仿宋_GB2312;仿宋" w:hAnsi="Arial" w:cs="Arial"/>
          <w:bCs/>
          <w:color w:val="000000"/>
          <w:sz w:val="28"/>
          <w:szCs w:val="28"/>
        </w:rPr>
        <w:t>以上，培育形成</w:t>
      </w:r>
      <w:r>
        <w:rPr>
          <w:rFonts w:ascii="Arial" w:eastAsia="仿宋_GB2312;仿宋" w:hAnsi="Arial" w:cs="Arial"/>
          <w:bCs/>
          <w:color w:val="000000"/>
          <w:sz w:val="28"/>
          <w:szCs w:val="28"/>
        </w:rPr>
        <w:t>4-5</w:t>
      </w:r>
      <w:r>
        <w:rPr>
          <w:rFonts w:ascii="Arial" w:eastAsia="仿宋_GB2312;仿宋" w:hAnsi="Arial" w:cs="Arial"/>
          <w:bCs/>
          <w:color w:val="000000"/>
          <w:sz w:val="28"/>
          <w:szCs w:val="28"/>
        </w:rPr>
        <w:t>个万亿级产业集群，基本形成以智能制造、产业互联网、医药健康等为新支柱的现代产业体系，将集成电路、智能网联汽车、区块链、创新药等打造成为</w:t>
      </w:r>
      <w:r>
        <w:rPr>
          <w:rFonts w:ascii="Arial" w:eastAsia="仿宋_GB2312;仿宋" w:hAnsi="Arial" w:cs="Arial"/>
          <w:bCs/>
          <w:color w:val="000000"/>
          <w:sz w:val="28"/>
          <w:szCs w:val="28"/>
        </w:rPr>
        <w:t>“</w:t>
      </w:r>
      <w:r>
        <w:rPr>
          <w:rFonts w:ascii="Arial" w:eastAsia="仿宋_GB2312;仿宋" w:hAnsi="Arial" w:cs="Arial"/>
          <w:bCs/>
          <w:color w:val="000000"/>
          <w:sz w:val="28"/>
          <w:szCs w:val="28"/>
        </w:rPr>
        <w:t>北京智造</w:t>
      </w:r>
      <w:r>
        <w:rPr>
          <w:rFonts w:ascii="Arial" w:eastAsia="仿宋_GB2312;仿宋" w:hAnsi="Arial" w:cs="Arial"/>
          <w:bCs/>
          <w:color w:val="000000"/>
          <w:sz w:val="28"/>
          <w:szCs w:val="28"/>
        </w:rPr>
        <w:t>”“</w:t>
      </w:r>
      <w:r>
        <w:rPr>
          <w:rFonts w:ascii="Arial" w:eastAsia="仿宋_GB2312;仿宋" w:hAnsi="Arial" w:cs="Arial"/>
          <w:bCs/>
          <w:color w:val="000000"/>
          <w:sz w:val="28"/>
          <w:szCs w:val="28"/>
        </w:rPr>
        <w:t>北京服务</w:t>
      </w:r>
      <w:r>
        <w:rPr>
          <w:rFonts w:ascii="Arial" w:eastAsia="仿宋_GB2312;仿宋" w:hAnsi="Arial" w:cs="Arial"/>
          <w:bCs/>
          <w:color w:val="000000"/>
          <w:sz w:val="28"/>
          <w:szCs w:val="28"/>
        </w:rPr>
        <w:t>”</w:t>
      </w:r>
      <w:r>
        <w:rPr>
          <w:rFonts w:ascii="Arial" w:eastAsia="仿宋_GB2312;仿宋" w:hAnsi="Arial" w:cs="Arial"/>
          <w:bCs/>
          <w:color w:val="000000"/>
          <w:sz w:val="28"/>
          <w:szCs w:val="28"/>
        </w:rPr>
        <w:t>的新名片，为我国提升创新链产业链供应链现代化水平，更好建设制造强国、质量强国、网络强国和数字中国做出北京贡献。</w:t>
      </w:r>
    </w:p>
    <w:p w14:paraId="600ED7FC"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2023</w:t>
      </w:r>
      <w:r>
        <w:rPr>
          <w:rFonts w:ascii="Arial" w:eastAsia="仿宋_GB2312;仿宋" w:hAnsi="Arial" w:cs="Arial"/>
          <w:bCs/>
          <w:color w:val="000000"/>
          <w:sz w:val="28"/>
          <w:szCs w:val="28"/>
        </w:rPr>
        <w:t>年</w:t>
      </w:r>
      <w:r>
        <w:rPr>
          <w:rFonts w:ascii="Arial" w:eastAsia="仿宋_GB2312;仿宋" w:hAnsi="Arial" w:cs="Arial"/>
          <w:bCs/>
          <w:color w:val="000000"/>
          <w:sz w:val="28"/>
          <w:szCs w:val="28"/>
        </w:rPr>
        <w:t>8</w:t>
      </w:r>
      <w:r>
        <w:rPr>
          <w:rFonts w:ascii="Arial" w:eastAsia="仿宋_GB2312;仿宋" w:hAnsi="Arial" w:cs="Arial"/>
          <w:bCs/>
          <w:color w:val="000000"/>
          <w:sz w:val="28"/>
          <w:szCs w:val="28"/>
        </w:rPr>
        <w:t>月</w:t>
      </w:r>
      <w:r>
        <w:rPr>
          <w:rFonts w:ascii="Arial" w:eastAsia="仿宋_GB2312;仿宋" w:hAnsi="Arial" w:cs="Arial"/>
          <w:bCs/>
          <w:color w:val="000000"/>
          <w:sz w:val="28"/>
          <w:szCs w:val="28"/>
        </w:rPr>
        <w:t>31</w:t>
      </w:r>
      <w:r>
        <w:rPr>
          <w:rFonts w:ascii="Arial" w:eastAsia="仿宋_GB2312;仿宋" w:hAnsi="Arial" w:cs="Arial"/>
          <w:bCs/>
          <w:color w:val="000000"/>
          <w:sz w:val="28"/>
          <w:szCs w:val="28"/>
        </w:rPr>
        <w:t>日，北京市发展改革委发布《关于加强腾退低效产业空间改造利用促进产业高质量发展的实施方案》，在政策导向上重点突出产业引领、绿色发展、数字化转型、对街区层面的公共服务织补，还在项目管理等方面进行了一系列创新，要求各区加强低效产业空间改造的统筹协调，明确本区域低效楼宇认定标准，建立资源台账和项目储备库并动态更新管理，同时将申请资金支持的项目纳入储备库，对于获得资金支持的项目做好项目全过程管理工作。本次《实施方案》中，北京市发展改革委将对低效楼宇、老旧厂房和片区统筹改造三类项目给予支持，即在符合首都功能定位和规划前提下，项目实施单位可通过自主、联营、租赁等方式对腾退低效产业空间开展结构加固、绿色低碳改造、数字基础设施提升、建筑内外部装修以及片区基础设施改造等，带动区域产业升级。市政府固定资产投资对于符合条件的项目给予支持，支持方式分为投资补助和贷款贴息两种，其中投资补助方式是对低效楼宇改造项目按照固定资产投资总额</w:t>
      </w:r>
      <w:r>
        <w:rPr>
          <w:rFonts w:ascii="Arial" w:eastAsia="仿宋_GB2312;仿宋" w:hAnsi="Arial" w:cs="Arial"/>
          <w:bCs/>
          <w:color w:val="000000"/>
          <w:sz w:val="28"/>
          <w:szCs w:val="28"/>
        </w:rPr>
        <w:t>10%</w:t>
      </w:r>
      <w:r>
        <w:rPr>
          <w:rFonts w:ascii="Arial" w:eastAsia="仿宋_GB2312;仿宋" w:hAnsi="Arial" w:cs="Arial"/>
          <w:bCs/>
          <w:color w:val="000000"/>
          <w:sz w:val="28"/>
          <w:szCs w:val="28"/>
        </w:rPr>
        <w:t>的比例、老旧厂房改造和配套基础设施改造项目按照固定资产投资总额</w:t>
      </w:r>
      <w:r>
        <w:rPr>
          <w:rFonts w:ascii="Arial" w:eastAsia="仿宋_GB2312;仿宋" w:hAnsi="Arial" w:cs="Arial"/>
          <w:bCs/>
          <w:color w:val="000000"/>
          <w:sz w:val="28"/>
          <w:szCs w:val="28"/>
        </w:rPr>
        <w:t>30%</w:t>
      </w:r>
      <w:r>
        <w:rPr>
          <w:rFonts w:ascii="Arial" w:eastAsia="仿宋_GB2312;仿宋" w:hAnsi="Arial" w:cs="Arial"/>
          <w:bCs/>
          <w:color w:val="000000"/>
          <w:sz w:val="28"/>
          <w:szCs w:val="28"/>
        </w:rPr>
        <w:t>的比例安排补助资金；贷款贴息方式是对改造升级项目发生的银行贷款按照</w:t>
      </w:r>
      <w:r>
        <w:rPr>
          <w:rFonts w:ascii="Arial" w:eastAsia="仿宋_GB2312;仿宋" w:hAnsi="Arial" w:cs="Arial"/>
          <w:bCs/>
          <w:color w:val="000000"/>
          <w:sz w:val="28"/>
          <w:szCs w:val="28"/>
        </w:rPr>
        <w:t>LPR</w:t>
      </w:r>
      <w:r>
        <w:rPr>
          <w:rFonts w:ascii="Arial" w:eastAsia="仿宋_GB2312;仿宋" w:hAnsi="Arial" w:cs="Arial"/>
          <w:bCs/>
          <w:color w:val="000000"/>
          <w:sz w:val="28"/>
          <w:szCs w:val="28"/>
        </w:rPr>
        <w:t>（实际利率低于</w:t>
      </w:r>
      <w:r>
        <w:rPr>
          <w:rFonts w:ascii="Arial" w:eastAsia="仿宋_GB2312;仿宋" w:hAnsi="Arial" w:cs="Arial"/>
          <w:bCs/>
          <w:color w:val="000000"/>
          <w:sz w:val="28"/>
          <w:szCs w:val="28"/>
        </w:rPr>
        <w:t>LPR</w:t>
      </w:r>
      <w:r>
        <w:rPr>
          <w:rFonts w:ascii="Arial" w:eastAsia="仿宋_GB2312;仿宋" w:hAnsi="Arial" w:cs="Arial"/>
          <w:bCs/>
          <w:color w:val="000000"/>
          <w:sz w:val="28"/>
          <w:szCs w:val="28"/>
        </w:rPr>
        <w:t>的，按照实际利率）给予不超过</w:t>
      </w:r>
      <w:r>
        <w:rPr>
          <w:rFonts w:ascii="Arial" w:eastAsia="仿宋_GB2312;仿宋" w:hAnsi="Arial" w:cs="Arial"/>
          <w:bCs/>
          <w:color w:val="000000"/>
          <w:sz w:val="28"/>
          <w:szCs w:val="28"/>
        </w:rPr>
        <w:t>2</w:t>
      </w:r>
      <w:r>
        <w:rPr>
          <w:rFonts w:ascii="Arial" w:eastAsia="仿宋_GB2312;仿宋" w:hAnsi="Arial" w:cs="Arial"/>
          <w:bCs/>
          <w:color w:val="000000"/>
          <w:sz w:val="28"/>
          <w:szCs w:val="28"/>
        </w:rPr>
        <w:t>年的贴息支持。</w:t>
      </w:r>
    </w:p>
    <w:p w14:paraId="3480C4E6" w14:textId="77777777" w:rsidR="00E70101" w:rsidRDefault="0060680B">
      <w:pPr>
        <w:widowControl/>
        <w:spacing w:line="360" w:lineRule="auto"/>
        <w:ind w:firstLine="560"/>
        <w:jc w:val="both"/>
      </w:pPr>
      <w:r>
        <w:rPr>
          <w:rFonts w:ascii="Arial" w:eastAsia="仿宋_GB2312;仿宋" w:hAnsi="Arial" w:cs="Arial"/>
          <w:bCs/>
          <w:color w:val="000000"/>
          <w:sz w:val="28"/>
          <w:szCs w:val="28"/>
        </w:rPr>
        <w:t>2024</w:t>
      </w:r>
      <w:r>
        <w:rPr>
          <w:rFonts w:ascii="Arial" w:eastAsia="仿宋_GB2312;仿宋" w:hAnsi="Arial" w:cs="Arial"/>
          <w:bCs/>
          <w:color w:val="000000"/>
          <w:sz w:val="28"/>
          <w:szCs w:val="28"/>
        </w:rPr>
        <w:t>年</w:t>
      </w:r>
      <w:r>
        <w:rPr>
          <w:rFonts w:ascii="Arial" w:eastAsia="仿宋_GB2312;仿宋" w:hAnsi="Arial" w:cs="Arial"/>
          <w:bCs/>
          <w:color w:val="000000"/>
          <w:sz w:val="28"/>
          <w:szCs w:val="28"/>
        </w:rPr>
        <w:t>2</w:t>
      </w:r>
      <w:r>
        <w:rPr>
          <w:rFonts w:ascii="Arial" w:eastAsia="仿宋_GB2312;仿宋" w:hAnsi="Arial" w:cs="Arial"/>
          <w:bCs/>
          <w:color w:val="000000"/>
          <w:sz w:val="28"/>
          <w:szCs w:val="28"/>
        </w:rPr>
        <w:t>月</w:t>
      </w:r>
      <w:r>
        <w:rPr>
          <w:rFonts w:ascii="Arial" w:eastAsia="仿宋_GB2312;仿宋" w:hAnsi="Arial" w:cs="Arial"/>
          <w:bCs/>
          <w:color w:val="000000"/>
          <w:sz w:val="28"/>
          <w:szCs w:val="28"/>
        </w:rPr>
        <w:t>18</w:t>
      </w:r>
      <w:r>
        <w:rPr>
          <w:rFonts w:ascii="Arial" w:eastAsia="仿宋_GB2312;仿宋" w:hAnsi="Arial" w:cs="Arial"/>
          <w:bCs/>
          <w:color w:val="000000"/>
          <w:sz w:val="28"/>
          <w:szCs w:val="28"/>
        </w:rPr>
        <w:t>日，北京市发展和改革委员会发布《关于印发北京市产业地图和产业政策导引的通知》，清晰勾勒北京市产业现状和布局，服务和引导经营主体精准布局、项目快速落地，促进产业错位互补发展。产业地图覆盖一二三产业，融合</w:t>
      </w:r>
      <w:r>
        <w:rPr>
          <w:rFonts w:ascii="Arial" w:eastAsia="仿宋_GB2312;仿宋" w:hAnsi="Arial" w:cs="Arial"/>
          <w:bCs/>
          <w:color w:val="000000"/>
          <w:sz w:val="28"/>
          <w:szCs w:val="28"/>
        </w:rPr>
        <w:t>“</w:t>
      </w:r>
      <w:r>
        <w:rPr>
          <w:rFonts w:ascii="Arial" w:eastAsia="仿宋_GB2312;仿宋" w:hAnsi="Arial" w:cs="Arial"/>
          <w:bCs/>
          <w:color w:val="000000"/>
          <w:sz w:val="28"/>
          <w:szCs w:val="28"/>
        </w:rPr>
        <w:t>高精尖</w:t>
      </w:r>
      <w:r>
        <w:rPr>
          <w:rFonts w:ascii="Arial" w:eastAsia="仿宋_GB2312;仿宋" w:hAnsi="Arial" w:cs="Arial"/>
          <w:bCs/>
          <w:color w:val="000000"/>
          <w:sz w:val="28"/>
          <w:szCs w:val="28"/>
        </w:rPr>
        <w:t>”</w:t>
      </w:r>
      <w:r>
        <w:rPr>
          <w:rFonts w:ascii="Arial" w:eastAsia="仿宋_GB2312;仿宋" w:hAnsi="Arial" w:cs="Arial"/>
          <w:bCs/>
          <w:color w:val="000000"/>
          <w:sz w:val="28"/>
          <w:szCs w:val="28"/>
        </w:rPr>
        <w:t>产业、现代服务业、</w:t>
      </w:r>
      <w:r>
        <w:rPr>
          <w:rFonts w:ascii="Arial" w:eastAsia="仿宋_GB2312;仿宋" w:hAnsi="Arial" w:cs="Arial"/>
          <w:bCs/>
          <w:color w:val="000000"/>
          <w:sz w:val="28"/>
          <w:szCs w:val="28"/>
        </w:rPr>
        <w:t>“</w:t>
      </w:r>
      <w:r>
        <w:rPr>
          <w:rFonts w:ascii="Arial" w:eastAsia="仿宋_GB2312;仿宋" w:hAnsi="Arial" w:cs="Arial"/>
          <w:bCs/>
          <w:color w:val="000000"/>
          <w:sz w:val="28"/>
          <w:szCs w:val="28"/>
        </w:rPr>
        <w:t>两业融合</w:t>
      </w:r>
      <w:r>
        <w:rPr>
          <w:rFonts w:ascii="Arial" w:eastAsia="仿宋_GB2312;仿宋" w:hAnsi="Arial" w:cs="Arial"/>
          <w:bCs/>
          <w:color w:val="000000"/>
          <w:sz w:val="28"/>
          <w:szCs w:val="28"/>
        </w:rPr>
        <w:t>”(</w:t>
      </w:r>
      <w:r>
        <w:rPr>
          <w:rFonts w:ascii="Arial" w:eastAsia="仿宋_GB2312;仿宋" w:hAnsi="Arial" w:cs="Arial"/>
          <w:bCs/>
          <w:color w:val="000000"/>
          <w:sz w:val="28"/>
          <w:szCs w:val="28"/>
        </w:rPr>
        <w:t>先进制造业和现代服务业融合</w:t>
      </w:r>
      <w:r>
        <w:rPr>
          <w:rFonts w:ascii="Arial" w:eastAsia="仿宋_GB2312;仿宋" w:hAnsi="Arial" w:cs="Arial"/>
          <w:bCs/>
          <w:color w:val="000000"/>
          <w:sz w:val="28"/>
          <w:szCs w:val="28"/>
        </w:rPr>
        <w:t>)</w:t>
      </w:r>
      <w:r>
        <w:rPr>
          <w:rFonts w:ascii="Arial" w:eastAsia="仿宋_GB2312;仿宋" w:hAnsi="Arial" w:cs="Arial"/>
          <w:bCs/>
          <w:color w:val="000000"/>
          <w:sz w:val="28"/>
          <w:szCs w:val="28"/>
        </w:rPr>
        <w:t>、现代基础设施产业、现代农业等</w:t>
      </w:r>
      <w:r>
        <w:rPr>
          <w:rFonts w:ascii="Arial" w:eastAsia="仿宋_GB2312;仿宋" w:hAnsi="Arial" w:cs="Arial"/>
          <w:bCs/>
          <w:color w:val="000000"/>
          <w:sz w:val="28"/>
          <w:szCs w:val="28"/>
        </w:rPr>
        <w:t>31</w:t>
      </w:r>
      <w:r>
        <w:rPr>
          <w:rFonts w:ascii="Arial" w:eastAsia="仿宋_GB2312;仿宋" w:hAnsi="Arial" w:cs="Arial"/>
          <w:bCs/>
          <w:color w:val="000000"/>
          <w:sz w:val="28"/>
          <w:szCs w:val="28"/>
        </w:rPr>
        <w:t>个重点行业，聚焦</w:t>
      </w:r>
      <w:r>
        <w:rPr>
          <w:rFonts w:ascii="Arial" w:eastAsia="仿宋_GB2312;仿宋" w:hAnsi="Arial" w:cs="Arial"/>
          <w:bCs/>
          <w:color w:val="000000"/>
          <w:sz w:val="28"/>
          <w:szCs w:val="28"/>
        </w:rPr>
        <w:t>16</w:t>
      </w:r>
      <w:r>
        <w:rPr>
          <w:rFonts w:ascii="Arial" w:eastAsia="仿宋_GB2312;仿宋" w:hAnsi="Arial" w:cs="Arial"/>
          <w:bCs/>
          <w:color w:val="000000"/>
          <w:sz w:val="28"/>
          <w:szCs w:val="28"/>
        </w:rPr>
        <w:t>个区和北京经济技术开发区的重点产业区域，全面展示各区、相关园区产业基础和资源禀赋优势。此次北京市基于近</w:t>
      </w:r>
      <w:r>
        <w:rPr>
          <w:rFonts w:ascii="Arial" w:eastAsia="仿宋_GB2312;仿宋" w:hAnsi="Arial" w:cs="Arial"/>
          <w:bCs/>
          <w:color w:val="000000"/>
          <w:sz w:val="28"/>
          <w:szCs w:val="28"/>
        </w:rPr>
        <w:t>3</w:t>
      </w:r>
      <w:r>
        <w:rPr>
          <w:rFonts w:ascii="Arial" w:eastAsia="仿宋_GB2312;仿宋" w:hAnsi="Arial" w:cs="Arial"/>
          <w:bCs/>
          <w:color w:val="000000"/>
          <w:sz w:val="28"/>
          <w:szCs w:val="28"/>
        </w:rPr>
        <w:t>年市级出台的相关产业政策，与产业地图同步推出政策导引，将具体政策核心条款、服务内容、办理流程、联系部门和电话提炼成</w:t>
      </w:r>
      <w:r>
        <w:rPr>
          <w:rFonts w:ascii="Arial" w:eastAsia="仿宋_GB2312;仿宋" w:hAnsi="Arial" w:cs="Arial"/>
          <w:bCs/>
          <w:color w:val="000000"/>
          <w:sz w:val="28"/>
          <w:szCs w:val="28"/>
        </w:rPr>
        <w:t>145</w:t>
      </w:r>
      <w:r>
        <w:rPr>
          <w:rFonts w:ascii="Arial" w:eastAsia="仿宋_GB2312;仿宋" w:hAnsi="Arial" w:cs="Arial"/>
          <w:bCs/>
          <w:color w:val="000000"/>
          <w:sz w:val="28"/>
          <w:szCs w:val="28"/>
        </w:rPr>
        <w:t>张政策工具应用指南卡片，其中</w:t>
      </w:r>
      <w:r>
        <w:rPr>
          <w:rFonts w:ascii="Arial" w:eastAsia="仿宋_GB2312;仿宋" w:hAnsi="Arial" w:cs="Arial"/>
          <w:bCs/>
          <w:color w:val="000000"/>
          <w:sz w:val="28"/>
          <w:szCs w:val="28"/>
        </w:rPr>
        <w:t>30</w:t>
      </w:r>
      <w:r>
        <w:rPr>
          <w:rFonts w:ascii="Arial" w:eastAsia="仿宋_GB2312;仿宋" w:hAnsi="Arial" w:cs="Arial"/>
          <w:bCs/>
          <w:color w:val="000000"/>
          <w:sz w:val="28"/>
          <w:szCs w:val="28"/>
        </w:rPr>
        <w:t>张与产业地图对应展示，形成</w:t>
      </w:r>
      <w:r>
        <w:rPr>
          <w:rFonts w:ascii="Arial" w:eastAsia="仿宋_GB2312;仿宋" w:hAnsi="Arial" w:cs="Arial"/>
          <w:bCs/>
          <w:color w:val="000000"/>
          <w:sz w:val="28"/>
          <w:szCs w:val="28"/>
        </w:rPr>
        <w:t>“</w:t>
      </w:r>
      <w:r>
        <w:rPr>
          <w:rFonts w:ascii="Arial" w:eastAsia="仿宋_GB2312;仿宋" w:hAnsi="Arial" w:cs="Arial"/>
          <w:bCs/>
          <w:color w:val="000000"/>
          <w:sz w:val="28"/>
          <w:szCs w:val="28"/>
        </w:rPr>
        <w:t>地图</w:t>
      </w:r>
      <w:r>
        <w:rPr>
          <w:rFonts w:ascii="Arial" w:eastAsia="仿宋_GB2312;仿宋" w:hAnsi="Arial" w:cs="Arial"/>
          <w:bCs/>
          <w:color w:val="000000"/>
          <w:sz w:val="28"/>
          <w:szCs w:val="28"/>
        </w:rPr>
        <w:t>+</w:t>
      </w:r>
      <w:r>
        <w:rPr>
          <w:rFonts w:ascii="Arial" w:eastAsia="仿宋_GB2312;仿宋" w:hAnsi="Arial" w:cs="Arial"/>
          <w:bCs/>
          <w:color w:val="000000"/>
          <w:sz w:val="28"/>
          <w:szCs w:val="28"/>
        </w:rPr>
        <w:t>政策</w:t>
      </w:r>
      <w:r>
        <w:rPr>
          <w:rFonts w:ascii="Arial" w:eastAsia="仿宋_GB2312;仿宋" w:hAnsi="Arial" w:cs="Arial"/>
          <w:bCs/>
          <w:color w:val="000000"/>
          <w:sz w:val="28"/>
          <w:szCs w:val="28"/>
        </w:rPr>
        <w:t>”</w:t>
      </w:r>
      <w:r>
        <w:rPr>
          <w:rFonts w:ascii="Arial" w:eastAsia="仿宋_GB2312;仿宋" w:hAnsi="Arial" w:cs="Arial"/>
          <w:bCs/>
          <w:color w:val="000000"/>
          <w:sz w:val="28"/>
          <w:szCs w:val="28"/>
        </w:rPr>
        <w:t>的立体化导引。</w:t>
      </w:r>
    </w:p>
    <w:p w14:paraId="4B0E8A0A" w14:textId="77777777" w:rsidR="00E70101" w:rsidRDefault="0060680B">
      <w:pPr>
        <w:overflowPunct w:val="0"/>
        <w:spacing w:line="360" w:lineRule="auto"/>
        <w:jc w:val="both"/>
        <w:textAlignment w:val="auto"/>
        <w:rPr>
          <w:rFonts w:ascii="Arial" w:eastAsia="仿宋_GB2312;仿宋" w:hAnsi="Arial" w:cs="Arial"/>
          <w:b/>
          <w:bCs/>
          <w:color w:val="000000"/>
          <w:sz w:val="28"/>
          <w:szCs w:val="28"/>
        </w:rPr>
      </w:pPr>
      <w:r>
        <w:rPr>
          <w:rFonts w:ascii="MS Gothic;ＭＳ ゴシック" w:eastAsia="MS Gothic;ＭＳ ゴシック" w:hAnsi="MS Gothic;ＭＳ ゴシック" w:cs="MS Gothic;ＭＳ ゴシック"/>
          <w:b/>
          <w:bCs/>
          <w:color w:val="000000"/>
          <w:sz w:val="28"/>
          <w:szCs w:val="28"/>
        </w:rPr>
        <w:t xml:space="preserve">◆  </w:t>
      </w:r>
      <w:r>
        <w:rPr>
          <w:rFonts w:ascii="Arial" w:eastAsia="仿宋_GB2312;仿宋" w:hAnsi="Arial" w:cs="Arial"/>
          <w:b/>
          <w:bCs/>
          <w:color w:val="000000"/>
          <w:sz w:val="28"/>
          <w:szCs w:val="28"/>
        </w:rPr>
        <w:t>税收政策：</w:t>
      </w:r>
    </w:p>
    <w:p w14:paraId="07D27D59"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2023</w:t>
      </w:r>
      <w:r>
        <w:rPr>
          <w:rFonts w:ascii="Arial" w:eastAsia="仿宋_GB2312;仿宋" w:hAnsi="Arial" w:cs="Arial"/>
          <w:bCs/>
          <w:color w:val="000000"/>
          <w:sz w:val="28"/>
          <w:szCs w:val="28"/>
        </w:rPr>
        <w:t>年，按照党中央、国务院决策部署，税务总局会同财政部等部门先后发布了一系列延续优化创新实施的税费优惠政策，根据《财政部</w:t>
      </w:r>
      <w:r>
        <w:rPr>
          <w:rFonts w:ascii="Arial" w:eastAsia="Arial" w:hAnsi="Arial" w:cs="Arial"/>
          <w:bCs/>
          <w:color w:val="000000"/>
          <w:sz w:val="28"/>
          <w:szCs w:val="28"/>
        </w:rPr>
        <w:t xml:space="preserve"> </w:t>
      </w:r>
      <w:r>
        <w:rPr>
          <w:rFonts w:ascii="Arial" w:eastAsia="仿宋_GB2312;仿宋" w:hAnsi="Arial" w:cs="Arial"/>
          <w:bCs/>
          <w:color w:val="000000"/>
          <w:sz w:val="28"/>
          <w:szCs w:val="28"/>
        </w:rPr>
        <w:t>税务总局关于明确增值税小规模纳税人减免增值税等政策的公告》（</w:t>
      </w:r>
      <w:r>
        <w:rPr>
          <w:rFonts w:ascii="Arial" w:eastAsia="仿宋_GB2312;仿宋" w:hAnsi="Arial" w:cs="Arial"/>
          <w:bCs/>
          <w:color w:val="000000"/>
          <w:sz w:val="28"/>
          <w:szCs w:val="28"/>
        </w:rPr>
        <w:t>2023</w:t>
      </w:r>
      <w:r>
        <w:rPr>
          <w:rFonts w:ascii="Arial" w:eastAsia="仿宋_GB2312;仿宋" w:hAnsi="Arial" w:cs="Arial"/>
          <w:bCs/>
          <w:color w:val="000000"/>
          <w:sz w:val="28"/>
          <w:szCs w:val="28"/>
        </w:rPr>
        <w:t>年第</w:t>
      </w:r>
      <w:r>
        <w:rPr>
          <w:rFonts w:ascii="Arial" w:eastAsia="仿宋_GB2312;仿宋" w:hAnsi="Arial" w:cs="Arial"/>
          <w:bCs/>
          <w:color w:val="000000"/>
          <w:sz w:val="28"/>
          <w:szCs w:val="28"/>
        </w:rPr>
        <w:t>1</w:t>
      </w:r>
      <w:r>
        <w:rPr>
          <w:rFonts w:ascii="Arial" w:eastAsia="仿宋_GB2312;仿宋" w:hAnsi="Arial" w:cs="Arial"/>
          <w:bCs/>
          <w:color w:val="000000"/>
          <w:sz w:val="28"/>
          <w:szCs w:val="28"/>
        </w:rPr>
        <w:t>号）、《国家税务总局关于增值税小规模纳税人减免增值税等政策有关征管事项的公告》（</w:t>
      </w:r>
      <w:r>
        <w:rPr>
          <w:rFonts w:ascii="Arial" w:eastAsia="仿宋_GB2312;仿宋" w:hAnsi="Arial" w:cs="Arial"/>
          <w:bCs/>
          <w:color w:val="000000"/>
          <w:sz w:val="28"/>
          <w:szCs w:val="28"/>
        </w:rPr>
        <w:t>2023</w:t>
      </w:r>
      <w:r>
        <w:rPr>
          <w:rFonts w:ascii="Arial" w:eastAsia="仿宋_GB2312;仿宋" w:hAnsi="Arial" w:cs="Arial"/>
          <w:bCs/>
          <w:color w:val="000000"/>
          <w:sz w:val="28"/>
          <w:szCs w:val="28"/>
        </w:rPr>
        <w:t>年第</w:t>
      </w:r>
      <w:r>
        <w:rPr>
          <w:rFonts w:ascii="Arial" w:eastAsia="仿宋_GB2312;仿宋" w:hAnsi="Arial" w:cs="Arial"/>
          <w:bCs/>
          <w:color w:val="000000"/>
          <w:sz w:val="28"/>
          <w:szCs w:val="28"/>
        </w:rPr>
        <w:t>1</w:t>
      </w:r>
      <w:r>
        <w:rPr>
          <w:rFonts w:ascii="Arial" w:eastAsia="仿宋_GB2312;仿宋" w:hAnsi="Arial" w:cs="Arial"/>
          <w:bCs/>
          <w:color w:val="000000"/>
          <w:sz w:val="28"/>
          <w:szCs w:val="28"/>
        </w:rPr>
        <w:t>号），针对增值税小规模纳税人的优惠政策有：</w:t>
      </w:r>
      <w:r>
        <w:rPr>
          <w:rFonts w:ascii="Arial" w:eastAsia="仿宋_GB2312;仿宋" w:hAnsi="Arial" w:cs="Arial"/>
          <w:bCs/>
          <w:color w:val="000000"/>
          <w:sz w:val="28"/>
          <w:szCs w:val="28"/>
        </w:rPr>
        <w:t>①</w:t>
      </w:r>
      <w:r>
        <w:rPr>
          <w:rFonts w:ascii="Arial" w:eastAsia="仿宋_GB2312;仿宋" w:hAnsi="Arial" w:cs="Arial"/>
          <w:bCs/>
          <w:color w:val="000000"/>
          <w:sz w:val="28"/>
          <w:szCs w:val="28"/>
        </w:rPr>
        <w:t>增值税政策增值税小规模纳税人发生增值税应税销售行为，合计月销售额未超过</w:t>
      </w:r>
      <w:r>
        <w:rPr>
          <w:rFonts w:ascii="Arial" w:eastAsia="仿宋_GB2312;仿宋" w:hAnsi="Arial" w:cs="Arial"/>
          <w:bCs/>
          <w:color w:val="000000"/>
          <w:sz w:val="28"/>
          <w:szCs w:val="28"/>
        </w:rPr>
        <w:t>10</w:t>
      </w:r>
      <w:r>
        <w:rPr>
          <w:rFonts w:ascii="Arial" w:eastAsia="仿宋_GB2312;仿宋" w:hAnsi="Arial" w:cs="Arial"/>
          <w:bCs/>
          <w:color w:val="000000"/>
          <w:sz w:val="28"/>
          <w:szCs w:val="28"/>
        </w:rPr>
        <w:t>万元（以</w:t>
      </w:r>
      <w:r>
        <w:rPr>
          <w:rFonts w:ascii="Arial" w:eastAsia="仿宋_GB2312;仿宋" w:hAnsi="Arial" w:cs="Arial"/>
          <w:bCs/>
          <w:color w:val="000000"/>
          <w:sz w:val="28"/>
          <w:szCs w:val="28"/>
        </w:rPr>
        <w:t>1</w:t>
      </w:r>
      <w:r>
        <w:rPr>
          <w:rFonts w:ascii="Arial" w:eastAsia="仿宋_GB2312;仿宋" w:hAnsi="Arial" w:cs="Arial"/>
          <w:bCs/>
          <w:color w:val="000000"/>
          <w:sz w:val="28"/>
          <w:szCs w:val="28"/>
        </w:rPr>
        <w:t>个季度为</w:t>
      </w:r>
      <w:r>
        <w:rPr>
          <w:rFonts w:ascii="Arial" w:eastAsia="仿宋_GB2312;仿宋" w:hAnsi="Arial" w:cs="Arial"/>
          <w:bCs/>
          <w:color w:val="000000"/>
          <w:sz w:val="28"/>
          <w:szCs w:val="28"/>
        </w:rPr>
        <w:t>1</w:t>
      </w:r>
      <w:r>
        <w:rPr>
          <w:rFonts w:ascii="Arial" w:eastAsia="仿宋_GB2312;仿宋" w:hAnsi="Arial" w:cs="Arial"/>
          <w:bCs/>
          <w:color w:val="000000"/>
          <w:sz w:val="28"/>
          <w:szCs w:val="28"/>
        </w:rPr>
        <w:t>个纳税期的，季度销售额未超过</w:t>
      </w:r>
      <w:r>
        <w:rPr>
          <w:rFonts w:ascii="Arial" w:eastAsia="仿宋_GB2312;仿宋" w:hAnsi="Arial" w:cs="Arial"/>
          <w:bCs/>
          <w:color w:val="000000"/>
          <w:sz w:val="28"/>
          <w:szCs w:val="28"/>
        </w:rPr>
        <w:t>30</w:t>
      </w:r>
      <w:r>
        <w:rPr>
          <w:rFonts w:ascii="Arial" w:eastAsia="仿宋_GB2312;仿宋" w:hAnsi="Arial" w:cs="Arial"/>
          <w:bCs/>
          <w:color w:val="000000"/>
          <w:sz w:val="28"/>
          <w:szCs w:val="28"/>
        </w:rPr>
        <w:t>万元，下同）的，免征增值税。</w:t>
      </w:r>
      <w:r>
        <w:rPr>
          <w:rFonts w:ascii="Arial" w:eastAsia="仿宋_GB2312;仿宋" w:hAnsi="Arial" w:cs="Arial"/>
          <w:bCs/>
          <w:color w:val="000000"/>
          <w:sz w:val="28"/>
          <w:szCs w:val="28"/>
        </w:rPr>
        <w:t>②</w:t>
      </w:r>
      <w:r>
        <w:rPr>
          <w:rFonts w:ascii="Arial" w:eastAsia="仿宋_GB2312;仿宋" w:hAnsi="Arial" w:cs="Arial"/>
          <w:bCs/>
          <w:color w:val="000000"/>
          <w:sz w:val="28"/>
          <w:szCs w:val="28"/>
        </w:rPr>
        <w:t>自</w:t>
      </w:r>
      <w:r>
        <w:rPr>
          <w:rFonts w:ascii="Arial" w:eastAsia="仿宋_GB2312;仿宋" w:hAnsi="Arial" w:cs="Arial"/>
          <w:bCs/>
          <w:color w:val="000000"/>
          <w:sz w:val="28"/>
          <w:szCs w:val="28"/>
        </w:rPr>
        <w:t>2023</w:t>
      </w:r>
      <w:r>
        <w:rPr>
          <w:rFonts w:ascii="Arial" w:eastAsia="仿宋_GB2312;仿宋" w:hAnsi="Arial" w:cs="Arial"/>
          <w:bCs/>
          <w:color w:val="000000"/>
          <w:sz w:val="28"/>
          <w:szCs w:val="28"/>
        </w:rPr>
        <w:t>年</w:t>
      </w:r>
      <w:r>
        <w:rPr>
          <w:rFonts w:ascii="Arial" w:eastAsia="仿宋_GB2312;仿宋" w:hAnsi="Arial" w:cs="Arial"/>
          <w:bCs/>
          <w:color w:val="000000"/>
          <w:sz w:val="28"/>
          <w:szCs w:val="28"/>
        </w:rPr>
        <w:t>1</w:t>
      </w:r>
      <w:r>
        <w:rPr>
          <w:rFonts w:ascii="Arial" w:eastAsia="仿宋_GB2312;仿宋" w:hAnsi="Arial" w:cs="Arial"/>
          <w:bCs/>
          <w:color w:val="000000"/>
          <w:sz w:val="28"/>
          <w:szCs w:val="28"/>
        </w:rPr>
        <w:t>月</w:t>
      </w:r>
      <w:r>
        <w:rPr>
          <w:rFonts w:ascii="Arial" w:eastAsia="仿宋_GB2312;仿宋" w:hAnsi="Arial" w:cs="Arial"/>
          <w:bCs/>
          <w:color w:val="000000"/>
          <w:sz w:val="28"/>
          <w:szCs w:val="28"/>
        </w:rPr>
        <w:t>1</w:t>
      </w:r>
      <w:r>
        <w:rPr>
          <w:rFonts w:ascii="Arial" w:eastAsia="仿宋_GB2312;仿宋" w:hAnsi="Arial" w:cs="Arial"/>
          <w:bCs/>
          <w:color w:val="000000"/>
          <w:sz w:val="28"/>
          <w:szCs w:val="28"/>
        </w:rPr>
        <w:t>日至</w:t>
      </w:r>
      <w:r>
        <w:rPr>
          <w:rFonts w:ascii="Arial" w:eastAsia="仿宋_GB2312;仿宋" w:hAnsi="Arial" w:cs="Arial"/>
          <w:bCs/>
          <w:color w:val="000000"/>
          <w:sz w:val="28"/>
          <w:szCs w:val="28"/>
        </w:rPr>
        <w:t>2023</w:t>
      </w:r>
      <w:r>
        <w:rPr>
          <w:rFonts w:ascii="Arial" w:eastAsia="仿宋_GB2312;仿宋" w:hAnsi="Arial" w:cs="Arial"/>
          <w:bCs/>
          <w:color w:val="000000"/>
          <w:sz w:val="28"/>
          <w:szCs w:val="28"/>
        </w:rPr>
        <w:t>年</w:t>
      </w:r>
      <w:r>
        <w:rPr>
          <w:rFonts w:ascii="Arial" w:eastAsia="仿宋_GB2312;仿宋" w:hAnsi="Arial" w:cs="Arial"/>
          <w:bCs/>
          <w:color w:val="000000"/>
          <w:sz w:val="28"/>
          <w:szCs w:val="28"/>
        </w:rPr>
        <w:t>12</w:t>
      </w:r>
      <w:r>
        <w:rPr>
          <w:rFonts w:ascii="Arial" w:eastAsia="仿宋_GB2312;仿宋" w:hAnsi="Arial" w:cs="Arial"/>
          <w:bCs/>
          <w:color w:val="000000"/>
          <w:sz w:val="28"/>
          <w:szCs w:val="28"/>
        </w:rPr>
        <w:t>月</w:t>
      </w:r>
      <w:r>
        <w:rPr>
          <w:rFonts w:ascii="Arial" w:eastAsia="仿宋_GB2312;仿宋" w:hAnsi="Arial" w:cs="Arial"/>
          <w:bCs/>
          <w:color w:val="000000"/>
          <w:sz w:val="28"/>
          <w:szCs w:val="28"/>
        </w:rPr>
        <w:t>31</w:t>
      </w:r>
      <w:r>
        <w:rPr>
          <w:rFonts w:ascii="Arial" w:eastAsia="仿宋_GB2312;仿宋" w:hAnsi="Arial" w:cs="Arial"/>
          <w:bCs/>
          <w:color w:val="000000"/>
          <w:sz w:val="28"/>
          <w:szCs w:val="28"/>
        </w:rPr>
        <w:t>日，增值税小规模纳税人适用</w:t>
      </w:r>
      <w:r>
        <w:rPr>
          <w:rFonts w:ascii="Arial" w:eastAsia="仿宋_GB2312;仿宋" w:hAnsi="Arial" w:cs="Arial"/>
          <w:bCs/>
          <w:color w:val="000000"/>
          <w:sz w:val="28"/>
          <w:szCs w:val="28"/>
        </w:rPr>
        <w:t>3%</w:t>
      </w:r>
      <w:r>
        <w:rPr>
          <w:rFonts w:ascii="Arial" w:eastAsia="仿宋_GB2312;仿宋" w:hAnsi="Arial" w:cs="Arial"/>
          <w:bCs/>
          <w:color w:val="000000"/>
          <w:sz w:val="28"/>
          <w:szCs w:val="28"/>
        </w:rPr>
        <w:t>征收率的应税销售收入，减按</w:t>
      </w:r>
      <w:r>
        <w:rPr>
          <w:rFonts w:ascii="Arial" w:eastAsia="仿宋_GB2312;仿宋" w:hAnsi="Arial" w:cs="Arial"/>
          <w:bCs/>
          <w:color w:val="000000"/>
          <w:sz w:val="28"/>
          <w:szCs w:val="28"/>
        </w:rPr>
        <w:t>1%</w:t>
      </w:r>
      <w:r>
        <w:rPr>
          <w:rFonts w:ascii="Arial" w:eastAsia="仿宋_GB2312;仿宋" w:hAnsi="Arial" w:cs="Arial"/>
          <w:bCs/>
          <w:color w:val="000000"/>
          <w:sz w:val="28"/>
          <w:szCs w:val="28"/>
        </w:rPr>
        <w:t>征收率征收增值税；适用</w:t>
      </w:r>
      <w:r>
        <w:rPr>
          <w:rFonts w:ascii="Arial" w:eastAsia="仿宋_GB2312;仿宋" w:hAnsi="Arial" w:cs="Arial"/>
          <w:bCs/>
          <w:color w:val="000000"/>
          <w:sz w:val="28"/>
          <w:szCs w:val="28"/>
        </w:rPr>
        <w:t>3%</w:t>
      </w:r>
      <w:r>
        <w:rPr>
          <w:rFonts w:ascii="Arial" w:eastAsia="仿宋_GB2312;仿宋" w:hAnsi="Arial" w:cs="Arial"/>
          <w:bCs/>
          <w:color w:val="000000"/>
          <w:sz w:val="28"/>
          <w:szCs w:val="28"/>
        </w:rPr>
        <w:t>预征率的预缴增值税项目，减按</w:t>
      </w:r>
      <w:r>
        <w:rPr>
          <w:rFonts w:ascii="Arial" w:eastAsia="仿宋_GB2312;仿宋" w:hAnsi="Arial" w:cs="Arial"/>
          <w:bCs/>
          <w:color w:val="000000"/>
          <w:sz w:val="28"/>
          <w:szCs w:val="28"/>
        </w:rPr>
        <w:t>1%</w:t>
      </w:r>
      <w:r>
        <w:rPr>
          <w:rFonts w:ascii="Arial" w:eastAsia="仿宋_GB2312;仿宋" w:hAnsi="Arial" w:cs="Arial"/>
          <w:bCs/>
          <w:color w:val="000000"/>
          <w:sz w:val="28"/>
          <w:szCs w:val="28"/>
        </w:rPr>
        <w:t>预征率预缴增值税。</w:t>
      </w:r>
    </w:p>
    <w:p w14:paraId="311F7F66" w14:textId="77777777" w:rsidR="00E70101" w:rsidRDefault="0060680B">
      <w:pPr>
        <w:overflowPunct w:val="0"/>
        <w:spacing w:line="360" w:lineRule="auto"/>
        <w:jc w:val="both"/>
        <w:textAlignment w:val="auto"/>
        <w:rPr>
          <w:rFonts w:ascii="Arial" w:eastAsia="仿宋_GB2312;仿宋" w:hAnsi="Arial" w:cs="Arial"/>
          <w:b/>
          <w:bCs/>
          <w:color w:val="000000"/>
          <w:sz w:val="28"/>
          <w:szCs w:val="28"/>
        </w:rPr>
      </w:pPr>
      <w:r>
        <w:rPr>
          <w:rFonts w:ascii="MS Gothic;ＭＳ ゴシック" w:eastAsia="MS Gothic;ＭＳ ゴシック" w:hAnsi="MS Gothic;ＭＳ ゴシック" w:cs="MS Gothic;ＭＳ ゴシック"/>
          <w:b/>
          <w:bCs/>
          <w:color w:val="000000"/>
          <w:sz w:val="28"/>
          <w:szCs w:val="28"/>
        </w:rPr>
        <w:t xml:space="preserve">◆  </w:t>
      </w:r>
      <w:r>
        <w:rPr>
          <w:rFonts w:ascii="Arial" w:eastAsia="仿宋_GB2312;仿宋" w:hAnsi="Arial" w:cs="Arial"/>
          <w:b/>
          <w:bCs/>
          <w:color w:val="000000"/>
          <w:sz w:val="28"/>
          <w:szCs w:val="28"/>
        </w:rPr>
        <w:t>金融政策：</w:t>
      </w:r>
    </w:p>
    <w:p w14:paraId="20672B26"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2022</w:t>
      </w:r>
      <w:r>
        <w:rPr>
          <w:rFonts w:ascii="Arial" w:eastAsia="仿宋_GB2312;仿宋" w:hAnsi="Arial" w:cs="Arial"/>
          <w:bCs/>
          <w:color w:val="000000"/>
          <w:sz w:val="28"/>
          <w:szCs w:val="28"/>
        </w:rPr>
        <w:t>年</w:t>
      </w:r>
      <w:r>
        <w:rPr>
          <w:rFonts w:ascii="Arial" w:eastAsia="仿宋_GB2312;仿宋" w:hAnsi="Arial" w:cs="Arial"/>
          <w:bCs/>
          <w:color w:val="000000"/>
          <w:sz w:val="28"/>
          <w:szCs w:val="28"/>
        </w:rPr>
        <w:t>5</w:t>
      </w:r>
      <w:r>
        <w:rPr>
          <w:rFonts w:ascii="Arial" w:eastAsia="仿宋_GB2312;仿宋" w:hAnsi="Arial" w:cs="Arial"/>
          <w:bCs/>
          <w:color w:val="000000"/>
          <w:sz w:val="28"/>
          <w:szCs w:val="28"/>
        </w:rPr>
        <w:t>月，北京市发布《</w:t>
      </w:r>
      <w:r>
        <w:rPr>
          <w:rFonts w:ascii="Arial" w:eastAsia="仿宋_GB2312;仿宋" w:hAnsi="Arial" w:cs="Arial"/>
          <w:bCs/>
          <w:color w:val="000000"/>
          <w:sz w:val="28"/>
          <w:szCs w:val="28"/>
        </w:rPr>
        <w:t>2022</w:t>
      </w:r>
      <w:r>
        <w:rPr>
          <w:rFonts w:ascii="Arial" w:eastAsia="仿宋_GB2312;仿宋" w:hAnsi="Arial" w:cs="Arial"/>
          <w:bCs/>
          <w:color w:val="000000"/>
          <w:sz w:val="28"/>
          <w:szCs w:val="28"/>
        </w:rPr>
        <w:t>年度高精尖产业发展资金实施指南》（以下简称</w:t>
      </w:r>
      <w:r>
        <w:rPr>
          <w:rFonts w:ascii="Arial" w:eastAsia="仿宋_GB2312;仿宋" w:hAnsi="Arial" w:cs="Arial"/>
          <w:bCs/>
          <w:color w:val="000000"/>
          <w:sz w:val="28"/>
          <w:szCs w:val="28"/>
        </w:rPr>
        <w:t>‘</w:t>
      </w:r>
      <w:r>
        <w:rPr>
          <w:rFonts w:ascii="Arial" w:eastAsia="仿宋_GB2312;仿宋" w:hAnsi="Arial" w:cs="Arial"/>
          <w:bCs/>
          <w:color w:val="000000"/>
          <w:sz w:val="28"/>
          <w:szCs w:val="28"/>
        </w:rPr>
        <w:t>实施指南</w:t>
      </w:r>
      <w:r>
        <w:rPr>
          <w:rFonts w:ascii="Arial" w:eastAsia="仿宋_GB2312;仿宋" w:hAnsi="Arial" w:cs="Arial"/>
          <w:bCs/>
          <w:color w:val="000000"/>
          <w:sz w:val="28"/>
          <w:szCs w:val="28"/>
        </w:rPr>
        <w:t>’</w:t>
      </w:r>
      <w:r>
        <w:rPr>
          <w:rFonts w:ascii="Arial" w:eastAsia="仿宋_GB2312;仿宋" w:hAnsi="Arial" w:cs="Arial"/>
          <w:bCs/>
          <w:color w:val="000000"/>
          <w:sz w:val="28"/>
          <w:szCs w:val="28"/>
        </w:rPr>
        <w:t>），进一步加大普惠性产业资金支持力度。《实施指南》明确，</w:t>
      </w:r>
      <w:r>
        <w:rPr>
          <w:rFonts w:ascii="Arial" w:eastAsia="仿宋_GB2312;仿宋" w:hAnsi="Arial" w:cs="Arial"/>
          <w:bCs/>
          <w:color w:val="000000"/>
          <w:sz w:val="28"/>
          <w:szCs w:val="28"/>
        </w:rPr>
        <w:t>2022</w:t>
      </w:r>
      <w:r>
        <w:rPr>
          <w:rFonts w:ascii="Arial" w:eastAsia="仿宋_GB2312;仿宋" w:hAnsi="Arial" w:cs="Arial"/>
          <w:bCs/>
          <w:color w:val="000000"/>
          <w:sz w:val="28"/>
          <w:szCs w:val="28"/>
        </w:rPr>
        <w:t>年支持方向主要是高端智能绿色发展和高精尖产业平稳发展两方面，具体分为重点新材料首批次应用奖励、医药创新品种首试产奖励等</w:t>
      </w:r>
      <w:r>
        <w:rPr>
          <w:rFonts w:ascii="Arial" w:eastAsia="仿宋_GB2312;仿宋" w:hAnsi="Arial" w:cs="Arial"/>
          <w:bCs/>
          <w:color w:val="000000"/>
          <w:sz w:val="28"/>
          <w:szCs w:val="28"/>
        </w:rPr>
        <w:t>12</w:t>
      </w:r>
      <w:r>
        <w:rPr>
          <w:rFonts w:ascii="Arial" w:eastAsia="仿宋_GB2312;仿宋" w:hAnsi="Arial" w:cs="Arial"/>
          <w:bCs/>
          <w:color w:val="000000"/>
          <w:sz w:val="28"/>
          <w:szCs w:val="28"/>
        </w:rPr>
        <w:t>个细分方向。高精尖资金将坚持</w:t>
      </w:r>
      <w:r>
        <w:rPr>
          <w:rFonts w:ascii="Arial" w:eastAsia="仿宋_GB2312;仿宋" w:hAnsi="Arial" w:cs="Arial"/>
          <w:bCs/>
          <w:color w:val="000000"/>
          <w:sz w:val="28"/>
          <w:szCs w:val="28"/>
        </w:rPr>
        <w:t>“</w:t>
      </w:r>
      <w:r>
        <w:rPr>
          <w:rFonts w:ascii="Arial" w:eastAsia="仿宋_GB2312;仿宋" w:hAnsi="Arial" w:cs="Arial"/>
          <w:bCs/>
          <w:color w:val="000000"/>
          <w:sz w:val="28"/>
          <w:szCs w:val="28"/>
        </w:rPr>
        <w:t>普惠共享</w:t>
      </w:r>
      <w:r>
        <w:rPr>
          <w:rFonts w:ascii="Arial" w:eastAsia="仿宋_GB2312;仿宋" w:hAnsi="Arial" w:cs="Arial"/>
          <w:bCs/>
          <w:color w:val="000000"/>
          <w:sz w:val="28"/>
          <w:szCs w:val="28"/>
        </w:rPr>
        <w:t>”</w:t>
      </w:r>
      <w:r>
        <w:rPr>
          <w:rFonts w:ascii="Arial" w:eastAsia="仿宋_GB2312;仿宋" w:hAnsi="Arial" w:cs="Arial"/>
          <w:bCs/>
          <w:color w:val="000000"/>
          <w:sz w:val="28"/>
          <w:szCs w:val="28"/>
        </w:rPr>
        <w:t>的支持原则，采取明确标准、达标即享的方式，进一步优化申报流程，确保对达标企业给予支持，扩大资金支持覆盖面，提高资金使用透明度。《实施指南》强调，要更加注重发挥有为政府和有效市场的双重作用，提升资金</w:t>
      </w:r>
      <w:r>
        <w:rPr>
          <w:rFonts w:ascii="Arial" w:eastAsia="仿宋_GB2312;仿宋" w:hAnsi="Arial" w:cs="Arial"/>
          <w:bCs/>
          <w:color w:val="000000"/>
          <w:sz w:val="28"/>
          <w:szCs w:val="28"/>
        </w:rPr>
        <w:t>“</w:t>
      </w:r>
      <w:r>
        <w:rPr>
          <w:rFonts w:ascii="Arial" w:eastAsia="仿宋_GB2312;仿宋" w:hAnsi="Arial" w:cs="Arial"/>
          <w:bCs/>
          <w:color w:val="000000"/>
          <w:sz w:val="28"/>
          <w:szCs w:val="28"/>
        </w:rPr>
        <w:t>四两拨千斤</w:t>
      </w:r>
      <w:r>
        <w:rPr>
          <w:rFonts w:ascii="Arial" w:eastAsia="仿宋_GB2312;仿宋" w:hAnsi="Arial" w:cs="Arial"/>
          <w:bCs/>
          <w:color w:val="000000"/>
          <w:sz w:val="28"/>
          <w:szCs w:val="28"/>
        </w:rPr>
        <w:t>”</w:t>
      </w:r>
      <w:r>
        <w:rPr>
          <w:rFonts w:ascii="Arial" w:eastAsia="仿宋_GB2312;仿宋" w:hAnsi="Arial" w:cs="Arial"/>
          <w:bCs/>
          <w:color w:val="000000"/>
          <w:sz w:val="28"/>
          <w:szCs w:val="28"/>
        </w:rPr>
        <w:t>的政策效能，更加有力地服务支撑本市制造业高质量发展，为稳定经济增长和促进产业转型升级发挥积极作用。</w:t>
      </w:r>
    </w:p>
    <w:p w14:paraId="30EF0209" w14:textId="77777777" w:rsidR="00E70101" w:rsidRDefault="0060680B">
      <w:pPr>
        <w:widowControl/>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4.</w:t>
      </w:r>
      <w:r>
        <w:rPr>
          <w:rFonts w:ascii="Arial" w:eastAsia="仿宋_GB2312;仿宋" w:hAnsi="Arial" w:cs="Arial"/>
          <w:bCs/>
          <w:sz w:val="28"/>
          <w:szCs w:val="28"/>
        </w:rPr>
        <w:t>城市规划与发展目标</w:t>
      </w:r>
    </w:p>
    <w:p w14:paraId="5C2DD3B5" w14:textId="77777777" w:rsidR="00E70101" w:rsidRDefault="0060680B">
      <w:pPr>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《北京市国民经济和社会发展第十四个五年规划和二〇三五年远景目标纲要》（以下简称《纲要》）的指导思想，是要统筹推进</w:t>
      </w:r>
      <w:r>
        <w:rPr>
          <w:rFonts w:ascii="Arial" w:eastAsia="仿宋_GB2312;仿宋" w:hAnsi="Arial" w:cs="Arial"/>
          <w:bCs/>
          <w:sz w:val="28"/>
          <w:szCs w:val="28"/>
        </w:rPr>
        <w:t>“</w:t>
      </w:r>
      <w:r>
        <w:rPr>
          <w:rFonts w:ascii="Arial" w:eastAsia="仿宋_GB2312;仿宋" w:hAnsi="Arial" w:cs="Arial"/>
          <w:bCs/>
          <w:sz w:val="28"/>
          <w:szCs w:val="28"/>
        </w:rPr>
        <w:t>五位一体</w:t>
      </w:r>
      <w:r>
        <w:rPr>
          <w:rFonts w:ascii="Arial" w:eastAsia="仿宋_GB2312;仿宋" w:hAnsi="Arial" w:cs="Arial"/>
          <w:bCs/>
          <w:sz w:val="28"/>
          <w:szCs w:val="28"/>
        </w:rPr>
        <w:t>”</w:t>
      </w:r>
      <w:r>
        <w:rPr>
          <w:rFonts w:ascii="Arial" w:eastAsia="仿宋_GB2312;仿宋" w:hAnsi="Arial" w:cs="Arial"/>
          <w:bCs/>
          <w:sz w:val="28"/>
          <w:szCs w:val="28"/>
        </w:rPr>
        <w:t>总体布局，协调推进</w:t>
      </w:r>
      <w:r>
        <w:rPr>
          <w:rFonts w:ascii="Arial" w:eastAsia="仿宋_GB2312;仿宋" w:hAnsi="Arial" w:cs="Arial"/>
          <w:bCs/>
          <w:sz w:val="28"/>
          <w:szCs w:val="28"/>
        </w:rPr>
        <w:t>“</w:t>
      </w:r>
      <w:r>
        <w:rPr>
          <w:rFonts w:ascii="Arial" w:eastAsia="仿宋_GB2312;仿宋" w:hAnsi="Arial" w:cs="Arial"/>
          <w:bCs/>
          <w:sz w:val="28"/>
          <w:szCs w:val="28"/>
        </w:rPr>
        <w:t>四个全面</w:t>
      </w:r>
      <w:r>
        <w:rPr>
          <w:rFonts w:ascii="Arial" w:eastAsia="仿宋_GB2312;仿宋" w:hAnsi="Arial" w:cs="Arial"/>
          <w:bCs/>
          <w:sz w:val="28"/>
          <w:szCs w:val="28"/>
        </w:rPr>
        <w:t>”</w:t>
      </w:r>
      <w:r>
        <w:rPr>
          <w:rFonts w:ascii="Arial" w:eastAsia="仿宋_GB2312;仿宋" w:hAnsi="Arial" w:cs="Arial"/>
          <w:bCs/>
          <w:sz w:val="28"/>
          <w:szCs w:val="28"/>
        </w:rPr>
        <w:t>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w:t>
      </w:r>
      <w:r>
        <w:rPr>
          <w:rFonts w:ascii="Arial" w:eastAsia="仿宋_GB2312;仿宋" w:hAnsi="Arial" w:cs="Arial"/>
          <w:bCs/>
          <w:sz w:val="28"/>
          <w:szCs w:val="28"/>
        </w:rPr>
        <w:t>“</w:t>
      </w:r>
      <w:r>
        <w:rPr>
          <w:rFonts w:ascii="Arial" w:eastAsia="仿宋_GB2312;仿宋" w:hAnsi="Arial" w:cs="Arial"/>
          <w:bCs/>
          <w:sz w:val="28"/>
          <w:szCs w:val="28"/>
        </w:rPr>
        <w:t>牛鼻子</w:t>
      </w:r>
      <w:r>
        <w:rPr>
          <w:rFonts w:ascii="Arial" w:eastAsia="仿宋_GB2312;仿宋" w:hAnsi="Arial" w:cs="Arial"/>
          <w:bCs/>
          <w:sz w:val="28"/>
          <w:szCs w:val="28"/>
        </w:rPr>
        <w:t>”</w:t>
      </w:r>
      <w:r>
        <w:rPr>
          <w:rFonts w:ascii="Arial" w:eastAsia="仿宋_GB2312;仿宋" w:hAnsi="Arial" w:cs="Arial"/>
          <w:bCs/>
          <w:sz w:val="28"/>
          <w:szCs w:val="28"/>
        </w:rPr>
        <w:t>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651FA8AF" w14:textId="77777777" w:rsidR="00E70101" w:rsidRDefault="0060680B">
      <w:pPr>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《纲要》提出，</w:t>
      </w:r>
      <w:r>
        <w:rPr>
          <w:rFonts w:ascii="Arial" w:eastAsia="仿宋_GB2312;仿宋" w:hAnsi="Arial" w:cs="Arial"/>
          <w:bCs/>
          <w:sz w:val="28"/>
          <w:szCs w:val="28"/>
        </w:rPr>
        <w:t>“</w:t>
      </w:r>
      <w:r>
        <w:rPr>
          <w:rFonts w:ascii="Arial" w:eastAsia="仿宋_GB2312;仿宋" w:hAnsi="Arial" w:cs="Arial"/>
          <w:bCs/>
          <w:sz w:val="28"/>
          <w:szCs w:val="28"/>
        </w:rPr>
        <w:t>十四五</w:t>
      </w:r>
      <w:r>
        <w:rPr>
          <w:rFonts w:ascii="Arial" w:eastAsia="仿宋_GB2312;仿宋" w:hAnsi="Arial" w:cs="Arial"/>
          <w:bCs/>
          <w:sz w:val="28"/>
          <w:szCs w:val="28"/>
        </w:rPr>
        <w:t>”</w:t>
      </w:r>
      <w:r>
        <w:rPr>
          <w:rFonts w:ascii="Arial" w:eastAsia="仿宋_GB2312;仿宋" w:hAnsi="Arial" w:cs="Arial"/>
          <w:bCs/>
          <w:sz w:val="28"/>
          <w:szCs w:val="28"/>
        </w:rPr>
        <w:t>时期要坚决落实创新在现代化建设全局中的核心地位。加快建设</w:t>
      </w:r>
      <w:r>
        <w:rPr>
          <w:rFonts w:ascii="Arial" w:eastAsia="仿宋_GB2312;仿宋" w:hAnsi="Arial" w:cs="Arial"/>
          <w:bCs/>
          <w:sz w:val="28"/>
          <w:szCs w:val="28"/>
        </w:rPr>
        <w:t>“</w:t>
      </w:r>
      <w:r>
        <w:rPr>
          <w:rFonts w:ascii="Arial" w:eastAsia="仿宋_GB2312;仿宋" w:hAnsi="Arial" w:cs="Arial"/>
          <w:bCs/>
          <w:sz w:val="28"/>
          <w:szCs w:val="28"/>
        </w:rPr>
        <w:t>三城一区</w:t>
      </w:r>
      <w:r>
        <w:rPr>
          <w:rFonts w:ascii="Arial" w:eastAsia="仿宋_GB2312;仿宋" w:hAnsi="Arial" w:cs="Arial"/>
          <w:bCs/>
          <w:sz w:val="28"/>
          <w:szCs w:val="28"/>
        </w:rPr>
        <w:t>”</w:t>
      </w:r>
      <w:r>
        <w:rPr>
          <w:rFonts w:ascii="Arial" w:eastAsia="仿宋_GB2312;仿宋" w:hAnsi="Arial" w:cs="Arial"/>
          <w:bCs/>
          <w:sz w:val="28"/>
          <w:szCs w:val="28"/>
        </w:rPr>
        <w:t>主平台和中关村示范区主阵地：</w:t>
      </w:r>
      <w:r>
        <w:rPr>
          <w:rFonts w:ascii="Arial" w:eastAsia="仿宋_GB2312;仿宋" w:hAnsi="Arial" w:cs="Arial"/>
          <w:bCs/>
          <w:sz w:val="28"/>
          <w:szCs w:val="28"/>
        </w:rPr>
        <w:t>1.</w:t>
      </w:r>
      <w:r>
        <w:rPr>
          <w:rFonts w:ascii="Arial" w:eastAsia="仿宋_GB2312;仿宋" w:hAnsi="Arial" w:cs="Arial"/>
          <w:bCs/>
          <w:sz w:val="28"/>
          <w:szCs w:val="28"/>
        </w:rPr>
        <w:t>聚焦中关村科学城，立足</w:t>
      </w:r>
      <w:r>
        <w:rPr>
          <w:rFonts w:ascii="Arial" w:eastAsia="仿宋_GB2312;仿宋" w:hAnsi="Arial" w:cs="Arial"/>
          <w:bCs/>
          <w:sz w:val="28"/>
          <w:szCs w:val="28"/>
        </w:rPr>
        <w:t>“</w:t>
      </w:r>
      <w:r>
        <w:rPr>
          <w:rFonts w:ascii="Arial" w:eastAsia="仿宋_GB2312;仿宋" w:hAnsi="Arial" w:cs="Arial"/>
          <w:bCs/>
          <w:sz w:val="28"/>
          <w:szCs w:val="28"/>
        </w:rPr>
        <w:t>一轴一廊一带，一极多组团多节点</w:t>
      </w:r>
      <w:r>
        <w:rPr>
          <w:rFonts w:ascii="Arial" w:eastAsia="仿宋_GB2312;仿宋" w:hAnsi="Arial" w:cs="Arial"/>
          <w:bCs/>
          <w:sz w:val="28"/>
          <w:szCs w:val="28"/>
        </w:rPr>
        <w:t>”</w:t>
      </w:r>
      <w:r>
        <w:rPr>
          <w:rFonts w:ascii="Arial" w:eastAsia="仿宋_GB2312;仿宋" w:hAnsi="Arial" w:cs="Arial"/>
          <w:bCs/>
          <w:sz w:val="28"/>
          <w:szCs w:val="28"/>
        </w:rPr>
        <w:t>，持续推动产业与空间高效匹配。在中关村科学城北区建设国际创新创业示范区，搭建全链条、专业化、国际化的综合服务平台，持续优化国际化宜居宜业环境，打造北京国际科技创新中心建设新的重要支撑和新增长极。</w:t>
      </w:r>
      <w:r>
        <w:rPr>
          <w:rFonts w:ascii="Arial" w:eastAsia="仿宋_GB2312;仿宋" w:hAnsi="Arial" w:cs="Arial"/>
          <w:bCs/>
          <w:sz w:val="28"/>
          <w:szCs w:val="28"/>
        </w:rPr>
        <w:t>2.</w:t>
      </w:r>
      <w:r>
        <w:rPr>
          <w:rFonts w:ascii="Arial" w:eastAsia="仿宋_GB2312;仿宋" w:hAnsi="Arial" w:cs="Arial"/>
          <w:bCs/>
          <w:sz w:val="28"/>
          <w:szCs w:val="28"/>
        </w:rPr>
        <w:t>突破怀柔科学城，以支撑北京怀柔综合性国家科学中心建设为核心，体系化布局一批设施平台、创新主体。突出科学功能适度集聚与城市发展集约高效的有机融合。聚焦</w:t>
      </w:r>
      <w:r>
        <w:rPr>
          <w:rFonts w:ascii="Arial" w:eastAsia="仿宋_GB2312;仿宋" w:hAnsi="Arial" w:cs="Arial"/>
          <w:bCs/>
          <w:sz w:val="28"/>
          <w:szCs w:val="28"/>
        </w:rPr>
        <w:t>“</w:t>
      </w:r>
      <w:r>
        <w:rPr>
          <w:rFonts w:ascii="Arial" w:eastAsia="仿宋_GB2312;仿宋" w:hAnsi="Arial" w:cs="Arial"/>
          <w:bCs/>
          <w:sz w:val="28"/>
          <w:szCs w:val="28"/>
        </w:rPr>
        <w:t>一心一核</w:t>
      </w:r>
      <w:r>
        <w:rPr>
          <w:rFonts w:ascii="Arial" w:eastAsia="仿宋_GB2312;仿宋" w:hAnsi="Arial" w:cs="Arial"/>
          <w:bCs/>
          <w:sz w:val="28"/>
          <w:szCs w:val="28"/>
        </w:rPr>
        <w:t>”</w:t>
      </w:r>
      <w:r>
        <w:rPr>
          <w:rFonts w:ascii="Arial" w:eastAsia="仿宋_GB2312;仿宋" w:hAnsi="Arial" w:cs="Arial"/>
          <w:bCs/>
          <w:sz w:val="28"/>
          <w:szCs w:val="28"/>
        </w:rPr>
        <w:t>，实施城市客厅等一批城市框架起步区品质提升工程。完善</w:t>
      </w:r>
      <w:r>
        <w:rPr>
          <w:rFonts w:ascii="Arial" w:eastAsia="仿宋_GB2312;仿宋" w:hAnsi="Arial" w:cs="Arial"/>
          <w:bCs/>
          <w:sz w:val="28"/>
          <w:szCs w:val="28"/>
        </w:rPr>
        <w:t>“</w:t>
      </w:r>
      <w:r>
        <w:rPr>
          <w:rFonts w:ascii="Arial" w:eastAsia="仿宋_GB2312;仿宋" w:hAnsi="Arial" w:cs="Arial"/>
          <w:bCs/>
          <w:sz w:val="28"/>
          <w:szCs w:val="28"/>
        </w:rPr>
        <w:t>三片</w:t>
      </w:r>
      <w:r>
        <w:rPr>
          <w:rFonts w:ascii="Arial" w:eastAsia="仿宋_GB2312;仿宋" w:hAnsi="Arial" w:cs="Arial"/>
          <w:bCs/>
          <w:sz w:val="28"/>
          <w:szCs w:val="28"/>
        </w:rPr>
        <w:t>”</w:t>
      </w:r>
      <w:r>
        <w:rPr>
          <w:rFonts w:ascii="Arial" w:eastAsia="仿宋_GB2312;仿宋" w:hAnsi="Arial" w:cs="Arial"/>
          <w:bCs/>
          <w:sz w:val="28"/>
          <w:szCs w:val="28"/>
        </w:rPr>
        <w:t>功能布局。推进怀柔南站交通接驳工程，布局雁栖小镇等重大项目，推进雁栖国际人才社区建设，完善多类型分层次住房保障体系。</w:t>
      </w:r>
      <w:r>
        <w:rPr>
          <w:rFonts w:ascii="Arial" w:eastAsia="仿宋_GB2312;仿宋" w:hAnsi="Arial" w:cs="Arial"/>
          <w:bCs/>
          <w:sz w:val="28"/>
          <w:szCs w:val="28"/>
        </w:rPr>
        <w:t xml:space="preserve">3. </w:t>
      </w:r>
      <w:r>
        <w:rPr>
          <w:rFonts w:ascii="Arial" w:eastAsia="仿宋_GB2312;仿宋" w:hAnsi="Arial" w:cs="Arial"/>
          <w:bCs/>
          <w:sz w:val="28"/>
          <w:szCs w:val="28"/>
        </w:rPr>
        <w:t>搞活未来科学城，依托</w:t>
      </w:r>
      <w:r>
        <w:rPr>
          <w:rFonts w:ascii="Arial" w:eastAsia="仿宋_GB2312;仿宋" w:hAnsi="Arial" w:cs="Arial"/>
          <w:bCs/>
          <w:sz w:val="28"/>
          <w:szCs w:val="28"/>
        </w:rPr>
        <w:t>“</w:t>
      </w:r>
      <w:r>
        <w:rPr>
          <w:rFonts w:ascii="Arial" w:eastAsia="仿宋_GB2312;仿宋" w:hAnsi="Arial" w:cs="Arial"/>
          <w:bCs/>
          <w:sz w:val="28"/>
          <w:szCs w:val="28"/>
        </w:rPr>
        <w:t>两谷一园</w:t>
      </w:r>
      <w:r>
        <w:rPr>
          <w:rFonts w:ascii="Arial" w:eastAsia="仿宋_GB2312;仿宋" w:hAnsi="Arial" w:cs="Arial"/>
          <w:bCs/>
          <w:sz w:val="28"/>
          <w:szCs w:val="28"/>
        </w:rPr>
        <w:t>”</w:t>
      </w:r>
      <w:r>
        <w:rPr>
          <w:rFonts w:ascii="Arial" w:eastAsia="仿宋_GB2312;仿宋" w:hAnsi="Arial" w:cs="Arial"/>
          <w:bCs/>
          <w:sz w:val="28"/>
          <w:szCs w:val="28"/>
        </w:rPr>
        <w:t>，积极营造</w:t>
      </w:r>
      <w:r>
        <w:rPr>
          <w:rFonts w:ascii="Arial" w:eastAsia="仿宋_GB2312;仿宋" w:hAnsi="Arial" w:cs="Arial"/>
          <w:bCs/>
          <w:sz w:val="28"/>
          <w:szCs w:val="28"/>
        </w:rPr>
        <w:t>“</w:t>
      </w:r>
      <w:r>
        <w:rPr>
          <w:rFonts w:ascii="Arial" w:eastAsia="仿宋_GB2312;仿宋" w:hAnsi="Arial" w:cs="Arial"/>
          <w:bCs/>
          <w:sz w:val="28"/>
          <w:szCs w:val="28"/>
        </w:rPr>
        <w:t>龙头企业</w:t>
      </w:r>
      <w:r>
        <w:rPr>
          <w:rFonts w:ascii="Arial" w:eastAsia="仿宋_GB2312;仿宋" w:hAnsi="Arial" w:cs="Arial"/>
          <w:bCs/>
          <w:sz w:val="28"/>
          <w:szCs w:val="28"/>
        </w:rPr>
        <w:t>+</w:t>
      </w:r>
      <w:r>
        <w:rPr>
          <w:rFonts w:ascii="Arial" w:eastAsia="仿宋_GB2312;仿宋" w:hAnsi="Arial" w:cs="Arial"/>
          <w:bCs/>
          <w:sz w:val="28"/>
          <w:szCs w:val="28"/>
        </w:rPr>
        <w:t>中小创新企业</w:t>
      </w:r>
      <w:r>
        <w:rPr>
          <w:rFonts w:ascii="Arial" w:eastAsia="Arial" w:hAnsi="Arial" w:cs="Arial"/>
          <w:bCs/>
          <w:sz w:val="28"/>
          <w:szCs w:val="28"/>
        </w:rPr>
        <w:t xml:space="preserve"> </w:t>
      </w:r>
      <w:r>
        <w:rPr>
          <w:rFonts w:ascii="Arial" w:eastAsia="仿宋_GB2312;仿宋" w:hAnsi="Arial" w:cs="Arial"/>
          <w:bCs/>
          <w:sz w:val="28"/>
          <w:szCs w:val="28"/>
        </w:rPr>
        <w:t>+</w:t>
      </w:r>
      <w:r>
        <w:rPr>
          <w:rFonts w:ascii="Arial" w:eastAsia="仿宋_GB2312;仿宋" w:hAnsi="Arial" w:cs="Arial"/>
          <w:bCs/>
          <w:sz w:val="28"/>
          <w:szCs w:val="28"/>
        </w:rPr>
        <w:t>公共服务平台</w:t>
      </w:r>
      <w:r>
        <w:rPr>
          <w:rFonts w:ascii="Arial" w:eastAsia="仿宋_GB2312;仿宋" w:hAnsi="Arial" w:cs="Arial"/>
          <w:bCs/>
          <w:sz w:val="28"/>
          <w:szCs w:val="28"/>
        </w:rPr>
        <w:t>+</w:t>
      </w:r>
      <w:r>
        <w:rPr>
          <w:rFonts w:ascii="Arial" w:eastAsia="仿宋_GB2312;仿宋" w:hAnsi="Arial" w:cs="Arial"/>
          <w:bCs/>
          <w:sz w:val="28"/>
          <w:szCs w:val="28"/>
        </w:rPr>
        <w:t>高校</w:t>
      </w:r>
      <w:r>
        <w:rPr>
          <w:rFonts w:ascii="Arial" w:eastAsia="仿宋_GB2312;仿宋" w:hAnsi="Arial" w:cs="Arial"/>
          <w:bCs/>
          <w:sz w:val="28"/>
          <w:szCs w:val="28"/>
        </w:rPr>
        <w:t>”</w:t>
      </w:r>
      <w:r>
        <w:rPr>
          <w:rFonts w:ascii="Arial" w:eastAsia="仿宋_GB2312;仿宋" w:hAnsi="Arial" w:cs="Arial"/>
          <w:bCs/>
          <w:sz w:val="28"/>
          <w:szCs w:val="28"/>
        </w:rPr>
        <w:t>的创新生态。加快</w:t>
      </w:r>
      <w:r>
        <w:rPr>
          <w:rFonts w:ascii="Arial" w:eastAsia="仿宋_GB2312;仿宋" w:hAnsi="Arial" w:cs="Arial"/>
          <w:bCs/>
          <w:sz w:val="28"/>
          <w:szCs w:val="28"/>
        </w:rPr>
        <w:t>“</w:t>
      </w:r>
      <w:r>
        <w:rPr>
          <w:rFonts w:ascii="Arial" w:eastAsia="仿宋_GB2312;仿宋" w:hAnsi="Arial" w:cs="Arial"/>
          <w:bCs/>
          <w:sz w:val="28"/>
          <w:szCs w:val="28"/>
        </w:rPr>
        <w:t>能源谷</w:t>
      </w:r>
      <w:r>
        <w:rPr>
          <w:rFonts w:ascii="Arial" w:eastAsia="仿宋_GB2312;仿宋" w:hAnsi="Arial" w:cs="Arial"/>
          <w:bCs/>
          <w:sz w:val="28"/>
          <w:szCs w:val="28"/>
        </w:rPr>
        <w:t>”</w:t>
      </w:r>
      <w:r>
        <w:rPr>
          <w:rFonts w:ascii="Arial" w:eastAsia="仿宋_GB2312;仿宋" w:hAnsi="Arial" w:cs="Arial"/>
          <w:bCs/>
          <w:sz w:val="28"/>
          <w:szCs w:val="28"/>
        </w:rPr>
        <w:t>建设，</w:t>
      </w:r>
      <w:r>
        <w:rPr>
          <w:rFonts w:ascii="Arial" w:eastAsia="仿宋_GB2312;仿宋" w:hAnsi="Arial" w:cs="Arial"/>
          <w:bCs/>
          <w:sz w:val="28"/>
          <w:szCs w:val="28"/>
        </w:rPr>
        <w:t>“</w:t>
      </w:r>
      <w:r>
        <w:rPr>
          <w:rFonts w:ascii="Arial" w:eastAsia="仿宋_GB2312;仿宋" w:hAnsi="Arial" w:cs="Arial"/>
          <w:bCs/>
          <w:sz w:val="28"/>
          <w:szCs w:val="28"/>
        </w:rPr>
        <w:t>一企一策</w:t>
      </w:r>
      <w:r>
        <w:rPr>
          <w:rFonts w:ascii="Arial" w:eastAsia="仿宋_GB2312;仿宋" w:hAnsi="Arial" w:cs="Arial"/>
          <w:bCs/>
          <w:sz w:val="28"/>
          <w:szCs w:val="28"/>
        </w:rPr>
        <w:t>”</w:t>
      </w:r>
      <w:r>
        <w:rPr>
          <w:rFonts w:ascii="Arial" w:eastAsia="仿宋_GB2312;仿宋" w:hAnsi="Arial" w:cs="Arial"/>
          <w:bCs/>
          <w:sz w:val="28"/>
          <w:szCs w:val="28"/>
        </w:rPr>
        <w:t>盘活央企存量资源，加速形成更具活力的创新空间。提</w:t>
      </w:r>
      <w:r>
        <w:rPr>
          <w:rFonts w:ascii="Arial" w:eastAsia="Arial" w:hAnsi="Arial" w:cs="Arial"/>
          <w:bCs/>
          <w:sz w:val="28"/>
          <w:szCs w:val="28"/>
        </w:rPr>
        <w:t xml:space="preserve"> </w:t>
      </w:r>
      <w:r>
        <w:rPr>
          <w:rFonts w:ascii="Arial" w:eastAsia="仿宋_GB2312;仿宋" w:hAnsi="Arial" w:cs="Arial"/>
          <w:bCs/>
          <w:sz w:val="28"/>
          <w:szCs w:val="28"/>
        </w:rPr>
        <w:t>升</w:t>
      </w:r>
      <w:r>
        <w:rPr>
          <w:rFonts w:ascii="Arial" w:eastAsia="仿宋_GB2312;仿宋" w:hAnsi="Arial" w:cs="Arial"/>
          <w:bCs/>
          <w:sz w:val="28"/>
          <w:szCs w:val="28"/>
        </w:rPr>
        <w:t>“</w:t>
      </w:r>
      <w:r>
        <w:rPr>
          <w:rFonts w:ascii="Arial" w:eastAsia="仿宋_GB2312;仿宋" w:hAnsi="Arial" w:cs="Arial"/>
          <w:bCs/>
          <w:sz w:val="28"/>
          <w:szCs w:val="28"/>
        </w:rPr>
        <w:t>生命谷</w:t>
      </w:r>
      <w:r>
        <w:rPr>
          <w:rFonts w:ascii="Arial" w:eastAsia="仿宋_GB2312;仿宋" w:hAnsi="Arial" w:cs="Arial"/>
          <w:bCs/>
          <w:sz w:val="28"/>
          <w:szCs w:val="28"/>
        </w:rPr>
        <w:t>”</w:t>
      </w:r>
      <w:r>
        <w:rPr>
          <w:rFonts w:ascii="Arial" w:eastAsia="仿宋_GB2312;仿宋" w:hAnsi="Arial" w:cs="Arial"/>
          <w:bCs/>
          <w:sz w:val="28"/>
          <w:szCs w:val="28"/>
        </w:rPr>
        <w:t>创新能级，推进生命园三期建设，进一步拓展居住、产业和商业配套空间。</w:t>
      </w:r>
    </w:p>
    <w:p w14:paraId="0A972AED" w14:textId="77777777" w:rsidR="00E70101" w:rsidRDefault="0060680B">
      <w:pPr>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纵深推动京津冀协同发展，推动形成更加紧密协同发展格局，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64568868" w14:textId="77777777" w:rsidR="00E70101" w:rsidRDefault="0060680B">
      <w:pPr>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构建特色与活力兼备的现代化经济体系，探索构建新发展格局的有效路径，激发</w:t>
      </w:r>
      <w:r>
        <w:rPr>
          <w:rFonts w:ascii="Arial" w:eastAsia="仿宋_GB2312;仿宋" w:hAnsi="Arial" w:cs="Arial"/>
          <w:bCs/>
          <w:sz w:val="28"/>
          <w:szCs w:val="28"/>
        </w:rPr>
        <w:t>“</w:t>
      </w:r>
      <w:r>
        <w:rPr>
          <w:rFonts w:ascii="Arial" w:eastAsia="仿宋_GB2312;仿宋" w:hAnsi="Arial" w:cs="Arial"/>
          <w:bCs/>
          <w:sz w:val="28"/>
          <w:szCs w:val="28"/>
        </w:rPr>
        <w:t>两区</w:t>
      </w:r>
      <w:r>
        <w:rPr>
          <w:rFonts w:ascii="Arial" w:eastAsia="仿宋_GB2312;仿宋" w:hAnsi="Arial" w:cs="Arial"/>
          <w:bCs/>
          <w:sz w:val="28"/>
          <w:szCs w:val="28"/>
        </w:rPr>
        <w:t>”</w:t>
      </w:r>
      <w:r>
        <w:rPr>
          <w:rFonts w:ascii="Arial" w:eastAsia="仿宋_GB2312;仿宋" w:hAnsi="Arial" w:cs="Arial"/>
          <w:bCs/>
          <w:sz w:val="28"/>
          <w:szCs w:val="28"/>
        </w:rPr>
        <w:t>新活力，全方位打造</w:t>
      </w:r>
      <w:r>
        <w:rPr>
          <w:rFonts w:ascii="Arial" w:eastAsia="仿宋_GB2312;仿宋" w:hAnsi="Arial" w:cs="Arial"/>
          <w:bCs/>
          <w:sz w:val="28"/>
          <w:szCs w:val="28"/>
        </w:rPr>
        <w:t>“</w:t>
      </w:r>
      <w:r>
        <w:rPr>
          <w:rFonts w:ascii="Arial" w:eastAsia="仿宋_GB2312;仿宋" w:hAnsi="Arial" w:cs="Arial"/>
          <w:bCs/>
          <w:sz w:val="28"/>
          <w:szCs w:val="28"/>
        </w:rPr>
        <w:t>产业</w:t>
      </w:r>
      <w:r>
        <w:rPr>
          <w:rFonts w:ascii="Arial" w:eastAsia="仿宋_GB2312;仿宋" w:hAnsi="Arial" w:cs="Arial"/>
          <w:bCs/>
          <w:sz w:val="28"/>
          <w:szCs w:val="28"/>
        </w:rPr>
        <w:t>+</w:t>
      </w:r>
      <w:r>
        <w:rPr>
          <w:rFonts w:ascii="Arial" w:eastAsia="仿宋_GB2312;仿宋" w:hAnsi="Arial" w:cs="Arial"/>
          <w:bCs/>
          <w:sz w:val="28"/>
          <w:szCs w:val="28"/>
        </w:rPr>
        <w:t>园区</w:t>
      </w:r>
      <w:r>
        <w:rPr>
          <w:rFonts w:ascii="Arial" w:eastAsia="仿宋_GB2312;仿宋" w:hAnsi="Arial" w:cs="Arial"/>
          <w:bCs/>
          <w:sz w:val="28"/>
          <w:szCs w:val="28"/>
        </w:rPr>
        <w:t>”</w:t>
      </w:r>
      <w:r>
        <w:rPr>
          <w:rFonts w:ascii="Arial" w:eastAsia="仿宋_GB2312;仿宋" w:hAnsi="Arial" w:cs="Arial"/>
          <w:bCs/>
          <w:sz w:val="28"/>
          <w:szCs w:val="28"/>
        </w:rPr>
        <w:t>协同开放，优化产业空间布局；全力建设好国家服务业扩大开放综合示范区和中国</w:t>
      </w:r>
      <w:r>
        <w:rPr>
          <w:rFonts w:ascii="Arial" w:eastAsia="仿宋_GB2312;仿宋" w:hAnsi="Arial" w:cs="Arial"/>
          <w:bCs/>
          <w:sz w:val="28"/>
          <w:szCs w:val="28"/>
        </w:rPr>
        <w:t>(</w:t>
      </w:r>
      <w:r>
        <w:rPr>
          <w:rFonts w:ascii="Arial" w:eastAsia="仿宋_GB2312;仿宋" w:hAnsi="Arial" w:cs="Arial"/>
          <w:bCs/>
          <w:sz w:val="28"/>
          <w:szCs w:val="28"/>
        </w:rPr>
        <w:t>北京</w:t>
      </w:r>
      <w:r>
        <w:rPr>
          <w:rFonts w:ascii="Arial" w:eastAsia="仿宋_GB2312;仿宋" w:hAnsi="Arial" w:cs="Arial"/>
          <w:bCs/>
          <w:sz w:val="28"/>
          <w:szCs w:val="28"/>
        </w:rPr>
        <w:t>)</w:t>
      </w:r>
      <w:r>
        <w:rPr>
          <w:rFonts w:ascii="Arial" w:eastAsia="仿宋_GB2312;仿宋" w:hAnsi="Arial" w:cs="Arial"/>
          <w:bCs/>
          <w:sz w:val="28"/>
          <w:szCs w:val="28"/>
        </w:rPr>
        <w:t>自由贸易试验区。国家服务业扩大开放综合示范区</w:t>
      </w:r>
      <w:r>
        <w:rPr>
          <w:rFonts w:ascii="Arial" w:eastAsia="Arial" w:hAnsi="Arial" w:cs="Arial"/>
          <w:bCs/>
          <w:sz w:val="28"/>
          <w:szCs w:val="28"/>
        </w:rPr>
        <w:t xml:space="preserve"> </w:t>
      </w:r>
      <w:r>
        <w:rPr>
          <w:rFonts w:ascii="Arial" w:eastAsia="仿宋_GB2312;仿宋" w:hAnsi="Arial" w:cs="Arial"/>
          <w:bCs/>
          <w:sz w:val="28"/>
          <w:szCs w:val="28"/>
        </w:rPr>
        <w:t>突出金融街、丽泽金融商务区、通州文旅区、</w:t>
      </w:r>
      <w:r>
        <w:rPr>
          <w:rFonts w:ascii="Arial" w:eastAsia="仿宋_GB2312;仿宋" w:hAnsi="Arial" w:cs="Arial"/>
          <w:bCs/>
          <w:sz w:val="28"/>
          <w:szCs w:val="28"/>
        </w:rPr>
        <w:t xml:space="preserve">CBD </w:t>
      </w:r>
      <w:r>
        <w:rPr>
          <w:rFonts w:ascii="Arial" w:eastAsia="仿宋_GB2312;仿宋" w:hAnsi="Arial" w:cs="Arial"/>
          <w:bCs/>
          <w:sz w:val="28"/>
          <w:szCs w:val="28"/>
        </w:rPr>
        <w:t>等重点园</w:t>
      </w:r>
      <w:r>
        <w:rPr>
          <w:rFonts w:ascii="Arial" w:eastAsia="Arial" w:hAnsi="Arial" w:cs="Arial"/>
          <w:bCs/>
          <w:sz w:val="28"/>
          <w:szCs w:val="28"/>
        </w:rPr>
        <w:t xml:space="preserve"> </w:t>
      </w:r>
      <w:r>
        <w:rPr>
          <w:rFonts w:ascii="Arial" w:eastAsia="仿宋_GB2312;仿宋" w:hAnsi="Arial" w:cs="Arial"/>
          <w:bCs/>
          <w:sz w:val="28"/>
          <w:szCs w:val="28"/>
        </w:rPr>
        <w:t>区建设，与自贸区三个片区衔接联动。</w:t>
      </w:r>
    </w:p>
    <w:p w14:paraId="66BBF477" w14:textId="77777777" w:rsidR="00E70101" w:rsidRDefault="0060680B">
      <w:pPr>
        <w:widowControl/>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5.</w:t>
      </w:r>
      <w:r>
        <w:rPr>
          <w:rFonts w:ascii="Arial" w:eastAsia="仿宋_GB2312;仿宋" w:hAnsi="Arial" w:cs="Arial"/>
          <w:bCs/>
          <w:sz w:val="28"/>
          <w:szCs w:val="28"/>
        </w:rPr>
        <w:t>城市经济发展运行状况</w:t>
      </w:r>
    </w:p>
    <w:p w14:paraId="539E6EA4" w14:textId="77777777" w:rsidR="00E70101" w:rsidRDefault="0060680B">
      <w:pPr>
        <w:overflowPunct w:val="0"/>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根据北京市统计局地区生产总值统一核算结果，</w:t>
      </w:r>
      <w:r>
        <w:rPr>
          <w:rFonts w:ascii="Arial" w:eastAsia="仿宋_GB2312;仿宋" w:hAnsi="Arial" w:cs="Arial"/>
          <w:bCs/>
          <w:color w:val="000000"/>
          <w:sz w:val="28"/>
          <w:szCs w:val="28"/>
        </w:rPr>
        <w:t>2024</w:t>
      </w:r>
      <w:r>
        <w:rPr>
          <w:rFonts w:ascii="Arial" w:eastAsia="仿宋_GB2312;仿宋" w:hAnsi="Arial" w:cs="Arial"/>
          <w:bCs/>
          <w:color w:val="000000"/>
          <w:sz w:val="28"/>
          <w:szCs w:val="28"/>
        </w:rPr>
        <w:t>年一季度，北京市实现地区生产总值</w:t>
      </w:r>
      <w:r>
        <w:rPr>
          <w:rFonts w:ascii="Arial" w:eastAsia="仿宋_GB2312;仿宋" w:hAnsi="Arial" w:cs="Arial"/>
          <w:bCs/>
          <w:color w:val="000000"/>
          <w:sz w:val="28"/>
          <w:szCs w:val="28"/>
        </w:rPr>
        <w:t>10581.4</w:t>
      </w:r>
      <w:r>
        <w:rPr>
          <w:rFonts w:ascii="Arial" w:eastAsia="仿宋_GB2312;仿宋" w:hAnsi="Arial" w:cs="Arial"/>
          <w:bCs/>
          <w:color w:val="000000"/>
          <w:sz w:val="28"/>
          <w:szCs w:val="28"/>
        </w:rPr>
        <w:t>亿元，按不变价格计算，同比增长</w:t>
      </w:r>
      <w:r>
        <w:rPr>
          <w:rFonts w:ascii="Arial" w:eastAsia="仿宋_GB2312;仿宋" w:hAnsi="Arial" w:cs="Arial"/>
          <w:bCs/>
          <w:color w:val="000000"/>
          <w:sz w:val="28"/>
          <w:szCs w:val="28"/>
        </w:rPr>
        <w:t>6.0%</w:t>
      </w:r>
      <w:r>
        <w:rPr>
          <w:rFonts w:ascii="Arial" w:eastAsia="仿宋_GB2312;仿宋" w:hAnsi="Arial" w:cs="Arial"/>
          <w:bCs/>
          <w:color w:val="000000"/>
          <w:sz w:val="28"/>
          <w:szCs w:val="28"/>
        </w:rPr>
        <w:t>，高于上年全年增速</w:t>
      </w:r>
      <w:r>
        <w:rPr>
          <w:rFonts w:ascii="Arial" w:eastAsia="仿宋_GB2312;仿宋" w:hAnsi="Arial" w:cs="Arial"/>
          <w:bCs/>
          <w:color w:val="000000"/>
          <w:sz w:val="28"/>
          <w:szCs w:val="28"/>
        </w:rPr>
        <w:t>0.8</w:t>
      </w:r>
      <w:r>
        <w:rPr>
          <w:rFonts w:ascii="Arial" w:eastAsia="仿宋_GB2312;仿宋" w:hAnsi="Arial" w:cs="Arial"/>
          <w:bCs/>
          <w:color w:val="000000"/>
          <w:sz w:val="28"/>
          <w:szCs w:val="28"/>
        </w:rPr>
        <w:t>个百分点。分产业看，第一产业实现增加值</w:t>
      </w:r>
      <w:r>
        <w:rPr>
          <w:rFonts w:ascii="Arial" w:eastAsia="仿宋_GB2312;仿宋" w:hAnsi="Arial" w:cs="Arial"/>
          <w:bCs/>
          <w:color w:val="000000"/>
          <w:sz w:val="28"/>
          <w:szCs w:val="28"/>
        </w:rPr>
        <w:t>15.0</w:t>
      </w:r>
      <w:r>
        <w:rPr>
          <w:rFonts w:ascii="Arial" w:eastAsia="仿宋_GB2312;仿宋" w:hAnsi="Arial" w:cs="Arial"/>
          <w:bCs/>
          <w:color w:val="000000"/>
          <w:sz w:val="28"/>
          <w:szCs w:val="28"/>
        </w:rPr>
        <w:t>亿元，增长</w:t>
      </w:r>
      <w:r>
        <w:rPr>
          <w:rFonts w:ascii="Arial" w:eastAsia="仿宋_GB2312;仿宋" w:hAnsi="Arial" w:cs="Arial"/>
          <w:bCs/>
          <w:color w:val="000000"/>
          <w:sz w:val="28"/>
          <w:szCs w:val="28"/>
        </w:rPr>
        <w:t>3.2%</w:t>
      </w:r>
      <w:r>
        <w:rPr>
          <w:rFonts w:ascii="Arial" w:eastAsia="仿宋_GB2312;仿宋" w:hAnsi="Arial" w:cs="Arial"/>
          <w:bCs/>
          <w:color w:val="000000"/>
          <w:sz w:val="28"/>
          <w:szCs w:val="28"/>
        </w:rPr>
        <w:t>；第二产业实现增加值</w:t>
      </w:r>
      <w:r>
        <w:rPr>
          <w:rFonts w:ascii="Arial" w:eastAsia="仿宋_GB2312;仿宋" w:hAnsi="Arial" w:cs="Arial"/>
          <w:bCs/>
          <w:color w:val="000000"/>
          <w:sz w:val="28"/>
          <w:szCs w:val="28"/>
        </w:rPr>
        <w:t>1310.4</w:t>
      </w:r>
      <w:r>
        <w:rPr>
          <w:rFonts w:ascii="Arial" w:eastAsia="仿宋_GB2312;仿宋" w:hAnsi="Arial" w:cs="Arial"/>
          <w:bCs/>
          <w:color w:val="000000"/>
          <w:sz w:val="28"/>
          <w:szCs w:val="28"/>
        </w:rPr>
        <w:t>亿元，增长</w:t>
      </w:r>
      <w:r>
        <w:rPr>
          <w:rFonts w:ascii="Arial" w:eastAsia="仿宋_GB2312;仿宋" w:hAnsi="Arial" w:cs="Arial"/>
          <w:bCs/>
          <w:color w:val="000000"/>
          <w:sz w:val="28"/>
          <w:szCs w:val="28"/>
        </w:rPr>
        <w:t>7.3%</w:t>
      </w:r>
      <w:r>
        <w:rPr>
          <w:rFonts w:ascii="Arial" w:eastAsia="仿宋_GB2312;仿宋" w:hAnsi="Arial" w:cs="Arial"/>
          <w:bCs/>
          <w:color w:val="000000"/>
          <w:sz w:val="28"/>
          <w:szCs w:val="28"/>
        </w:rPr>
        <w:t>；第三产业实现增加值</w:t>
      </w:r>
      <w:r>
        <w:rPr>
          <w:rFonts w:ascii="Arial" w:eastAsia="仿宋_GB2312;仿宋" w:hAnsi="Arial" w:cs="Arial"/>
          <w:bCs/>
          <w:color w:val="000000"/>
          <w:sz w:val="28"/>
          <w:szCs w:val="28"/>
        </w:rPr>
        <w:t>9256.0</w:t>
      </w:r>
      <w:r>
        <w:rPr>
          <w:rFonts w:ascii="Arial" w:eastAsia="仿宋_GB2312;仿宋" w:hAnsi="Arial" w:cs="Arial"/>
          <w:bCs/>
          <w:color w:val="000000"/>
          <w:sz w:val="28"/>
          <w:szCs w:val="28"/>
        </w:rPr>
        <w:t>亿元，增长</w:t>
      </w:r>
      <w:r>
        <w:rPr>
          <w:rFonts w:ascii="Arial" w:eastAsia="仿宋_GB2312;仿宋" w:hAnsi="Arial" w:cs="Arial"/>
          <w:bCs/>
          <w:color w:val="000000"/>
          <w:sz w:val="28"/>
          <w:szCs w:val="28"/>
        </w:rPr>
        <w:t>5.8%</w:t>
      </w:r>
      <w:r>
        <w:rPr>
          <w:rFonts w:ascii="Arial" w:eastAsia="仿宋_GB2312;仿宋" w:hAnsi="Arial" w:cs="Arial"/>
          <w:bCs/>
          <w:color w:val="000000"/>
          <w:sz w:val="28"/>
          <w:szCs w:val="28"/>
        </w:rPr>
        <w:t>。</w:t>
      </w:r>
    </w:p>
    <w:p w14:paraId="00077BA0" w14:textId="77777777" w:rsidR="00E70101" w:rsidRDefault="0060680B">
      <w:pPr>
        <w:overflowPunct w:val="0"/>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w:t>
      </w:r>
      <w:r>
        <w:rPr>
          <w:rFonts w:ascii="Arial" w:eastAsia="仿宋_GB2312;仿宋" w:hAnsi="Arial" w:cs="Arial"/>
          <w:bCs/>
          <w:color w:val="000000"/>
          <w:sz w:val="28"/>
          <w:szCs w:val="28"/>
        </w:rPr>
        <w:t>1</w:t>
      </w:r>
      <w:r>
        <w:rPr>
          <w:rFonts w:ascii="Arial" w:eastAsia="仿宋_GB2312;仿宋" w:hAnsi="Arial" w:cs="Arial"/>
          <w:bCs/>
          <w:color w:val="000000"/>
          <w:sz w:val="28"/>
          <w:szCs w:val="28"/>
        </w:rPr>
        <w:t>）</w:t>
      </w:r>
      <w:r>
        <w:rPr>
          <w:rFonts w:ascii="Arial" w:eastAsia="仿宋_GB2312;仿宋" w:hAnsi="Arial" w:cs="Arial"/>
          <w:color w:val="000000"/>
          <w:sz w:val="28"/>
          <w:szCs w:val="28"/>
        </w:rPr>
        <w:t>农业生产实现增长，乡村休闲旅游继续恢复</w:t>
      </w:r>
    </w:p>
    <w:p w14:paraId="3A1E47C5" w14:textId="77777777" w:rsidR="00E70101" w:rsidRDefault="0060680B">
      <w:pPr>
        <w:overflowPunct w:val="0"/>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一季度，北京市实现农林牧渔业总产值</w:t>
      </w:r>
      <w:r>
        <w:rPr>
          <w:rFonts w:ascii="Arial" w:eastAsia="仿宋_GB2312;仿宋" w:hAnsi="Arial" w:cs="Arial"/>
          <w:bCs/>
          <w:color w:val="000000"/>
          <w:sz w:val="28"/>
          <w:szCs w:val="28"/>
        </w:rPr>
        <w:t>38.5</w:t>
      </w:r>
      <w:r>
        <w:rPr>
          <w:rFonts w:ascii="Arial" w:eastAsia="仿宋_GB2312;仿宋" w:hAnsi="Arial" w:cs="Arial"/>
          <w:bCs/>
          <w:color w:val="000000"/>
          <w:sz w:val="28"/>
          <w:szCs w:val="28"/>
        </w:rPr>
        <w:t>亿元，按可比价格计算，同比增长</w:t>
      </w:r>
      <w:r>
        <w:rPr>
          <w:rFonts w:ascii="Arial" w:eastAsia="仿宋_GB2312;仿宋" w:hAnsi="Arial" w:cs="Arial"/>
          <w:bCs/>
          <w:color w:val="000000"/>
          <w:sz w:val="28"/>
          <w:szCs w:val="28"/>
        </w:rPr>
        <w:t>3.0%</w:t>
      </w:r>
      <w:r>
        <w:rPr>
          <w:rFonts w:ascii="Arial" w:eastAsia="仿宋_GB2312;仿宋" w:hAnsi="Arial" w:cs="Arial"/>
          <w:bCs/>
          <w:color w:val="000000"/>
          <w:sz w:val="28"/>
          <w:szCs w:val="28"/>
        </w:rPr>
        <w:t>。其中，实现农业（种植业）产值</w:t>
      </w:r>
      <w:r>
        <w:rPr>
          <w:rFonts w:ascii="Arial" w:eastAsia="仿宋_GB2312;仿宋" w:hAnsi="Arial" w:cs="Arial"/>
          <w:bCs/>
          <w:color w:val="000000"/>
          <w:sz w:val="28"/>
          <w:szCs w:val="28"/>
        </w:rPr>
        <w:t>15.2</w:t>
      </w:r>
      <w:r>
        <w:rPr>
          <w:rFonts w:ascii="Arial" w:eastAsia="仿宋_GB2312;仿宋" w:hAnsi="Arial" w:cs="Arial"/>
          <w:bCs/>
          <w:color w:val="000000"/>
          <w:sz w:val="28"/>
          <w:szCs w:val="28"/>
        </w:rPr>
        <w:t>亿元，增长</w:t>
      </w:r>
      <w:r>
        <w:rPr>
          <w:rFonts w:ascii="Arial" w:eastAsia="仿宋_GB2312;仿宋" w:hAnsi="Arial" w:cs="Arial"/>
          <w:bCs/>
          <w:color w:val="000000"/>
          <w:sz w:val="28"/>
          <w:szCs w:val="28"/>
        </w:rPr>
        <w:t>2.7%</w:t>
      </w:r>
      <w:r>
        <w:rPr>
          <w:rFonts w:ascii="Arial" w:eastAsia="仿宋_GB2312;仿宋" w:hAnsi="Arial" w:cs="Arial"/>
          <w:bCs/>
          <w:color w:val="000000"/>
          <w:sz w:val="28"/>
          <w:szCs w:val="28"/>
        </w:rPr>
        <w:t>，稳步推进春耕备耕，冬小麦苗情总体良好，主要粮食作物种植意向持续提升，瓜果类播种面积和产量分别增长</w:t>
      </w:r>
      <w:r>
        <w:rPr>
          <w:rFonts w:ascii="Arial" w:eastAsia="仿宋_GB2312;仿宋" w:hAnsi="Arial" w:cs="Arial"/>
          <w:bCs/>
          <w:color w:val="000000"/>
          <w:sz w:val="28"/>
          <w:szCs w:val="28"/>
        </w:rPr>
        <w:t>9.7%</w:t>
      </w:r>
      <w:r>
        <w:rPr>
          <w:rFonts w:ascii="Arial" w:eastAsia="仿宋_GB2312;仿宋" w:hAnsi="Arial" w:cs="Arial"/>
          <w:bCs/>
          <w:color w:val="000000"/>
          <w:sz w:val="28"/>
          <w:szCs w:val="28"/>
        </w:rPr>
        <w:t>和</w:t>
      </w:r>
      <w:r>
        <w:rPr>
          <w:rFonts w:ascii="Arial" w:eastAsia="仿宋_GB2312;仿宋" w:hAnsi="Arial" w:cs="Arial"/>
          <w:bCs/>
          <w:color w:val="000000"/>
          <w:sz w:val="28"/>
          <w:szCs w:val="28"/>
        </w:rPr>
        <w:t>13.7%</w:t>
      </w:r>
      <w:r>
        <w:rPr>
          <w:rFonts w:ascii="Arial" w:eastAsia="仿宋_GB2312;仿宋" w:hAnsi="Arial" w:cs="Arial"/>
          <w:bCs/>
          <w:color w:val="000000"/>
          <w:sz w:val="28"/>
          <w:szCs w:val="28"/>
        </w:rPr>
        <w:t>；受禽蛋生产带动，实现牧业产值</w:t>
      </w:r>
      <w:r>
        <w:rPr>
          <w:rFonts w:ascii="Arial" w:eastAsia="仿宋_GB2312;仿宋" w:hAnsi="Arial" w:cs="Arial"/>
          <w:bCs/>
          <w:color w:val="000000"/>
          <w:sz w:val="28"/>
          <w:szCs w:val="28"/>
        </w:rPr>
        <w:t>10.3</w:t>
      </w:r>
      <w:r>
        <w:rPr>
          <w:rFonts w:ascii="Arial" w:eastAsia="仿宋_GB2312;仿宋" w:hAnsi="Arial" w:cs="Arial"/>
          <w:bCs/>
          <w:color w:val="000000"/>
          <w:sz w:val="28"/>
          <w:szCs w:val="28"/>
        </w:rPr>
        <w:t>亿元，增长</w:t>
      </w:r>
      <w:r>
        <w:rPr>
          <w:rFonts w:ascii="Arial" w:eastAsia="仿宋_GB2312;仿宋" w:hAnsi="Arial" w:cs="Arial"/>
          <w:bCs/>
          <w:color w:val="000000"/>
          <w:sz w:val="28"/>
          <w:szCs w:val="28"/>
        </w:rPr>
        <w:t>10.7%</w:t>
      </w:r>
      <w:r>
        <w:rPr>
          <w:rFonts w:ascii="Arial" w:eastAsia="仿宋_GB2312;仿宋" w:hAnsi="Arial" w:cs="Arial"/>
          <w:bCs/>
          <w:color w:val="000000"/>
          <w:sz w:val="28"/>
          <w:szCs w:val="28"/>
        </w:rPr>
        <w:t>。乡村休闲旅游接待游客</w:t>
      </w:r>
      <w:r>
        <w:rPr>
          <w:rFonts w:ascii="Arial" w:eastAsia="仿宋_GB2312;仿宋" w:hAnsi="Arial" w:cs="Arial"/>
          <w:bCs/>
          <w:color w:val="000000"/>
          <w:sz w:val="28"/>
          <w:szCs w:val="28"/>
        </w:rPr>
        <w:t>381.1</w:t>
      </w:r>
      <w:r>
        <w:rPr>
          <w:rFonts w:ascii="Arial" w:eastAsia="仿宋_GB2312;仿宋" w:hAnsi="Arial" w:cs="Arial"/>
          <w:bCs/>
          <w:color w:val="000000"/>
          <w:sz w:val="28"/>
          <w:szCs w:val="28"/>
        </w:rPr>
        <w:t>万人次，实现收入</w:t>
      </w:r>
      <w:r>
        <w:rPr>
          <w:rFonts w:ascii="Arial" w:eastAsia="仿宋_GB2312;仿宋" w:hAnsi="Arial" w:cs="Arial"/>
          <w:bCs/>
          <w:color w:val="000000"/>
          <w:sz w:val="28"/>
          <w:szCs w:val="28"/>
        </w:rPr>
        <w:t>7.1</w:t>
      </w:r>
      <w:r>
        <w:rPr>
          <w:rFonts w:ascii="Arial" w:eastAsia="仿宋_GB2312;仿宋" w:hAnsi="Arial" w:cs="Arial"/>
          <w:bCs/>
          <w:color w:val="000000"/>
          <w:sz w:val="28"/>
          <w:szCs w:val="28"/>
        </w:rPr>
        <w:t>亿元，分别增长</w:t>
      </w:r>
      <w:r>
        <w:rPr>
          <w:rFonts w:ascii="Arial" w:eastAsia="仿宋_GB2312;仿宋" w:hAnsi="Arial" w:cs="Arial"/>
          <w:bCs/>
          <w:color w:val="000000"/>
          <w:sz w:val="28"/>
          <w:szCs w:val="28"/>
        </w:rPr>
        <w:t>13.6%</w:t>
      </w:r>
      <w:r>
        <w:rPr>
          <w:rFonts w:ascii="Arial" w:eastAsia="仿宋_GB2312;仿宋" w:hAnsi="Arial" w:cs="Arial"/>
          <w:bCs/>
          <w:color w:val="000000"/>
          <w:sz w:val="28"/>
          <w:szCs w:val="28"/>
        </w:rPr>
        <w:t>和</w:t>
      </w:r>
      <w:r>
        <w:rPr>
          <w:rFonts w:ascii="Arial" w:eastAsia="仿宋_GB2312;仿宋" w:hAnsi="Arial" w:cs="Arial"/>
          <w:bCs/>
          <w:color w:val="000000"/>
          <w:sz w:val="28"/>
          <w:szCs w:val="28"/>
        </w:rPr>
        <w:t>0.8%</w:t>
      </w:r>
      <w:r>
        <w:rPr>
          <w:rFonts w:ascii="Arial" w:eastAsia="仿宋_GB2312;仿宋" w:hAnsi="Arial" w:cs="Arial"/>
          <w:bCs/>
          <w:color w:val="000000"/>
          <w:sz w:val="28"/>
          <w:szCs w:val="28"/>
        </w:rPr>
        <w:t>。</w:t>
      </w:r>
    </w:p>
    <w:p w14:paraId="36B43592" w14:textId="77777777" w:rsidR="00E70101" w:rsidRDefault="0060680B">
      <w:pPr>
        <w:overflowPunct w:val="0"/>
        <w:spacing w:line="360" w:lineRule="auto"/>
        <w:ind w:firstLine="560"/>
        <w:jc w:val="both"/>
      </w:pPr>
      <w:r>
        <w:rPr>
          <w:rFonts w:ascii="Arial" w:eastAsia="仿宋_GB2312;仿宋" w:hAnsi="Arial" w:cs="Arial"/>
          <w:bCs/>
          <w:color w:val="000000"/>
          <w:sz w:val="28"/>
          <w:szCs w:val="28"/>
        </w:rPr>
        <w:t>（</w:t>
      </w:r>
      <w:r>
        <w:rPr>
          <w:rFonts w:ascii="Arial" w:eastAsia="仿宋_GB2312;仿宋" w:hAnsi="Arial" w:cs="Arial"/>
          <w:bCs/>
          <w:color w:val="000000"/>
          <w:sz w:val="28"/>
          <w:szCs w:val="28"/>
        </w:rPr>
        <w:t>2</w:t>
      </w:r>
      <w:r>
        <w:rPr>
          <w:rFonts w:ascii="Arial" w:eastAsia="仿宋_GB2312;仿宋" w:hAnsi="Arial" w:cs="Arial"/>
          <w:bCs/>
          <w:color w:val="000000"/>
          <w:sz w:val="28"/>
          <w:szCs w:val="28"/>
        </w:rPr>
        <w:t>）</w:t>
      </w:r>
      <w:r>
        <w:rPr>
          <w:rFonts w:ascii="Arial" w:eastAsia="仿宋_GB2312;仿宋" w:hAnsi="Arial" w:cs="Arial"/>
          <w:color w:val="000000"/>
          <w:sz w:val="28"/>
          <w:szCs w:val="28"/>
        </w:rPr>
        <w:t>工业生产加快，重点行业增</w:t>
      </w:r>
      <w:r>
        <w:rPr>
          <w:rFonts w:ascii="Arial" w:eastAsia="仿宋_GB2312;仿宋" w:hAnsi="Arial" w:cs="Arial"/>
          <w:bCs/>
          <w:color w:val="000000"/>
          <w:sz w:val="28"/>
          <w:szCs w:val="28"/>
        </w:rPr>
        <w:t>势较好</w:t>
      </w:r>
    </w:p>
    <w:p w14:paraId="3A7803D2" w14:textId="77777777" w:rsidR="00E70101" w:rsidRDefault="0060680B">
      <w:pPr>
        <w:overflowPunct w:val="0"/>
        <w:spacing w:line="360" w:lineRule="auto"/>
        <w:ind w:firstLine="560"/>
        <w:jc w:val="both"/>
      </w:pPr>
      <w:r>
        <w:rPr>
          <w:rFonts w:ascii="Arial" w:eastAsia="仿宋_GB2312;仿宋" w:hAnsi="Arial" w:cs="Arial"/>
          <w:color w:val="000000"/>
          <w:sz w:val="28"/>
          <w:szCs w:val="28"/>
        </w:rPr>
        <w:t>一季度，</w:t>
      </w:r>
      <w:r>
        <w:rPr>
          <w:rFonts w:ascii="Arial" w:eastAsia="仿宋_GB2312;仿宋" w:hAnsi="Arial" w:cs="Arial"/>
          <w:bCs/>
          <w:color w:val="000000"/>
          <w:sz w:val="28"/>
          <w:szCs w:val="28"/>
        </w:rPr>
        <w:t>北京市</w:t>
      </w:r>
      <w:r>
        <w:rPr>
          <w:rFonts w:ascii="Arial" w:eastAsia="仿宋_GB2312;仿宋" w:hAnsi="Arial" w:cs="Arial"/>
          <w:color w:val="000000"/>
          <w:sz w:val="28"/>
          <w:szCs w:val="28"/>
        </w:rPr>
        <w:t>规模以上工业增加值按可比价格计算，同比增长</w:t>
      </w:r>
      <w:r>
        <w:rPr>
          <w:rFonts w:ascii="Arial" w:eastAsia="仿宋_GB2312;仿宋" w:hAnsi="Arial" w:cs="Arial"/>
          <w:color w:val="000000"/>
          <w:sz w:val="28"/>
          <w:szCs w:val="28"/>
        </w:rPr>
        <w:t>7.5%</w:t>
      </w:r>
      <w:r>
        <w:rPr>
          <w:rFonts w:ascii="Arial" w:eastAsia="仿宋_GB2312;仿宋" w:hAnsi="Arial" w:cs="Arial"/>
          <w:color w:val="000000"/>
          <w:sz w:val="28"/>
          <w:szCs w:val="28"/>
        </w:rPr>
        <w:t>，比</w:t>
      </w:r>
      <w:r>
        <w:rPr>
          <w:rFonts w:ascii="Arial" w:eastAsia="仿宋_GB2312;仿宋" w:hAnsi="Arial" w:cs="Arial"/>
          <w:color w:val="000000"/>
          <w:sz w:val="28"/>
          <w:szCs w:val="28"/>
        </w:rPr>
        <w:t>1-2</w:t>
      </w:r>
      <w:r>
        <w:rPr>
          <w:rFonts w:ascii="Arial" w:eastAsia="仿宋_GB2312;仿宋" w:hAnsi="Arial" w:cs="Arial"/>
          <w:color w:val="000000"/>
          <w:sz w:val="28"/>
          <w:szCs w:val="28"/>
        </w:rPr>
        <w:t>月提高</w:t>
      </w:r>
      <w:r>
        <w:rPr>
          <w:rFonts w:ascii="Arial" w:eastAsia="仿宋_GB2312;仿宋" w:hAnsi="Arial" w:cs="Arial"/>
          <w:color w:val="000000"/>
          <w:sz w:val="28"/>
          <w:szCs w:val="28"/>
        </w:rPr>
        <w:t>1.1</w:t>
      </w:r>
      <w:r>
        <w:rPr>
          <w:rFonts w:ascii="Arial" w:eastAsia="仿宋_GB2312;仿宋" w:hAnsi="Arial" w:cs="Arial"/>
          <w:color w:val="000000"/>
          <w:sz w:val="28"/>
          <w:szCs w:val="28"/>
        </w:rPr>
        <w:t>个百分点。重点行业中，计算机、通信和其他电子设备制造业增长</w:t>
      </w:r>
      <w:r>
        <w:rPr>
          <w:rFonts w:ascii="Arial" w:eastAsia="仿宋_GB2312;仿宋" w:hAnsi="Arial" w:cs="Arial"/>
          <w:color w:val="000000"/>
          <w:sz w:val="28"/>
          <w:szCs w:val="28"/>
        </w:rPr>
        <w:t>19.0%</w:t>
      </w:r>
      <w:r>
        <w:rPr>
          <w:rFonts w:ascii="Arial" w:eastAsia="仿宋_GB2312;仿宋" w:hAnsi="Arial" w:cs="Arial"/>
          <w:color w:val="000000"/>
          <w:sz w:val="28"/>
          <w:szCs w:val="28"/>
        </w:rPr>
        <w:t>，汽车制造业增长</w:t>
      </w:r>
      <w:r>
        <w:rPr>
          <w:rFonts w:ascii="Arial" w:eastAsia="仿宋_GB2312;仿宋" w:hAnsi="Arial" w:cs="Arial"/>
          <w:color w:val="000000"/>
          <w:sz w:val="28"/>
          <w:szCs w:val="28"/>
        </w:rPr>
        <w:t>15.2%</w:t>
      </w:r>
      <w:r>
        <w:rPr>
          <w:rFonts w:ascii="Arial" w:eastAsia="仿宋_GB2312;仿宋" w:hAnsi="Arial" w:cs="Arial"/>
          <w:color w:val="000000"/>
          <w:sz w:val="28"/>
          <w:szCs w:val="28"/>
        </w:rPr>
        <w:t>，电力、热力生产和供应业增长</w:t>
      </w:r>
      <w:r>
        <w:rPr>
          <w:rFonts w:ascii="Arial" w:eastAsia="仿宋_GB2312;仿宋" w:hAnsi="Arial" w:cs="Arial"/>
          <w:color w:val="000000"/>
          <w:sz w:val="28"/>
          <w:szCs w:val="28"/>
        </w:rPr>
        <w:t>10.6%</w:t>
      </w:r>
      <w:r>
        <w:rPr>
          <w:rFonts w:ascii="Arial" w:eastAsia="仿宋_GB2312;仿宋" w:hAnsi="Arial" w:cs="Arial"/>
          <w:color w:val="000000"/>
          <w:sz w:val="28"/>
          <w:szCs w:val="28"/>
        </w:rPr>
        <w:t>，医药制造业扭转下降态势，同比持平。新兴领域表现活跃，规模以上工业战略性新兴产业增加值增长</w:t>
      </w:r>
      <w:r>
        <w:rPr>
          <w:rFonts w:ascii="Arial" w:eastAsia="仿宋_GB2312;仿宋" w:hAnsi="Arial" w:cs="Arial"/>
          <w:color w:val="000000"/>
          <w:sz w:val="28"/>
          <w:szCs w:val="28"/>
        </w:rPr>
        <w:t>12.0%</w:t>
      </w:r>
      <w:r>
        <w:rPr>
          <w:rFonts w:ascii="Arial" w:eastAsia="仿宋_GB2312;仿宋" w:hAnsi="Arial" w:cs="Arial"/>
          <w:color w:val="000000"/>
          <w:sz w:val="28"/>
          <w:szCs w:val="28"/>
        </w:rPr>
        <w:t>，新能源汽车、智能电视、工业机器人、集成电路产量分别增长</w:t>
      </w:r>
      <w:r>
        <w:rPr>
          <w:rFonts w:ascii="Arial" w:eastAsia="仿宋_GB2312;仿宋" w:hAnsi="Arial" w:cs="Arial"/>
          <w:color w:val="000000"/>
          <w:sz w:val="28"/>
          <w:szCs w:val="28"/>
        </w:rPr>
        <w:t>2.4</w:t>
      </w:r>
      <w:r>
        <w:rPr>
          <w:rFonts w:ascii="Arial" w:eastAsia="仿宋_GB2312;仿宋" w:hAnsi="Arial" w:cs="Arial"/>
          <w:color w:val="000000"/>
          <w:sz w:val="28"/>
          <w:szCs w:val="28"/>
        </w:rPr>
        <w:t>倍、</w:t>
      </w:r>
      <w:r>
        <w:rPr>
          <w:rFonts w:ascii="Arial" w:eastAsia="仿宋_GB2312;仿宋" w:hAnsi="Arial" w:cs="Arial"/>
          <w:color w:val="000000"/>
          <w:sz w:val="28"/>
          <w:szCs w:val="28"/>
        </w:rPr>
        <w:t>2</w:t>
      </w:r>
      <w:r>
        <w:rPr>
          <w:rFonts w:ascii="Arial" w:eastAsia="仿宋_GB2312;仿宋" w:hAnsi="Arial" w:cs="Arial"/>
          <w:color w:val="000000"/>
          <w:sz w:val="28"/>
          <w:szCs w:val="28"/>
        </w:rPr>
        <w:t>倍、</w:t>
      </w:r>
      <w:r>
        <w:rPr>
          <w:rFonts w:ascii="Arial" w:eastAsia="仿宋_GB2312;仿宋" w:hAnsi="Arial" w:cs="Arial"/>
          <w:color w:val="000000"/>
          <w:sz w:val="28"/>
          <w:szCs w:val="28"/>
        </w:rPr>
        <w:t>1.6</w:t>
      </w:r>
      <w:r>
        <w:rPr>
          <w:rFonts w:ascii="Arial" w:eastAsia="仿宋_GB2312;仿宋" w:hAnsi="Arial" w:cs="Arial"/>
          <w:color w:val="000000"/>
          <w:sz w:val="28"/>
          <w:szCs w:val="28"/>
        </w:rPr>
        <w:t>倍和</w:t>
      </w:r>
      <w:r>
        <w:rPr>
          <w:rFonts w:ascii="Arial" w:eastAsia="仿宋_GB2312;仿宋" w:hAnsi="Arial" w:cs="Arial"/>
          <w:color w:val="000000"/>
          <w:sz w:val="28"/>
          <w:szCs w:val="28"/>
        </w:rPr>
        <w:t>22.6%</w:t>
      </w:r>
      <w:r>
        <w:rPr>
          <w:rFonts w:ascii="Arial" w:eastAsia="仿宋_GB2312;仿宋" w:hAnsi="Arial" w:cs="Arial"/>
          <w:color w:val="000000"/>
          <w:sz w:val="28"/>
          <w:szCs w:val="28"/>
        </w:rPr>
        <w:t>。</w:t>
      </w:r>
    </w:p>
    <w:p w14:paraId="29376AB4" w14:textId="77777777" w:rsidR="00E70101" w:rsidRDefault="0060680B">
      <w:pPr>
        <w:overflowPunct w:val="0"/>
        <w:spacing w:line="360" w:lineRule="auto"/>
        <w:ind w:firstLine="560"/>
        <w:jc w:val="both"/>
        <w:rPr>
          <w:rFonts w:ascii="Arial" w:eastAsia="仿宋_GB2312;仿宋" w:hAnsi="Arial" w:cs="Arial"/>
          <w:color w:val="000000"/>
          <w:sz w:val="28"/>
          <w:szCs w:val="28"/>
        </w:rPr>
      </w:pPr>
      <w:r>
        <w:rPr>
          <w:rFonts w:ascii="Arial" w:eastAsia="仿宋_GB2312;仿宋" w:hAnsi="Arial" w:cs="Arial"/>
          <w:color w:val="000000"/>
          <w:sz w:val="28"/>
          <w:szCs w:val="28"/>
        </w:rPr>
        <w:t>（</w:t>
      </w:r>
      <w:r>
        <w:rPr>
          <w:rFonts w:ascii="Arial" w:eastAsia="仿宋_GB2312;仿宋" w:hAnsi="Arial" w:cs="Arial"/>
          <w:color w:val="000000"/>
          <w:sz w:val="28"/>
          <w:szCs w:val="28"/>
        </w:rPr>
        <w:t>3</w:t>
      </w:r>
      <w:r>
        <w:rPr>
          <w:rFonts w:ascii="Arial" w:eastAsia="仿宋_GB2312;仿宋" w:hAnsi="Arial" w:cs="Arial"/>
          <w:color w:val="000000"/>
          <w:sz w:val="28"/>
          <w:szCs w:val="28"/>
        </w:rPr>
        <w:t>）服务业总体平稳，优势行业带动突出</w:t>
      </w:r>
    </w:p>
    <w:p w14:paraId="4E0545F2" w14:textId="77777777" w:rsidR="00E70101" w:rsidRDefault="0060680B">
      <w:pPr>
        <w:overflowPunct w:val="0"/>
        <w:spacing w:line="360" w:lineRule="auto"/>
        <w:ind w:firstLine="560"/>
        <w:jc w:val="both"/>
      </w:pPr>
      <w:r>
        <w:rPr>
          <w:rFonts w:ascii="Arial" w:eastAsia="仿宋_GB2312;仿宋" w:hAnsi="Arial" w:cs="Arial"/>
          <w:color w:val="000000"/>
          <w:sz w:val="28"/>
          <w:szCs w:val="28"/>
        </w:rPr>
        <w:t>一季度，</w:t>
      </w:r>
      <w:r>
        <w:rPr>
          <w:rFonts w:ascii="Arial" w:eastAsia="仿宋_GB2312;仿宋" w:hAnsi="Arial" w:cs="Arial"/>
          <w:bCs/>
          <w:color w:val="000000"/>
          <w:sz w:val="28"/>
          <w:szCs w:val="28"/>
        </w:rPr>
        <w:t>北京市</w:t>
      </w:r>
      <w:r>
        <w:rPr>
          <w:rFonts w:ascii="Arial" w:eastAsia="仿宋_GB2312;仿宋" w:hAnsi="Arial" w:cs="Arial"/>
          <w:color w:val="000000"/>
          <w:sz w:val="28"/>
          <w:szCs w:val="28"/>
        </w:rPr>
        <w:t>第三产业增加值按不变价格计算，同比增长</w:t>
      </w:r>
      <w:r>
        <w:rPr>
          <w:rFonts w:ascii="Arial" w:eastAsia="仿宋_GB2312;仿宋" w:hAnsi="Arial" w:cs="Arial"/>
          <w:color w:val="000000"/>
          <w:sz w:val="28"/>
          <w:szCs w:val="28"/>
        </w:rPr>
        <w:t>5.8%</w:t>
      </w:r>
      <w:r>
        <w:rPr>
          <w:rFonts w:ascii="Arial" w:eastAsia="仿宋_GB2312;仿宋" w:hAnsi="Arial" w:cs="Arial"/>
          <w:color w:val="000000"/>
          <w:sz w:val="28"/>
          <w:szCs w:val="28"/>
        </w:rPr>
        <w:t>。其中，信息传输、软件和信息技术服务业快速增长，实现增加值</w:t>
      </w:r>
      <w:r>
        <w:rPr>
          <w:rFonts w:ascii="Arial" w:eastAsia="仿宋_GB2312;仿宋" w:hAnsi="Arial" w:cs="Arial"/>
          <w:color w:val="000000"/>
          <w:sz w:val="28"/>
          <w:szCs w:val="28"/>
        </w:rPr>
        <w:t>2379.2</w:t>
      </w:r>
      <w:r>
        <w:rPr>
          <w:rFonts w:ascii="Arial" w:eastAsia="仿宋_GB2312;仿宋" w:hAnsi="Arial" w:cs="Arial"/>
          <w:color w:val="000000"/>
          <w:sz w:val="28"/>
          <w:szCs w:val="28"/>
        </w:rPr>
        <w:t>亿元，增长</w:t>
      </w:r>
      <w:r>
        <w:rPr>
          <w:rFonts w:ascii="Arial" w:eastAsia="仿宋_GB2312;仿宋" w:hAnsi="Arial" w:cs="Arial"/>
          <w:color w:val="000000"/>
          <w:sz w:val="28"/>
          <w:szCs w:val="28"/>
        </w:rPr>
        <w:t>13.7%</w:t>
      </w:r>
      <w:r>
        <w:rPr>
          <w:rFonts w:ascii="Arial" w:eastAsia="仿宋_GB2312;仿宋" w:hAnsi="Arial" w:cs="Arial"/>
          <w:color w:val="000000"/>
          <w:sz w:val="28"/>
          <w:szCs w:val="28"/>
        </w:rPr>
        <w:t>；金融业平稳支撑，实现增加值</w:t>
      </w:r>
      <w:r>
        <w:rPr>
          <w:rFonts w:ascii="Arial" w:eastAsia="仿宋_GB2312;仿宋" w:hAnsi="Arial" w:cs="Arial"/>
          <w:color w:val="000000"/>
          <w:sz w:val="28"/>
          <w:szCs w:val="28"/>
        </w:rPr>
        <w:t>2197.0</w:t>
      </w:r>
      <w:r>
        <w:rPr>
          <w:rFonts w:ascii="Arial" w:eastAsia="仿宋_GB2312;仿宋" w:hAnsi="Arial" w:cs="Arial"/>
          <w:color w:val="000000"/>
          <w:sz w:val="28"/>
          <w:szCs w:val="28"/>
        </w:rPr>
        <w:t>亿元，增长</w:t>
      </w:r>
      <w:r>
        <w:rPr>
          <w:rFonts w:ascii="Arial" w:eastAsia="仿宋_GB2312;仿宋" w:hAnsi="Arial" w:cs="Arial"/>
          <w:color w:val="000000"/>
          <w:sz w:val="28"/>
          <w:szCs w:val="28"/>
        </w:rPr>
        <w:t>4.7%</w:t>
      </w:r>
      <w:r>
        <w:rPr>
          <w:rFonts w:ascii="Arial" w:eastAsia="仿宋_GB2312;仿宋" w:hAnsi="Arial" w:cs="Arial"/>
          <w:color w:val="000000"/>
          <w:sz w:val="28"/>
          <w:szCs w:val="28"/>
        </w:rPr>
        <w:t>；接触性行业继续恢复，租赁和商务服务业实现增加值</w:t>
      </w:r>
      <w:r>
        <w:rPr>
          <w:rFonts w:ascii="Arial" w:eastAsia="仿宋_GB2312;仿宋" w:hAnsi="Arial" w:cs="Arial"/>
          <w:color w:val="000000"/>
          <w:sz w:val="28"/>
          <w:szCs w:val="28"/>
        </w:rPr>
        <w:t>582.2</w:t>
      </w:r>
      <w:r>
        <w:rPr>
          <w:rFonts w:ascii="Arial" w:eastAsia="仿宋_GB2312;仿宋" w:hAnsi="Arial" w:cs="Arial"/>
          <w:color w:val="000000"/>
          <w:sz w:val="28"/>
          <w:szCs w:val="28"/>
        </w:rPr>
        <w:t>亿元，增长</w:t>
      </w:r>
      <w:r>
        <w:rPr>
          <w:rFonts w:ascii="Arial" w:eastAsia="仿宋_GB2312;仿宋" w:hAnsi="Arial" w:cs="Arial"/>
          <w:color w:val="000000"/>
          <w:sz w:val="28"/>
          <w:szCs w:val="28"/>
        </w:rPr>
        <w:t>8.3%</w:t>
      </w:r>
      <w:r>
        <w:rPr>
          <w:rFonts w:ascii="Arial" w:eastAsia="仿宋_GB2312;仿宋" w:hAnsi="Arial" w:cs="Arial"/>
          <w:color w:val="000000"/>
          <w:sz w:val="28"/>
          <w:szCs w:val="28"/>
        </w:rPr>
        <w:t>；交通运输、仓储和邮政业实现增加值</w:t>
      </w:r>
      <w:r>
        <w:rPr>
          <w:rFonts w:ascii="Arial" w:eastAsia="仿宋_GB2312;仿宋" w:hAnsi="Arial" w:cs="Arial"/>
          <w:color w:val="000000"/>
          <w:sz w:val="28"/>
          <w:szCs w:val="28"/>
        </w:rPr>
        <w:t>243.8</w:t>
      </w:r>
      <w:r>
        <w:rPr>
          <w:rFonts w:ascii="Arial" w:eastAsia="仿宋_GB2312;仿宋" w:hAnsi="Arial" w:cs="Arial"/>
          <w:color w:val="000000"/>
          <w:sz w:val="28"/>
          <w:szCs w:val="28"/>
        </w:rPr>
        <w:t>亿元，增长</w:t>
      </w:r>
      <w:r>
        <w:rPr>
          <w:rFonts w:ascii="Arial" w:eastAsia="仿宋_GB2312;仿宋" w:hAnsi="Arial" w:cs="Arial"/>
          <w:color w:val="000000"/>
          <w:sz w:val="28"/>
          <w:szCs w:val="28"/>
        </w:rPr>
        <w:t>12.0%</w:t>
      </w:r>
      <w:r>
        <w:rPr>
          <w:rFonts w:ascii="Arial" w:eastAsia="仿宋_GB2312;仿宋" w:hAnsi="Arial" w:cs="Arial"/>
          <w:color w:val="000000"/>
          <w:sz w:val="28"/>
          <w:szCs w:val="28"/>
        </w:rPr>
        <w:t>。</w:t>
      </w:r>
    </w:p>
    <w:p w14:paraId="3B59247D" w14:textId="77777777" w:rsidR="00E70101" w:rsidRDefault="0060680B">
      <w:pPr>
        <w:overflowPunct w:val="0"/>
        <w:spacing w:line="360" w:lineRule="auto"/>
        <w:ind w:firstLine="560"/>
        <w:jc w:val="both"/>
        <w:rPr>
          <w:rFonts w:ascii="Arial" w:eastAsia="仿宋_GB2312;仿宋" w:hAnsi="Arial" w:cs="Arial"/>
          <w:color w:val="000000"/>
          <w:sz w:val="28"/>
          <w:szCs w:val="28"/>
        </w:rPr>
      </w:pPr>
      <w:r>
        <w:rPr>
          <w:rFonts w:ascii="Arial" w:eastAsia="仿宋_GB2312;仿宋" w:hAnsi="Arial" w:cs="Arial"/>
          <w:color w:val="000000"/>
          <w:sz w:val="28"/>
          <w:szCs w:val="28"/>
        </w:rPr>
        <w:t>（</w:t>
      </w:r>
      <w:r>
        <w:rPr>
          <w:rFonts w:ascii="Arial" w:eastAsia="仿宋_GB2312;仿宋" w:hAnsi="Arial" w:cs="Arial"/>
          <w:color w:val="000000"/>
          <w:sz w:val="28"/>
          <w:szCs w:val="28"/>
        </w:rPr>
        <w:t>4</w:t>
      </w:r>
      <w:r>
        <w:rPr>
          <w:rFonts w:ascii="Arial" w:eastAsia="仿宋_GB2312;仿宋" w:hAnsi="Arial" w:cs="Arial"/>
          <w:color w:val="000000"/>
          <w:sz w:val="28"/>
          <w:szCs w:val="28"/>
        </w:rPr>
        <w:t>）</w:t>
      </w:r>
      <w:r>
        <w:rPr>
          <w:rFonts w:ascii="Arial" w:eastAsia="仿宋_GB2312;仿宋" w:hAnsi="Arial" w:cs="Arial"/>
          <w:bCs/>
          <w:color w:val="000000"/>
          <w:sz w:val="28"/>
          <w:szCs w:val="28"/>
        </w:rPr>
        <w:t>固定资产投资较快增长，高技术产业彰显活力</w:t>
      </w:r>
    </w:p>
    <w:p w14:paraId="65D9A580" w14:textId="77777777" w:rsidR="00E70101" w:rsidRDefault="0060680B">
      <w:pPr>
        <w:overflowPunct w:val="0"/>
        <w:spacing w:line="360" w:lineRule="auto"/>
        <w:ind w:firstLine="560"/>
        <w:jc w:val="both"/>
      </w:pPr>
      <w:r>
        <w:rPr>
          <w:rFonts w:ascii="Arial" w:eastAsia="仿宋_GB2312;仿宋" w:hAnsi="Arial" w:cs="Arial"/>
          <w:color w:val="000000"/>
          <w:sz w:val="28"/>
          <w:szCs w:val="28"/>
        </w:rPr>
        <w:t>一季度，</w:t>
      </w:r>
      <w:r>
        <w:rPr>
          <w:rFonts w:ascii="Arial" w:eastAsia="仿宋_GB2312;仿宋" w:hAnsi="Arial" w:cs="Arial"/>
          <w:bCs/>
          <w:color w:val="000000"/>
          <w:sz w:val="28"/>
          <w:szCs w:val="28"/>
        </w:rPr>
        <w:t>北京市</w:t>
      </w:r>
      <w:r>
        <w:rPr>
          <w:rFonts w:ascii="Arial" w:eastAsia="仿宋_GB2312;仿宋" w:hAnsi="Arial" w:cs="Arial"/>
          <w:color w:val="000000"/>
          <w:sz w:val="28"/>
          <w:szCs w:val="28"/>
        </w:rPr>
        <w:t>固定资产投资（不含农户）同比增长</w:t>
      </w:r>
      <w:r>
        <w:rPr>
          <w:rFonts w:ascii="Arial" w:eastAsia="仿宋_GB2312;仿宋" w:hAnsi="Arial" w:cs="Arial"/>
          <w:color w:val="000000"/>
          <w:sz w:val="28"/>
          <w:szCs w:val="28"/>
        </w:rPr>
        <w:t>13.6%</w:t>
      </w:r>
      <w:r>
        <w:rPr>
          <w:rFonts w:ascii="Arial" w:eastAsia="仿宋_GB2312;仿宋" w:hAnsi="Arial" w:cs="Arial"/>
          <w:color w:val="000000"/>
          <w:sz w:val="28"/>
          <w:szCs w:val="28"/>
        </w:rPr>
        <w:t>，比</w:t>
      </w:r>
      <w:r>
        <w:rPr>
          <w:rFonts w:ascii="Arial" w:eastAsia="仿宋_GB2312;仿宋" w:hAnsi="Arial" w:cs="Arial"/>
          <w:color w:val="000000"/>
          <w:sz w:val="28"/>
          <w:szCs w:val="28"/>
        </w:rPr>
        <w:t>1-2</w:t>
      </w:r>
      <w:r>
        <w:rPr>
          <w:rFonts w:ascii="Arial" w:eastAsia="仿宋_GB2312;仿宋" w:hAnsi="Arial" w:cs="Arial"/>
          <w:color w:val="000000"/>
          <w:sz w:val="28"/>
          <w:szCs w:val="28"/>
        </w:rPr>
        <w:t>月提高</w:t>
      </w:r>
      <w:r>
        <w:rPr>
          <w:rFonts w:ascii="Arial" w:eastAsia="仿宋_GB2312;仿宋" w:hAnsi="Arial" w:cs="Arial"/>
          <w:color w:val="000000"/>
          <w:sz w:val="28"/>
          <w:szCs w:val="28"/>
        </w:rPr>
        <w:t>4.2</w:t>
      </w:r>
      <w:r>
        <w:rPr>
          <w:rFonts w:ascii="Arial" w:eastAsia="仿宋_GB2312;仿宋" w:hAnsi="Arial" w:cs="Arial"/>
          <w:color w:val="000000"/>
          <w:sz w:val="28"/>
          <w:szCs w:val="28"/>
        </w:rPr>
        <w:t>个百分点。其中，反映企业扩大生产能力的设备购置投资增长</w:t>
      </w:r>
      <w:r>
        <w:rPr>
          <w:rFonts w:ascii="Arial" w:eastAsia="仿宋_GB2312;仿宋" w:hAnsi="Arial" w:cs="Arial"/>
          <w:color w:val="000000"/>
          <w:sz w:val="28"/>
          <w:szCs w:val="28"/>
        </w:rPr>
        <w:t>53.5%</w:t>
      </w:r>
      <w:r>
        <w:rPr>
          <w:rFonts w:ascii="Arial" w:eastAsia="仿宋_GB2312;仿宋" w:hAnsi="Arial" w:cs="Arial"/>
          <w:color w:val="000000"/>
          <w:sz w:val="28"/>
          <w:szCs w:val="28"/>
        </w:rPr>
        <w:t>，反映实物工作量的建筑安装工程投资增长</w:t>
      </w:r>
      <w:r>
        <w:rPr>
          <w:rFonts w:ascii="Arial" w:eastAsia="仿宋_GB2312;仿宋" w:hAnsi="Arial" w:cs="Arial"/>
          <w:color w:val="000000"/>
          <w:sz w:val="28"/>
          <w:szCs w:val="28"/>
        </w:rPr>
        <w:t>16.9%</w:t>
      </w:r>
      <w:r>
        <w:rPr>
          <w:rFonts w:ascii="Arial" w:eastAsia="仿宋_GB2312;仿宋" w:hAnsi="Arial" w:cs="Arial"/>
          <w:color w:val="000000"/>
          <w:sz w:val="28"/>
          <w:szCs w:val="28"/>
        </w:rPr>
        <w:t>。分领域看，基础设施投资增长</w:t>
      </w:r>
      <w:r>
        <w:rPr>
          <w:rFonts w:ascii="Arial" w:eastAsia="仿宋_GB2312;仿宋" w:hAnsi="Arial" w:cs="Arial"/>
          <w:color w:val="000000"/>
          <w:sz w:val="28"/>
          <w:szCs w:val="28"/>
        </w:rPr>
        <w:t>25.2%</w:t>
      </w:r>
      <w:r>
        <w:rPr>
          <w:rFonts w:ascii="Arial" w:eastAsia="仿宋_GB2312;仿宋" w:hAnsi="Arial" w:cs="Arial"/>
          <w:color w:val="000000"/>
          <w:sz w:val="28"/>
          <w:szCs w:val="28"/>
        </w:rPr>
        <w:t>，制造业投资增长</w:t>
      </w:r>
      <w:r>
        <w:rPr>
          <w:rFonts w:ascii="Arial" w:eastAsia="仿宋_GB2312;仿宋" w:hAnsi="Arial" w:cs="Arial"/>
          <w:color w:val="000000"/>
          <w:sz w:val="28"/>
          <w:szCs w:val="28"/>
        </w:rPr>
        <w:t>15.0%</w:t>
      </w:r>
      <w:r>
        <w:rPr>
          <w:rFonts w:ascii="Arial" w:eastAsia="仿宋_GB2312;仿宋" w:hAnsi="Arial" w:cs="Arial"/>
          <w:color w:val="000000"/>
          <w:sz w:val="28"/>
          <w:szCs w:val="28"/>
        </w:rPr>
        <w:t>，房地产开发投资增长</w:t>
      </w:r>
      <w:r>
        <w:rPr>
          <w:rFonts w:ascii="Arial" w:eastAsia="仿宋_GB2312;仿宋" w:hAnsi="Arial" w:cs="Arial"/>
          <w:color w:val="000000"/>
          <w:sz w:val="28"/>
          <w:szCs w:val="28"/>
        </w:rPr>
        <w:t>2.0%</w:t>
      </w:r>
      <w:r>
        <w:rPr>
          <w:rFonts w:ascii="Arial" w:eastAsia="仿宋_GB2312;仿宋" w:hAnsi="Arial" w:cs="Arial"/>
          <w:color w:val="000000"/>
          <w:sz w:val="28"/>
          <w:szCs w:val="28"/>
        </w:rPr>
        <w:t>。分产业看，第一产业投资下降</w:t>
      </w:r>
      <w:r>
        <w:rPr>
          <w:rFonts w:ascii="Arial" w:eastAsia="仿宋_GB2312;仿宋" w:hAnsi="Arial" w:cs="Arial"/>
          <w:color w:val="000000"/>
          <w:sz w:val="28"/>
          <w:szCs w:val="28"/>
        </w:rPr>
        <w:t>54.3%</w:t>
      </w:r>
      <w:r>
        <w:rPr>
          <w:rFonts w:ascii="Arial" w:eastAsia="仿宋_GB2312;仿宋" w:hAnsi="Arial" w:cs="Arial"/>
          <w:color w:val="000000"/>
          <w:sz w:val="28"/>
          <w:szCs w:val="28"/>
        </w:rPr>
        <w:t>，第二产业投资增长</w:t>
      </w:r>
      <w:r>
        <w:rPr>
          <w:rFonts w:ascii="Arial" w:eastAsia="仿宋_GB2312;仿宋" w:hAnsi="Arial" w:cs="Arial"/>
          <w:color w:val="000000"/>
          <w:sz w:val="28"/>
          <w:szCs w:val="28"/>
        </w:rPr>
        <w:t>9.2%</w:t>
      </w:r>
      <w:r>
        <w:rPr>
          <w:rFonts w:ascii="Arial" w:eastAsia="仿宋_GB2312;仿宋" w:hAnsi="Arial" w:cs="Arial"/>
          <w:color w:val="000000"/>
          <w:sz w:val="28"/>
          <w:szCs w:val="28"/>
        </w:rPr>
        <w:t>，第三产业投资增长</w:t>
      </w:r>
      <w:r>
        <w:rPr>
          <w:rFonts w:ascii="Arial" w:eastAsia="仿宋_GB2312;仿宋" w:hAnsi="Arial" w:cs="Arial"/>
          <w:color w:val="000000"/>
          <w:sz w:val="28"/>
          <w:szCs w:val="28"/>
        </w:rPr>
        <w:t>14.5%</w:t>
      </w:r>
      <w:r>
        <w:rPr>
          <w:rFonts w:ascii="Arial" w:eastAsia="仿宋_GB2312;仿宋" w:hAnsi="Arial" w:cs="Arial"/>
          <w:color w:val="000000"/>
          <w:sz w:val="28"/>
          <w:szCs w:val="28"/>
        </w:rPr>
        <w:t>。高技术产业投资快速增长，高技术制造业投资增长</w:t>
      </w:r>
      <w:r>
        <w:rPr>
          <w:rFonts w:ascii="Arial" w:eastAsia="仿宋_GB2312;仿宋" w:hAnsi="Arial" w:cs="Arial"/>
          <w:color w:val="000000"/>
          <w:sz w:val="28"/>
          <w:szCs w:val="28"/>
        </w:rPr>
        <w:t>28.6%</w:t>
      </w:r>
      <w:r>
        <w:rPr>
          <w:rFonts w:ascii="Arial" w:eastAsia="仿宋_GB2312;仿宋" w:hAnsi="Arial" w:cs="Arial"/>
          <w:color w:val="000000"/>
          <w:sz w:val="28"/>
          <w:szCs w:val="28"/>
        </w:rPr>
        <w:t>，其中，计算机、通信和其他电子设备制造业，专用设备制造业分别增长</w:t>
      </w:r>
      <w:r>
        <w:rPr>
          <w:rFonts w:ascii="Arial" w:eastAsia="仿宋_GB2312;仿宋" w:hAnsi="Arial" w:cs="Arial"/>
          <w:color w:val="000000"/>
          <w:sz w:val="28"/>
          <w:szCs w:val="28"/>
        </w:rPr>
        <w:t>37.5%</w:t>
      </w:r>
      <w:r>
        <w:rPr>
          <w:rFonts w:ascii="Arial" w:eastAsia="仿宋_GB2312;仿宋" w:hAnsi="Arial" w:cs="Arial"/>
          <w:color w:val="000000"/>
          <w:sz w:val="28"/>
          <w:szCs w:val="28"/>
        </w:rPr>
        <w:t>和</w:t>
      </w:r>
      <w:r>
        <w:rPr>
          <w:rFonts w:ascii="Arial" w:eastAsia="仿宋_GB2312;仿宋" w:hAnsi="Arial" w:cs="Arial"/>
          <w:color w:val="000000"/>
          <w:sz w:val="28"/>
          <w:szCs w:val="28"/>
        </w:rPr>
        <w:t>9.5%</w:t>
      </w:r>
      <w:r>
        <w:rPr>
          <w:rFonts w:ascii="Arial" w:eastAsia="仿宋_GB2312;仿宋" w:hAnsi="Arial" w:cs="Arial"/>
          <w:color w:val="000000"/>
          <w:sz w:val="28"/>
          <w:szCs w:val="28"/>
        </w:rPr>
        <w:t>；高技术服务业投资增长</w:t>
      </w:r>
      <w:r>
        <w:rPr>
          <w:rFonts w:ascii="Arial" w:eastAsia="仿宋_GB2312;仿宋" w:hAnsi="Arial" w:cs="Arial"/>
          <w:color w:val="000000"/>
          <w:sz w:val="28"/>
          <w:szCs w:val="28"/>
        </w:rPr>
        <w:t>37.0%</w:t>
      </w:r>
      <w:r>
        <w:rPr>
          <w:rFonts w:ascii="Arial" w:eastAsia="仿宋_GB2312;仿宋" w:hAnsi="Arial" w:cs="Arial"/>
          <w:color w:val="000000"/>
          <w:sz w:val="28"/>
          <w:szCs w:val="28"/>
        </w:rPr>
        <w:t>，其中，研发与设计服务、信息服务投资分别增长</w:t>
      </w:r>
      <w:r>
        <w:rPr>
          <w:rFonts w:ascii="Arial" w:eastAsia="仿宋_GB2312;仿宋" w:hAnsi="Arial" w:cs="Arial"/>
          <w:color w:val="000000"/>
          <w:sz w:val="28"/>
          <w:szCs w:val="28"/>
        </w:rPr>
        <w:t>87.2%</w:t>
      </w:r>
      <w:r>
        <w:rPr>
          <w:rFonts w:ascii="Arial" w:eastAsia="仿宋_GB2312;仿宋" w:hAnsi="Arial" w:cs="Arial"/>
          <w:color w:val="000000"/>
          <w:sz w:val="28"/>
          <w:szCs w:val="28"/>
        </w:rPr>
        <w:t>和</w:t>
      </w:r>
      <w:r>
        <w:rPr>
          <w:rFonts w:ascii="Arial" w:eastAsia="仿宋_GB2312;仿宋" w:hAnsi="Arial" w:cs="Arial"/>
          <w:color w:val="000000"/>
          <w:sz w:val="28"/>
          <w:szCs w:val="28"/>
        </w:rPr>
        <w:t>55.0%</w:t>
      </w:r>
      <w:r>
        <w:rPr>
          <w:rFonts w:ascii="Arial" w:eastAsia="仿宋_GB2312;仿宋" w:hAnsi="Arial" w:cs="Arial"/>
          <w:color w:val="000000"/>
          <w:sz w:val="28"/>
          <w:szCs w:val="28"/>
        </w:rPr>
        <w:t>。</w:t>
      </w:r>
    </w:p>
    <w:p w14:paraId="69AF1463" w14:textId="77777777" w:rsidR="00E70101" w:rsidRDefault="0060680B">
      <w:pPr>
        <w:overflowPunct w:val="0"/>
        <w:spacing w:line="360" w:lineRule="auto"/>
        <w:ind w:firstLine="560"/>
        <w:jc w:val="both"/>
        <w:rPr>
          <w:rFonts w:ascii="Arial" w:eastAsia="仿宋_GB2312;仿宋" w:hAnsi="Arial" w:cs="Arial"/>
          <w:bCs/>
          <w:color w:val="000000"/>
          <w:sz w:val="28"/>
          <w:szCs w:val="28"/>
        </w:rPr>
      </w:pPr>
      <w:r>
        <w:rPr>
          <w:rFonts w:ascii="Arial" w:eastAsia="仿宋_GB2312;仿宋" w:hAnsi="Arial" w:cs="Arial"/>
          <w:color w:val="000000"/>
          <w:sz w:val="28"/>
          <w:szCs w:val="28"/>
        </w:rPr>
        <w:t>一季度，</w:t>
      </w:r>
      <w:r>
        <w:rPr>
          <w:rFonts w:ascii="Arial" w:eastAsia="仿宋_GB2312;仿宋" w:hAnsi="Arial" w:cs="Arial"/>
          <w:bCs/>
          <w:color w:val="000000"/>
          <w:sz w:val="28"/>
          <w:szCs w:val="28"/>
        </w:rPr>
        <w:t>北京市</w:t>
      </w:r>
      <w:r>
        <w:rPr>
          <w:rFonts w:ascii="Arial" w:eastAsia="仿宋_GB2312;仿宋" w:hAnsi="Arial" w:cs="Arial"/>
          <w:color w:val="000000"/>
          <w:sz w:val="28"/>
          <w:szCs w:val="28"/>
        </w:rPr>
        <w:t>房屋施工面积</w:t>
      </w:r>
      <w:r>
        <w:rPr>
          <w:rFonts w:ascii="Arial" w:eastAsia="仿宋_GB2312;仿宋" w:hAnsi="Arial" w:cs="Arial"/>
          <w:color w:val="000000"/>
          <w:sz w:val="28"/>
          <w:szCs w:val="28"/>
        </w:rPr>
        <w:t>10323</w:t>
      </w:r>
      <w:r>
        <w:rPr>
          <w:rFonts w:ascii="Arial" w:eastAsia="仿宋_GB2312;仿宋" w:hAnsi="Arial" w:cs="Arial"/>
          <w:color w:val="000000"/>
          <w:sz w:val="28"/>
          <w:szCs w:val="28"/>
        </w:rPr>
        <w:t>万平方米，同比下降</w:t>
      </w:r>
      <w:r>
        <w:rPr>
          <w:rFonts w:ascii="Arial" w:eastAsia="仿宋_GB2312;仿宋" w:hAnsi="Arial" w:cs="Arial"/>
          <w:color w:val="000000"/>
          <w:sz w:val="28"/>
          <w:szCs w:val="28"/>
        </w:rPr>
        <w:t>11.3%</w:t>
      </w:r>
      <w:r>
        <w:rPr>
          <w:rFonts w:ascii="Arial" w:eastAsia="仿宋_GB2312;仿宋" w:hAnsi="Arial" w:cs="Arial"/>
          <w:color w:val="000000"/>
          <w:sz w:val="28"/>
          <w:szCs w:val="28"/>
        </w:rPr>
        <w:t>，其中住宅施工面积</w:t>
      </w:r>
      <w:r>
        <w:rPr>
          <w:rFonts w:ascii="Arial" w:eastAsia="仿宋_GB2312;仿宋" w:hAnsi="Arial" w:cs="Arial"/>
          <w:color w:val="000000"/>
          <w:sz w:val="28"/>
          <w:szCs w:val="28"/>
        </w:rPr>
        <w:t>5066.5</w:t>
      </w:r>
      <w:r>
        <w:rPr>
          <w:rFonts w:ascii="Arial" w:eastAsia="仿宋_GB2312;仿宋" w:hAnsi="Arial" w:cs="Arial"/>
          <w:color w:val="000000"/>
          <w:sz w:val="28"/>
          <w:szCs w:val="28"/>
        </w:rPr>
        <w:t>万平方米，下降</w:t>
      </w:r>
      <w:r>
        <w:rPr>
          <w:rFonts w:ascii="Arial" w:eastAsia="仿宋_GB2312;仿宋" w:hAnsi="Arial" w:cs="Arial"/>
          <w:color w:val="000000"/>
          <w:sz w:val="28"/>
          <w:szCs w:val="28"/>
        </w:rPr>
        <w:t>12.0%</w:t>
      </w:r>
      <w:r>
        <w:rPr>
          <w:rFonts w:ascii="Arial" w:eastAsia="仿宋_GB2312;仿宋" w:hAnsi="Arial" w:cs="Arial"/>
          <w:color w:val="000000"/>
          <w:sz w:val="28"/>
          <w:szCs w:val="28"/>
        </w:rPr>
        <w:t>。全市商品房销售面积</w:t>
      </w:r>
      <w:r>
        <w:rPr>
          <w:rFonts w:ascii="Arial" w:eastAsia="仿宋_GB2312;仿宋" w:hAnsi="Arial" w:cs="Arial"/>
          <w:color w:val="000000"/>
          <w:sz w:val="28"/>
          <w:szCs w:val="28"/>
        </w:rPr>
        <w:t>232.8</w:t>
      </w:r>
      <w:r>
        <w:rPr>
          <w:rFonts w:ascii="Arial" w:eastAsia="仿宋_GB2312;仿宋" w:hAnsi="Arial" w:cs="Arial"/>
          <w:color w:val="000000"/>
          <w:sz w:val="28"/>
          <w:szCs w:val="28"/>
        </w:rPr>
        <w:t>万平方米，在保障房集中签约带动下，同比增长</w:t>
      </w:r>
      <w:r>
        <w:rPr>
          <w:rFonts w:ascii="Arial" w:eastAsia="仿宋_GB2312;仿宋" w:hAnsi="Arial" w:cs="Arial"/>
          <w:color w:val="000000"/>
          <w:sz w:val="28"/>
          <w:szCs w:val="28"/>
        </w:rPr>
        <w:t>6.5%</w:t>
      </w:r>
      <w:r>
        <w:rPr>
          <w:rFonts w:ascii="Arial" w:eastAsia="仿宋_GB2312;仿宋" w:hAnsi="Arial" w:cs="Arial"/>
          <w:color w:val="000000"/>
          <w:sz w:val="28"/>
          <w:szCs w:val="28"/>
        </w:rPr>
        <w:t>，其中住宅销售面积</w:t>
      </w:r>
      <w:r>
        <w:rPr>
          <w:rFonts w:ascii="Arial" w:eastAsia="仿宋_GB2312;仿宋" w:hAnsi="Arial" w:cs="Arial"/>
          <w:color w:val="000000"/>
          <w:sz w:val="28"/>
          <w:szCs w:val="28"/>
        </w:rPr>
        <w:t>160.3</w:t>
      </w:r>
      <w:r>
        <w:rPr>
          <w:rFonts w:ascii="Arial" w:eastAsia="仿宋_GB2312;仿宋" w:hAnsi="Arial" w:cs="Arial"/>
          <w:color w:val="000000"/>
          <w:sz w:val="28"/>
          <w:szCs w:val="28"/>
        </w:rPr>
        <w:t>万平方米，增长</w:t>
      </w:r>
      <w:r>
        <w:rPr>
          <w:rFonts w:ascii="Arial" w:eastAsia="仿宋_GB2312;仿宋" w:hAnsi="Arial" w:cs="Arial"/>
          <w:color w:val="000000"/>
          <w:sz w:val="28"/>
          <w:szCs w:val="28"/>
        </w:rPr>
        <w:t>8.8%</w:t>
      </w:r>
      <w:r>
        <w:rPr>
          <w:rFonts w:ascii="Arial" w:eastAsia="仿宋_GB2312;仿宋" w:hAnsi="Arial" w:cs="Arial"/>
          <w:color w:val="000000"/>
          <w:sz w:val="28"/>
          <w:szCs w:val="28"/>
        </w:rPr>
        <w:t>。</w:t>
      </w:r>
    </w:p>
    <w:p w14:paraId="7CAE0196" w14:textId="77777777" w:rsidR="00E70101" w:rsidRDefault="0060680B">
      <w:pPr>
        <w:overflowPunct w:val="0"/>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w:t>
      </w:r>
      <w:r>
        <w:rPr>
          <w:rFonts w:ascii="Arial" w:eastAsia="仿宋_GB2312;仿宋" w:hAnsi="Arial" w:cs="Arial"/>
          <w:bCs/>
          <w:color w:val="000000"/>
          <w:sz w:val="28"/>
          <w:szCs w:val="28"/>
        </w:rPr>
        <w:t>5</w:t>
      </w:r>
      <w:r>
        <w:rPr>
          <w:rFonts w:ascii="Arial" w:eastAsia="仿宋_GB2312;仿宋" w:hAnsi="Arial" w:cs="Arial"/>
          <w:bCs/>
          <w:color w:val="000000"/>
          <w:sz w:val="28"/>
          <w:szCs w:val="28"/>
        </w:rPr>
        <w:t>）市场消费继续恢复，服务消费增长较快</w:t>
      </w:r>
    </w:p>
    <w:p w14:paraId="3A7FDFB6" w14:textId="77777777" w:rsidR="00E70101" w:rsidRDefault="0060680B">
      <w:pPr>
        <w:overflowPunct w:val="0"/>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一季度，北京市市场总消费额同比增长</w:t>
      </w:r>
      <w:r>
        <w:rPr>
          <w:rFonts w:ascii="Arial" w:eastAsia="仿宋_GB2312;仿宋" w:hAnsi="Arial" w:cs="Arial"/>
          <w:bCs/>
          <w:color w:val="000000"/>
          <w:sz w:val="28"/>
          <w:szCs w:val="28"/>
        </w:rPr>
        <w:t>5.8%</w:t>
      </w:r>
      <w:r>
        <w:rPr>
          <w:rFonts w:ascii="Arial" w:eastAsia="仿宋_GB2312;仿宋" w:hAnsi="Arial" w:cs="Arial"/>
          <w:bCs/>
          <w:color w:val="000000"/>
          <w:sz w:val="28"/>
          <w:szCs w:val="28"/>
        </w:rPr>
        <w:t>。其中，服务性消费额增长</w:t>
      </w:r>
      <w:r>
        <w:rPr>
          <w:rFonts w:ascii="Arial" w:eastAsia="仿宋_GB2312;仿宋" w:hAnsi="Arial" w:cs="Arial"/>
          <w:bCs/>
          <w:color w:val="000000"/>
          <w:sz w:val="28"/>
          <w:szCs w:val="28"/>
        </w:rPr>
        <w:t>12.0%</w:t>
      </w:r>
      <w:r>
        <w:rPr>
          <w:rFonts w:ascii="Arial" w:eastAsia="仿宋_GB2312;仿宋" w:hAnsi="Arial" w:cs="Arial"/>
          <w:bCs/>
          <w:color w:val="000000"/>
          <w:sz w:val="28"/>
          <w:szCs w:val="28"/>
        </w:rPr>
        <w:t>，文旅需求旺盛，交通、信息服务持续向好；实现社会消费品零售总额</w:t>
      </w:r>
      <w:r>
        <w:rPr>
          <w:rFonts w:ascii="Arial" w:eastAsia="仿宋_GB2312;仿宋" w:hAnsi="Arial" w:cs="Arial"/>
          <w:bCs/>
          <w:color w:val="000000"/>
          <w:sz w:val="28"/>
          <w:szCs w:val="28"/>
        </w:rPr>
        <w:t>3553.1</w:t>
      </w:r>
      <w:r>
        <w:rPr>
          <w:rFonts w:ascii="Arial" w:eastAsia="仿宋_GB2312;仿宋" w:hAnsi="Arial" w:cs="Arial"/>
          <w:bCs/>
          <w:color w:val="000000"/>
          <w:sz w:val="28"/>
          <w:szCs w:val="28"/>
        </w:rPr>
        <w:t>亿元，下降</w:t>
      </w:r>
      <w:r>
        <w:rPr>
          <w:rFonts w:ascii="Arial" w:eastAsia="仿宋_GB2312;仿宋" w:hAnsi="Arial" w:cs="Arial"/>
          <w:bCs/>
          <w:color w:val="000000"/>
          <w:sz w:val="28"/>
          <w:szCs w:val="28"/>
        </w:rPr>
        <w:t>0.1%</w:t>
      </w:r>
      <w:r>
        <w:rPr>
          <w:rFonts w:ascii="Arial" w:eastAsia="仿宋_GB2312;仿宋" w:hAnsi="Arial" w:cs="Arial"/>
          <w:bCs/>
          <w:color w:val="000000"/>
          <w:sz w:val="28"/>
          <w:szCs w:val="28"/>
        </w:rPr>
        <w:t>。社会消费品零售总额中，按消费形态分，商品零售</w:t>
      </w:r>
      <w:r>
        <w:rPr>
          <w:rFonts w:ascii="Arial" w:eastAsia="仿宋_GB2312;仿宋" w:hAnsi="Arial" w:cs="Arial"/>
          <w:bCs/>
          <w:color w:val="000000"/>
          <w:sz w:val="28"/>
          <w:szCs w:val="28"/>
        </w:rPr>
        <w:t>3235.0</w:t>
      </w:r>
      <w:r>
        <w:rPr>
          <w:rFonts w:ascii="Arial" w:eastAsia="仿宋_GB2312;仿宋" w:hAnsi="Arial" w:cs="Arial"/>
          <w:bCs/>
          <w:color w:val="000000"/>
          <w:sz w:val="28"/>
          <w:szCs w:val="28"/>
        </w:rPr>
        <w:t>亿元，下降</w:t>
      </w:r>
      <w:r>
        <w:rPr>
          <w:rFonts w:ascii="Arial" w:eastAsia="仿宋_GB2312;仿宋" w:hAnsi="Arial" w:cs="Arial"/>
          <w:bCs/>
          <w:color w:val="000000"/>
          <w:sz w:val="28"/>
          <w:szCs w:val="28"/>
        </w:rPr>
        <w:t>0.2%</w:t>
      </w:r>
      <w:r>
        <w:rPr>
          <w:rFonts w:ascii="Arial" w:eastAsia="仿宋_GB2312;仿宋" w:hAnsi="Arial" w:cs="Arial"/>
          <w:bCs/>
          <w:color w:val="000000"/>
          <w:sz w:val="28"/>
          <w:szCs w:val="28"/>
        </w:rPr>
        <w:t>，餐饮收入</w:t>
      </w:r>
      <w:r>
        <w:rPr>
          <w:rFonts w:ascii="Arial" w:eastAsia="仿宋_GB2312;仿宋" w:hAnsi="Arial" w:cs="Arial"/>
          <w:bCs/>
          <w:color w:val="000000"/>
          <w:sz w:val="28"/>
          <w:szCs w:val="28"/>
        </w:rPr>
        <w:t>318.0</w:t>
      </w:r>
      <w:r>
        <w:rPr>
          <w:rFonts w:ascii="Arial" w:eastAsia="仿宋_GB2312;仿宋" w:hAnsi="Arial" w:cs="Arial"/>
          <w:bCs/>
          <w:color w:val="000000"/>
          <w:sz w:val="28"/>
          <w:szCs w:val="28"/>
        </w:rPr>
        <w:t>亿元，增长</w:t>
      </w:r>
      <w:r>
        <w:rPr>
          <w:rFonts w:ascii="Arial" w:eastAsia="仿宋_GB2312;仿宋" w:hAnsi="Arial" w:cs="Arial"/>
          <w:bCs/>
          <w:color w:val="000000"/>
          <w:sz w:val="28"/>
          <w:szCs w:val="28"/>
        </w:rPr>
        <w:t>0.1%</w:t>
      </w:r>
      <w:r>
        <w:rPr>
          <w:rFonts w:ascii="Arial" w:eastAsia="仿宋_GB2312;仿宋" w:hAnsi="Arial" w:cs="Arial"/>
          <w:bCs/>
          <w:color w:val="000000"/>
          <w:sz w:val="28"/>
          <w:szCs w:val="28"/>
        </w:rPr>
        <w:t>。按商品类别分，限额以上批发和零售业中，与升级类消费相关的金银珠宝类、体育娱乐用品类、通讯器材类商品零售额分别增长</w:t>
      </w:r>
      <w:r>
        <w:rPr>
          <w:rFonts w:ascii="Arial" w:eastAsia="仿宋_GB2312;仿宋" w:hAnsi="Arial" w:cs="Arial"/>
          <w:bCs/>
          <w:color w:val="000000"/>
          <w:sz w:val="28"/>
          <w:szCs w:val="28"/>
        </w:rPr>
        <w:t>24.7%</w:t>
      </w:r>
      <w:r>
        <w:rPr>
          <w:rFonts w:ascii="Arial" w:eastAsia="仿宋_GB2312;仿宋" w:hAnsi="Arial" w:cs="Arial"/>
          <w:bCs/>
          <w:color w:val="000000"/>
          <w:sz w:val="28"/>
          <w:szCs w:val="28"/>
        </w:rPr>
        <w:t>、</w:t>
      </w:r>
      <w:r>
        <w:rPr>
          <w:rFonts w:ascii="Arial" w:eastAsia="仿宋_GB2312;仿宋" w:hAnsi="Arial" w:cs="Arial"/>
          <w:bCs/>
          <w:color w:val="000000"/>
          <w:sz w:val="28"/>
          <w:szCs w:val="28"/>
        </w:rPr>
        <w:t>12.7%</w:t>
      </w:r>
      <w:r>
        <w:rPr>
          <w:rFonts w:ascii="Arial" w:eastAsia="仿宋_GB2312;仿宋" w:hAnsi="Arial" w:cs="Arial"/>
          <w:bCs/>
          <w:color w:val="000000"/>
          <w:sz w:val="28"/>
          <w:szCs w:val="28"/>
        </w:rPr>
        <w:t>和</w:t>
      </w:r>
      <w:r>
        <w:rPr>
          <w:rFonts w:ascii="Arial" w:eastAsia="仿宋_GB2312;仿宋" w:hAnsi="Arial" w:cs="Arial"/>
          <w:bCs/>
          <w:color w:val="000000"/>
          <w:sz w:val="28"/>
          <w:szCs w:val="28"/>
        </w:rPr>
        <w:t>7.6%</w:t>
      </w:r>
      <w:r>
        <w:rPr>
          <w:rFonts w:ascii="Arial" w:eastAsia="仿宋_GB2312;仿宋" w:hAnsi="Arial" w:cs="Arial"/>
          <w:bCs/>
          <w:color w:val="000000"/>
          <w:sz w:val="28"/>
          <w:szCs w:val="28"/>
        </w:rPr>
        <w:t>，汽车类商品零售额增长</w:t>
      </w:r>
      <w:r>
        <w:rPr>
          <w:rFonts w:ascii="Arial" w:eastAsia="仿宋_GB2312;仿宋" w:hAnsi="Arial" w:cs="Arial"/>
          <w:bCs/>
          <w:color w:val="000000"/>
          <w:sz w:val="28"/>
          <w:szCs w:val="28"/>
        </w:rPr>
        <w:t>2.3%</w:t>
      </w:r>
      <w:r>
        <w:rPr>
          <w:rFonts w:ascii="Arial" w:eastAsia="仿宋_GB2312;仿宋" w:hAnsi="Arial" w:cs="Arial"/>
          <w:bCs/>
          <w:color w:val="000000"/>
          <w:sz w:val="28"/>
          <w:szCs w:val="28"/>
        </w:rPr>
        <w:t>，其中新能源汽车增长</w:t>
      </w:r>
      <w:r>
        <w:rPr>
          <w:rFonts w:ascii="Arial" w:eastAsia="仿宋_GB2312;仿宋" w:hAnsi="Arial" w:cs="Arial"/>
          <w:bCs/>
          <w:color w:val="000000"/>
          <w:sz w:val="28"/>
          <w:szCs w:val="28"/>
        </w:rPr>
        <w:t>18.9%</w:t>
      </w:r>
      <w:r>
        <w:rPr>
          <w:rFonts w:ascii="Arial" w:eastAsia="仿宋_GB2312;仿宋" w:hAnsi="Arial" w:cs="Arial"/>
          <w:bCs/>
          <w:color w:val="000000"/>
          <w:sz w:val="28"/>
          <w:szCs w:val="28"/>
        </w:rPr>
        <w:t>。</w:t>
      </w:r>
    </w:p>
    <w:p w14:paraId="56B62BA6" w14:textId="77777777" w:rsidR="00E70101" w:rsidRDefault="0060680B">
      <w:pPr>
        <w:overflowPunct w:val="0"/>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w:t>
      </w:r>
      <w:r>
        <w:rPr>
          <w:rFonts w:ascii="Arial" w:eastAsia="仿宋_GB2312;仿宋" w:hAnsi="Arial" w:cs="Arial"/>
          <w:bCs/>
          <w:color w:val="000000"/>
          <w:sz w:val="28"/>
          <w:szCs w:val="28"/>
        </w:rPr>
        <w:t>6</w:t>
      </w:r>
      <w:r>
        <w:rPr>
          <w:rFonts w:ascii="Arial" w:eastAsia="仿宋_GB2312;仿宋" w:hAnsi="Arial" w:cs="Arial"/>
          <w:bCs/>
          <w:color w:val="000000"/>
          <w:sz w:val="28"/>
          <w:szCs w:val="28"/>
        </w:rPr>
        <w:t>）</w:t>
      </w:r>
      <w:r>
        <w:rPr>
          <w:rFonts w:ascii="Arial" w:eastAsia="仿宋_GB2312;仿宋" w:hAnsi="Arial" w:cs="Arial"/>
          <w:color w:val="000000"/>
          <w:sz w:val="28"/>
          <w:szCs w:val="28"/>
        </w:rPr>
        <w:t>居民消费价格温和上涨，工业生产者出厂价格同比下降</w:t>
      </w:r>
    </w:p>
    <w:p w14:paraId="25B553AD" w14:textId="77777777" w:rsidR="00E70101" w:rsidRDefault="0060680B">
      <w:pPr>
        <w:overflowPunct w:val="0"/>
        <w:spacing w:line="360" w:lineRule="auto"/>
        <w:ind w:firstLine="560"/>
        <w:jc w:val="both"/>
      </w:pPr>
      <w:r>
        <w:rPr>
          <w:rFonts w:ascii="Arial" w:eastAsia="仿宋_GB2312;仿宋" w:hAnsi="Arial" w:cs="Arial"/>
          <w:bCs/>
          <w:color w:val="000000"/>
          <w:sz w:val="28"/>
          <w:szCs w:val="28"/>
        </w:rPr>
        <w:t>一季度，北京市居民消费价格同比上涨</w:t>
      </w:r>
      <w:r>
        <w:rPr>
          <w:rFonts w:ascii="Arial" w:eastAsia="仿宋_GB2312;仿宋" w:hAnsi="Arial" w:cs="Arial"/>
          <w:bCs/>
          <w:color w:val="000000"/>
          <w:sz w:val="28"/>
          <w:szCs w:val="28"/>
        </w:rPr>
        <w:t>0.2%</w:t>
      </w:r>
      <w:r>
        <w:rPr>
          <w:rFonts w:ascii="Arial" w:eastAsia="仿宋_GB2312;仿宋" w:hAnsi="Arial" w:cs="Arial"/>
          <w:bCs/>
          <w:color w:val="000000"/>
          <w:sz w:val="28"/>
          <w:szCs w:val="28"/>
        </w:rPr>
        <w:t>。其中，消费品价格下降</w:t>
      </w:r>
      <w:r>
        <w:rPr>
          <w:rFonts w:ascii="Arial" w:eastAsia="仿宋_GB2312;仿宋" w:hAnsi="Arial" w:cs="Arial"/>
          <w:bCs/>
          <w:color w:val="000000"/>
          <w:sz w:val="28"/>
          <w:szCs w:val="28"/>
        </w:rPr>
        <w:t>1.2%</w:t>
      </w:r>
      <w:r>
        <w:rPr>
          <w:rFonts w:ascii="Arial" w:eastAsia="仿宋_GB2312;仿宋" w:hAnsi="Arial" w:cs="Arial"/>
          <w:bCs/>
          <w:color w:val="000000"/>
          <w:sz w:val="28"/>
          <w:szCs w:val="28"/>
        </w:rPr>
        <w:t>，服务价格上涨</w:t>
      </w:r>
      <w:r>
        <w:rPr>
          <w:rFonts w:ascii="Arial" w:eastAsia="仿宋_GB2312;仿宋" w:hAnsi="Arial" w:cs="Arial"/>
          <w:bCs/>
          <w:color w:val="000000"/>
          <w:sz w:val="28"/>
          <w:szCs w:val="28"/>
        </w:rPr>
        <w:t>1.7%</w:t>
      </w:r>
      <w:r>
        <w:rPr>
          <w:rFonts w:ascii="Arial" w:eastAsia="仿宋_GB2312;仿宋" w:hAnsi="Arial" w:cs="Arial"/>
          <w:bCs/>
          <w:color w:val="000000"/>
          <w:sz w:val="28"/>
          <w:szCs w:val="28"/>
        </w:rPr>
        <w:t>。八大类商品和服务项目中，教育文化娱乐类价格上涨</w:t>
      </w:r>
      <w:r>
        <w:rPr>
          <w:rFonts w:ascii="Arial" w:eastAsia="仿宋_GB2312;仿宋" w:hAnsi="Arial" w:cs="Arial"/>
          <w:bCs/>
          <w:color w:val="000000"/>
          <w:sz w:val="28"/>
          <w:szCs w:val="28"/>
        </w:rPr>
        <w:t>6.2%</w:t>
      </w:r>
      <w:r>
        <w:rPr>
          <w:rFonts w:ascii="Arial" w:eastAsia="仿宋_GB2312;仿宋" w:hAnsi="Arial" w:cs="Arial"/>
          <w:bCs/>
          <w:color w:val="000000"/>
          <w:sz w:val="28"/>
          <w:szCs w:val="28"/>
        </w:rPr>
        <w:t>，其他用品及服务类价格上涨</w:t>
      </w:r>
      <w:r>
        <w:rPr>
          <w:rFonts w:ascii="Arial" w:eastAsia="仿宋_GB2312;仿宋" w:hAnsi="Arial" w:cs="Arial"/>
          <w:bCs/>
          <w:color w:val="000000"/>
          <w:sz w:val="28"/>
          <w:szCs w:val="28"/>
        </w:rPr>
        <w:t>3.5%</w:t>
      </w:r>
      <w:r>
        <w:rPr>
          <w:rFonts w:ascii="Arial" w:eastAsia="仿宋_GB2312;仿宋" w:hAnsi="Arial" w:cs="Arial"/>
          <w:bCs/>
          <w:color w:val="000000"/>
          <w:sz w:val="28"/>
          <w:szCs w:val="28"/>
        </w:rPr>
        <w:t>，衣着类价格上涨</w:t>
      </w:r>
      <w:r>
        <w:rPr>
          <w:rFonts w:ascii="Arial" w:eastAsia="仿宋_GB2312;仿宋" w:hAnsi="Arial" w:cs="Arial"/>
          <w:bCs/>
          <w:color w:val="000000"/>
          <w:sz w:val="28"/>
          <w:szCs w:val="28"/>
        </w:rPr>
        <w:t>0.4%</w:t>
      </w:r>
      <w:r>
        <w:rPr>
          <w:rFonts w:ascii="Arial" w:eastAsia="仿宋_GB2312;仿宋" w:hAnsi="Arial" w:cs="Arial"/>
          <w:bCs/>
          <w:color w:val="000000"/>
          <w:sz w:val="28"/>
          <w:szCs w:val="28"/>
        </w:rPr>
        <w:t>，生活用品及服务类价格上涨</w:t>
      </w:r>
      <w:r>
        <w:rPr>
          <w:rFonts w:ascii="Arial" w:eastAsia="仿宋_GB2312;仿宋" w:hAnsi="Arial" w:cs="Arial"/>
          <w:bCs/>
          <w:color w:val="000000"/>
          <w:sz w:val="28"/>
          <w:szCs w:val="28"/>
        </w:rPr>
        <w:t>0.3%</w:t>
      </w:r>
      <w:r>
        <w:rPr>
          <w:rFonts w:ascii="Arial" w:eastAsia="仿宋_GB2312;仿宋" w:hAnsi="Arial" w:cs="Arial"/>
          <w:bCs/>
          <w:color w:val="000000"/>
          <w:sz w:val="28"/>
          <w:szCs w:val="28"/>
        </w:rPr>
        <w:t>，医疗保健类价格上涨</w:t>
      </w:r>
      <w:r>
        <w:rPr>
          <w:rFonts w:ascii="Arial" w:eastAsia="仿宋_GB2312;仿宋" w:hAnsi="Arial" w:cs="Arial"/>
          <w:bCs/>
          <w:color w:val="000000"/>
          <w:sz w:val="28"/>
          <w:szCs w:val="28"/>
        </w:rPr>
        <w:t>0.1%</w:t>
      </w:r>
      <w:r>
        <w:rPr>
          <w:rFonts w:ascii="Arial" w:eastAsia="仿宋_GB2312;仿宋" w:hAnsi="Arial" w:cs="Arial"/>
          <w:bCs/>
          <w:color w:val="000000"/>
          <w:sz w:val="28"/>
          <w:szCs w:val="28"/>
        </w:rPr>
        <w:t>，居住类价格同比持平，食品烟酒类价格下降</w:t>
      </w:r>
      <w:r>
        <w:rPr>
          <w:rFonts w:ascii="Arial" w:eastAsia="仿宋_GB2312;仿宋" w:hAnsi="Arial" w:cs="Arial"/>
          <w:bCs/>
          <w:color w:val="000000"/>
          <w:sz w:val="28"/>
          <w:szCs w:val="28"/>
        </w:rPr>
        <w:t>2.7%</w:t>
      </w:r>
      <w:r>
        <w:rPr>
          <w:rFonts w:ascii="Arial" w:eastAsia="仿宋_GB2312;仿宋" w:hAnsi="Arial" w:cs="Arial"/>
          <w:bCs/>
          <w:color w:val="000000"/>
          <w:sz w:val="28"/>
          <w:szCs w:val="28"/>
        </w:rPr>
        <w:t>，交通通信类价格下降</w:t>
      </w:r>
      <w:r>
        <w:rPr>
          <w:rFonts w:ascii="Arial" w:eastAsia="仿宋_GB2312;仿宋" w:hAnsi="Arial" w:cs="Arial"/>
          <w:bCs/>
          <w:color w:val="000000"/>
          <w:sz w:val="28"/>
          <w:szCs w:val="28"/>
        </w:rPr>
        <w:t>0.1%</w:t>
      </w:r>
      <w:r>
        <w:rPr>
          <w:rFonts w:ascii="Arial" w:eastAsia="仿宋_GB2312;仿宋" w:hAnsi="Arial" w:cs="Arial"/>
          <w:bCs/>
          <w:color w:val="000000"/>
          <w:sz w:val="28"/>
          <w:szCs w:val="28"/>
        </w:rPr>
        <w:t>。</w:t>
      </w:r>
      <w:r>
        <w:rPr>
          <w:rFonts w:ascii="Arial" w:eastAsia="仿宋_GB2312;仿宋" w:hAnsi="Arial" w:cs="Arial"/>
          <w:bCs/>
          <w:color w:val="000000"/>
          <w:sz w:val="28"/>
          <w:szCs w:val="28"/>
        </w:rPr>
        <w:t>3</w:t>
      </w:r>
      <w:r>
        <w:rPr>
          <w:rFonts w:ascii="Arial" w:eastAsia="仿宋_GB2312;仿宋" w:hAnsi="Arial" w:cs="Arial"/>
          <w:bCs/>
          <w:color w:val="000000"/>
          <w:sz w:val="28"/>
          <w:szCs w:val="28"/>
        </w:rPr>
        <w:t>月份，居民消费价格同比持平，环比下降</w:t>
      </w:r>
      <w:r>
        <w:rPr>
          <w:rFonts w:ascii="Arial" w:eastAsia="仿宋_GB2312;仿宋" w:hAnsi="Arial" w:cs="Arial"/>
          <w:bCs/>
          <w:color w:val="000000"/>
          <w:sz w:val="28"/>
          <w:szCs w:val="28"/>
        </w:rPr>
        <w:t>1.1%</w:t>
      </w:r>
      <w:r>
        <w:rPr>
          <w:rFonts w:ascii="Arial" w:eastAsia="仿宋_GB2312;仿宋" w:hAnsi="Arial" w:cs="Arial"/>
          <w:bCs/>
          <w:color w:val="000000"/>
          <w:sz w:val="28"/>
          <w:szCs w:val="28"/>
        </w:rPr>
        <w:t>。</w:t>
      </w:r>
    </w:p>
    <w:p w14:paraId="3857DB8E" w14:textId="77777777" w:rsidR="00E70101" w:rsidRDefault="0060680B">
      <w:pPr>
        <w:overflowPunct w:val="0"/>
        <w:spacing w:line="360" w:lineRule="auto"/>
        <w:ind w:firstLine="560"/>
        <w:jc w:val="both"/>
      </w:pPr>
      <w:r>
        <w:rPr>
          <w:rFonts w:ascii="Arial" w:eastAsia="仿宋_GB2312;仿宋" w:hAnsi="Arial" w:cs="Arial"/>
          <w:bCs/>
          <w:color w:val="000000"/>
          <w:sz w:val="28"/>
          <w:szCs w:val="28"/>
        </w:rPr>
        <w:t>一季度，北京市工业生产者出厂价格同比下降</w:t>
      </w:r>
      <w:r>
        <w:rPr>
          <w:rFonts w:ascii="Arial" w:eastAsia="仿宋_GB2312;仿宋" w:hAnsi="Arial" w:cs="Arial"/>
          <w:bCs/>
          <w:color w:val="000000"/>
          <w:sz w:val="28"/>
          <w:szCs w:val="28"/>
        </w:rPr>
        <w:t>1.1%</w:t>
      </w:r>
      <w:r>
        <w:rPr>
          <w:rFonts w:ascii="Arial" w:eastAsia="仿宋_GB2312;仿宋" w:hAnsi="Arial" w:cs="Arial"/>
          <w:bCs/>
          <w:color w:val="000000"/>
          <w:sz w:val="28"/>
          <w:szCs w:val="28"/>
        </w:rPr>
        <w:t>，购进价格同比下降</w:t>
      </w:r>
      <w:r>
        <w:rPr>
          <w:rFonts w:ascii="Arial" w:eastAsia="仿宋_GB2312;仿宋" w:hAnsi="Arial" w:cs="Arial"/>
          <w:bCs/>
          <w:color w:val="000000"/>
          <w:sz w:val="28"/>
          <w:szCs w:val="28"/>
        </w:rPr>
        <w:t>1.4%</w:t>
      </w:r>
      <w:r>
        <w:rPr>
          <w:rFonts w:ascii="Arial" w:eastAsia="仿宋_GB2312;仿宋" w:hAnsi="Arial" w:cs="Arial"/>
          <w:bCs/>
          <w:color w:val="000000"/>
          <w:sz w:val="28"/>
          <w:szCs w:val="28"/>
        </w:rPr>
        <w:t>。</w:t>
      </w:r>
      <w:r>
        <w:rPr>
          <w:rFonts w:ascii="Arial" w:eastAsia="仿宋_GB2312;仿宋" w:hAnsi="Arial" w:cs="Arial"/>
          <w:bCs/>
          <w:color w:val="000000"/>
          <w:sz w:val="28"/>
          <w:szCs w:val="28"/>
        </w:rPr>
        <w:t>3</w:t>
      </w:r>
      <w:r>
        <w:rPr>
          <w:rFonts w:ascii="Arial" w:eastAsia="仿宋_GB2312;仿宋" w:hAnsi="Arial" w:cs="Arial"/>
          <w:bCs/>
          <w:color w:val="000000"/>
          <w:sz w:val="28"/>
          <w:szCs w:val="28"/>
        </w:rPr>
        <w:t>月份，工业生产者出厂价格同比下降</w:t>
      </w:r>
      <w:r>
        <w:rPr>
          <w:rFonts w:ascii="Arial" w:eastAsia="仿宋_GB2312;仿宋" w:hAnsi="Arial" w:cs="Arial"/>
          <w:bCs/>
          <w:color w:val="000000"/>
          <w:sz w:val="28"/>
          <w:szCs w:val="28"/>
        </w:rPr>
        <w:t>1.5%</w:t>
      </w:r>
      <w:r>
        <w:rPr>
          <w:rFonts w:ascii="Arial" w:eastAsia="仿宋_GB2312;仿宋" w:hAnsi="Arial" w:cs="Arial"/>
          <w:bCs/>
          <w:color w:val="000000"/>
          <w:sz w:val="28"/>
          <w:szCs w:val="28"/>
        </w:rPr>
        <w:t>，环比下降</w:t>
      </w:r>
      <w:r>
        <w:rPr>
          <w:rFonts w:ascii="Arial" w:eastAsia="仿宋_GB2312;仿宋" w:hAnsi="Arial" w:cs="Arial"/>
          <w:bCs/>
          <w:color w:val="000000"/>
          <w:sz w:val="28"/>
          <w:szCs w:val="28"/>
        </w:rPr>
        <w:t>0.2%</w:t>
      </w:r>
      <w:r>
        <w:rPr>
          <w:rFonts w:ascii="Arial" w:eastAsia="仿宋_GB2312;仿宋" w:hAnsi="Arial" w:cs="Arial"/>
          <w:bCs/>
          <w:color w:val="000000"/>
          <w:sz w:val="28"/>
          <w:szCs w:val="28"/>
        </w:rPr>
        <w:t>；购进价格同比下降</w:t>
      </w:r>
      <w:r>
        <w:rPr>
          <w:rFonts w:ascii="Arial" w:eastAsia="仿宋_GB2312;仿宋" w:hAnsi="Arial" w:cs="Arial"/>
          <w:bCs/>
          <w:color w:val="000000"/>
          <w:sz w:val="28"/>
          <w:szCs w:val="28"/>
        </w:rPr>
        <w:t>1.4%</w:t>
      </w:r>
      <w:r>
        <w:rPr>
          <w:rFonts w:ascii="Arial" w:eastAsia="仿宋_GB2312;仿宋" w:hAnsi="Arial" w:cs="Arial"/>
          <w:bCs/>
          <w:color w:val="000000"/>
          <w:sz w:val="28"/>
          <w:szCs w:val="28"/>
        </w:rPr>
        <w:t>，环比持平。</w:t>
      </w:r>
    </w:p>
    <w:p w14:paraId="1D8EA9E9" w14:textId="77777777" w:rsidR="00E70101" w:rsidRDefault="0060680B">
      <w:pPr>
        <w:overflowPunct w:val="0"/>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w:t>
      </w:r>
      <w:r>
        <w:rPr>
          <w:rFonts w:ascii="Arial" w:eastAsia="仿宋_GB2312;仿宋" w:hAnsi="Arial" w:cs="Arial"/>
          <w:bCs/>
          <w:color w:val="000000"/>
          <w:sz w:val="28"/>
          <w:szCs w:val="28"/>
        </w:rPr>
        <w:t>7</w:t>
      </w:r>
      <w:r>
        <w:rPr>
          <w:rFonts w:ascii="Arial" w:eastAsia="仿宋_GB2312;仿宋" w:hAnsi="Arial" w:cs="Arial"/>
          <w:bCs/>
          <w:color w:val="000000"/>
          <w:sz w:val="28"/>
          <w:szCs w:val="28"/>
        </w:rPr>
        <w:t>）</w:t>
      </w:r>
      <w:r>
        <w:rPr>
          <w:rFonts w:ascii="Arial" w:eastAsia="仿宋_GB2312;仿宋" w:hAnsi="Arial" w:cs="Arial"/>
          <w:color w:val="000000"/>
          <w:sz w:val="28"/>
          <w:szCs w:val="28"/>
        </w:rPr>
        <w:t>就业形势总体稳定，居民收入稳步增加</w:t>
      </w:r>
    </w:p>
    <w:p w14:paraId="05190286" w14:textId="77777777" w:rsidR="00E70101" w:rsidRDefault="0060680B">
      <w:pPr>
        <w:overflowPunct w:val="0"/>
        <w:spacing w:line="360" w:lineRule="auto"/>
        <w:ind w:firstLine="560"/>
        <w:jc w:val="both"/>
      </w:pPr>
      <w:r>
        <w:rPr>
          <w:rFonts w:ascii="Arial" w:eastAsia="仿宋_GB2312;仿宋" w:hAnsi="Arial" w:cs="Arial"/>
          <w:bCs/>
          <w:color w:val="000000"/>
          <w:sz w:val="28"/>
          <w:szCs w:val="28"/>
        </w:rPr>
        <w:t>一季度，北京市城镇调查失业率均值为</w:t>
      </w:r>
      <w:r>
        <w:rPr>
          <w:rFonts w:ascii="Arial" w:eastAsia="仿宋_GB2312;仿宋" w:hAnsi="Arial" w:cs="Arial"/>
          <w:bCs/>
          <w:color w:val="000000"/>
          <w:sz w:val="28"/>
          <w:szCs w:val="28"/>
        </w:rPr>
        <w:t>4.2%</w:t>
      </w:r>
      <w:r>
        <w:rPr>
          <w:rFonts w:ascii="Arial" w:eastAsia="仿宋_GB2312;仿宋" w:hAnsi="Arial" w:cs="Arial"/>
          <w:bCs/>
          <w:color w:val="000000"/>
          <w:sz w:val="28"/>
          <w:szCs w:val="28"/>
        </w:rPr>
        <w:t>，低于上年同期</w:t>
      </w:r>
      <w:r>
        <w:rPr>
          <w:rFonts w:ascii="Arial" w:eastAsia="仿宋_GB2312;仿宋" w:hAnsi="Arial" w:cs="Arial"/>
          <w:bCs/>
          <w:color w:val="000000"/>
          <w:sz w:val="28"/>
          <w:szCs w:val="28"/>
        </w:rPr>
        <w:t>0.4</w:t>
      </w:r>
      <w:r>
        <w:rPr>
          <w:rFonts w:ascii="Arial" w:eastAsia="仿宋_GB2312;仿宋" w:hAnsi="Arial" w:cs="Arial"/>
          <w:bCs/>
          <w:color w:val="000000"/>
          <w:sz w:val="28"/>
          <w:szCs w:val="28"/>
        </w:rPr>
        <w:t>个百分点；</w:t>
      </w:r>
      <w:r>
        <w:rPr>
          <w:rFonts w:ascii="Arial" w:eastAsia="仿宋_GB2312;仿宋" w:hAnsi="Arial" w:cs="Arial"/>
          <w:bCs/>
          <w:color w:val="000000"/>
          <w:sz w:val="28"/>
          <w:szCs w:val="28"/>
        </w:rPr>
        <w:t>3</w:t>
      </w:r>
      <w:r>
        <w:rPr>
          <w:rFonts w:ascii="Arial" w:eastAsia="仿宋_GB2312;仿宋" w:hAnsi="Arial" w:cs="Arial"/>
          <w:bCs/>
          <w:color w:val="000000"/>
          <w:sz w:val="28"/>
          <w:szCs w:val="28"/>
        </w:rPr>
        <w:t>月份，城镇调查失业率为</w:t>
      </w:r>
      <w:r>
        <w:rPr>
          <w:rFonts w:ascii="Arial" w:eastAsia="仿宋_GB2312;仿宋" w:hAnsi="Arial" w:cs="Arial"/>
          <w:bCs/>
          <w:color w:val="000000"/>
          <w:sz w:val="28"/>
          <w:szCs w:val="28"/>
        </w:rPr>
        <w:t>4.3%</w:t>
      </w:r>
      <w:r>
        <w:rPr>
          <w:rFonts w:ascii="Arial" w:eastAsia="仿宋_GB2312;仿宋" w:hAnsi="Arial" w:cs="Arial"/>
          <w:bCs/>
          <w:color w:val="000000"/>
          <w:sz w:val="28"/>
          <w:szCs w:val="28"/>
        </w:rPr>
        <w:t>，环比持平。</w:t>
      </w:r>
    </w:p>
    <w:p w14:paraId="2B828EF8" w14:textId="77777777" w:rsidR="00E70101" w:rsidRDefault="0060680B">
      <w:pPr>
        <w:overflowPunct w:val="0"/>
        <w:spacing w:line="360" w:lineRule="auto"/>
        <w:ind w:firstLine="560"/>
        <w:jc w:val="both"/>
      </w:pPr>
      <w:r>
        <w:rPr>
          <w:rFonts w:ascii="Arial" w:eastAsia="仿宋_GB2312;仿宋" w:hAnsi="Arial" w:cs="Arial"/>
          <w:bCs/>
          <w:color w:val="000000"/>
          <w:sz w:val="28"/>
          <w:szCs w:val="28"/>
        </w:rPr>
        <w:t>一季度，北京市居民人均可支配收入</w:t>
      </w:r>
      <w:r>
        <w:rPr>
          <w:rFonts w:ascii="Arial" w:eastAsia="仿宋_GB2312;仿宋" w:hAnsi="Arial" w:cs="Arial"/>
          <w:bCs/>
          <w:color w:val="000000"/>
          <w:sz w:val="28"/>
          <w:szCs w:val="28"/>
        </w:rPr>
        <w:t>22481</w:t>
      </w:r>
      <w:r>
        <w:rPr>
          <w:rFonts w:ascii="Arial" w:eastAsia="仿宋_GB2312;仿宋" w:hAnsi="Arial" w:cs="Arial"/>
          <w:bCs/>
          <w:color w:val="000000"/>
          <w:sz w:val="28"/>
          <w:szCs w:val="28"/>
        </w:rPr>
        <w:t>元，同比名义增长</w:t>
      </w:r>
      <w:r>
        <w:rPr>
          <w:rFonts w:ascii="Arial" w:eastAsia="仿宋_GB2312;仿宋" w:hAnsi="Arial" w:cs="Arial"/>
          <w:bCs/>
          <w:color w:val="000000"/>
          <w:sz w:val="28"/>
          <w:szCs w:val="28"/>
        </w:rPr>
        <w:t>5.2%</w:t>
      </w:r>
      <w:r>
        <w:rPr>
          <w:rFonts w:ascii="Arial" w:eastAsia="仿宋_GB2312;仿宋" w:hAnsi="Arial" w:cs="Arial"/>
          <w:bCs/>
          <w:color w:val="000000"/>
          <w:sz w:val="28"/>
          <w:szCs w:val="28"/>
        </w:rPr>
        <w:t>，扣除价格因素实际增长</w:t>
      </w:r>
      <w:r>
        <w:rPr>
          <w:rFonts w:ascii="Arial" w:eastAsia="仿宋_GB2312;仿宋" w:hAnsi="Arial" w:cs="Arial"/>
          <w:bCs/>
          <w:color w:val="000000"/>
          <w:sz w:val="28"/>
          <w:szCs w:val="28"/>
        </w:rPr>
        <w:t>5.0%</w:t>
      </w:r>
      <w:r>
        <w:rPr>
          <w:rFonts w:ascii="Arial" w:eastAsia="仿宋_GB2312;仿宋" w:hAnsi="Arial" w:cs="Arial"/>
          <w:bCs/>
          <w:color w:val="000000"/>
          <w:sz w:val="28"/>
          <w:szCs w:val="28"/>
        </w:rPr>
        <w:t>。其中，工资性收入增长</w:t>
      </w:r>
      <w:r>
        <w:rPr>
          <w:rFonts w:ascii="Arial" w:eastAsia="仿宋_GB2312;仿宋" w:hAnsi="Arial" w:cs="Arial"/>
          <w:bCs/>
          <w:color w:val="000000"/>
          <w:sz w:val="28"/>
          <w:szCs w:val="28"/>
        </w:rPr>
        <w:t>6.5%</w:t>
      </w:r>
      <w:r>
        <w:rPr>
          <w:rFonts w:ascii="Arial" w:eastAsia="仿宋_GB2312;仿宋" w:hAnsi="Arial" w:cs="Arial"/>
          <w:bCs/>
          <w:color w:val="000000"/>
          <w:sz w:val="28"/>
          <w:szCs w:val="28"/>
        </w:rPr>
        <w:t>，经营净收入增长</w:t>
      </w:r>
      <w:r>
        <w:rPr>
          <w:rFonts w:ascii="Arial" w:eastAsia="仿宋_GB2312;仿宋" w:hAnsi="Arial" w:cs="Arial"/>
          <w:bCs/>
          <w:color w:val="000000"/>
          <w:sz w:val="28"/>
          <w:szCs w:val="28"/>
        </w:rPr>
        <w:t>0.4%</w:t>
      </w:r>
      <w:r>
        <w:rPr>
          <w:rFonts w:ascii="Arial" w:eastAsia="仿宋_GB2312;仿宋" w:hAnsi="Arial" w:cs="Arial"/>
          <w:bCs/>
          <w:color w:val="000000"/>
          <w:sz w:val="28"/>
          <w:szCs w:val="28"/>
        </w:rPr>
        <w:t>，财产净收入增长</w:t>
      </w:r>
      <w:r>
        <w:rPr>
          <w:rFonts w:ascii="Arial" w:eastAsia="仿宋_GB2312;仿宋" w:hAnsi="Arial" w:cs="Arial"/>
          <w:bCs/>
          <w:color w:val="000000"/>
          <w:sz w:val="28"/>
          <w:szCs w:val="28"/>
        </w:rPr>
        <w:t>2.5%</w:t>
      </w:r>
      <w:r>
        <w:rPr>
          <w:rFonts w:ascii="Arial" w:eastAsia="仿宋_GB2312;仿宋" w:hAnsi="Arial" w:cs="Arial"/>
          <w:bCs/>
          <w:color w:val="000000"/>
          <w:sz w:val="28"/>
          <w:szCs w:val="28"/>
        </w:rPr>
        <w:t>，转移净收入增长</w:t>
      </w:r>
      <w:r>
        <w:rPr>
          <w:rFonts w:ascii="Arial" w:eastAsia="仿宋_GB2312;仿宋" w:hAnsi="Arial" w:cs="Arial"/>
          <w:bCs/>
          <w:color w:val="000000"/>
          <w:sz w:val="28"/>
          <w:szCs w:val="28"/>
        </w:rPr>
        <w:t>3.3%</w:t>
      </w:r>
      <w:r>
        <w:rPr>
          <w:rFonts w:ascii="Arial" w:eastAsia="仿宋_GB2312;仿宋" w:hAnsi="Arial" w:cs="Arial"/>
          <w:bCs/>
          <w:color w:val="000000"/>
          <w:sz w:val="28"/>
          <w:szCs w:val="28"/>
        </w:rPr>
        <w:t>。城镇居民人均可支配收入</w:t>
      </w:r>
      <w:r>
        <w:rPr>
          <w:rFonts w:ascii="Arial" w:eastAsia="仿宋_GB2312;仿宋" w:hAnsi="Arial" w:cs="Arial"/>
          <w:bCs/>
          <w:color w:val="000000"/>
          <w:sz w:val="28"/>
          <w:szCs w:val="28"/>
        </w:rPr>
        <w:t>24210</w:t>
      </w:r>
      <w:r>
        <w:rPr>
          <w:rFonts w:ascii="Arial" w:eastAsia="仿宋_GB2312;仿宋" w:hAnsi="Arial" w:cs="Arial"/>
          <w:bCs/>
          <w:color w:val="000000"/>
          <w:sz w:val="28"/>
          <w:szCs w:val="28"/>
        </w:rPr>
        <w:t>元，同比增长</w:t>
      </w:r>
      <w:r>
        <w:rPr>
          <w:rFonts w:ascii="Arial" w:eastAsia="仿宋_GB2312;仿宋" w:hAnsi="Arial" w:cs="Arial"/>
          <w:bCs/>
          <w:color w:val="000000"/>
          <w:sz w:val="28"/>
          <w:szCs w:val="28"/>
        </w:rPr>
        <w:t>5.0%</w:t>
      </w:r>
      <w:r>
        <w:rPr>
          <w:rFonts w:ascii="Arial" w:eastAsia="仿宋_GB2312;仿宋" w:hAnsi="Arial" w:cs="Arial"/>
          <w:bCs/>
          <w:color w:val="000000"/>
          <w:sz w:val="28"/>
          <w:szCs w:val="28"/>
        </w:rPr>
        <w:t>，农村居民人均可支配收入</w:t>
      </w:r>
      <w:r>
        <w:rPr>
          <w:rFonts w:ascii="Arial" w:eastAsia="仿宋_GB2312;仿宋" w:hAnsi="Arial" w:cs="Arial"/>
          <w:bCs/>
          <w:color w:val="000000"/>
          <w:sz w:val="28"/>
          <w:szCs w:val="28"/>
        </w:rPr>
        <w:t>11305</w:t>
      </w:r>
      <w:r>
        <w:rPr>
          <w:rFonts w:ascii="Arial" w:eastAsia="仿宋_GB2312;仿宋" w:hAnsi="Arial" w:cs="Arial"/>
          <w:bCs/>
          <w:color w:val="000000"/>
          <w:sz w:val="28"/>
          <w:szCs w:val="28"/>
        </w:rPr>
        <w:t>元，同比增长</w:t>
      </w:r>
      <w:r>
        <w:rPr>
          <w:rFonts w:ascii="Arial" w:eastAsia="仿宋_GB2312;仿宋" w:hAnsi="Arial" w:cs="Arial"/>
          <w:bCs/>
          <w:color w:val="000000"/>
          <w:sz w:val="28"/>
          <w:szCs w:val="28"/>
        </w:rPr>
        <w:t>7.1%</w:t>
      </w:r>
      <w:r>
        <w:rPr>
          <w:rFonts w:ascii="Arial" w:eastAsia="仿宋_GB2312;仿宋" w:hAnsi="Arial" w:cs="Arial"/>
          <w:bCs/>
          <w:color w:val="000000"/>
          <w:sz w:val="28"/>
          <w:szCs w:val="28"/>
        </w:rPr>
        <w:t>。</w:t>
      </w:r>
    </w:p>
    <w:p w14:paraId="4AB39417" w14:textId="77777777" w:rsidR="00E70101" w:rsidRDefault="0060680B">
      <w:pPr>
        <w:overflowPunct w:val="0"/>
        <w:spacing w:line="360" w:lineRule="auto"/>
        <w:ind w:firstLine="560"/>
        <w:jc w:val="both"/>
      </w:pPr>
      <w:r>
        <w:rPr>
          <w:rFonts w:ascii="Arial" w:eastAsia="仿宋_GB2312;仿宋" w:hAnsi="Arial" w:cs="Arial"/>
          <w:bCs/>
          <w:color w:val="000000"/>
          <w:sz w:val="28"/>
          <w:szCs w:val="28"/>
        </w:rPr>
        <w:t>一季度，北京市居民人均消费支出</w:t>
      </w:r>
      <w:r>
        <w:rPr>
          <w:rFonts w:ascii="Arial" w:eastAsia="仿宋_GB2312;仿宋" w:hAnsi="Arial" w:cs="Arial"/>
          <w:bCs/>
          <w:color w:val="000000"/>
          <w:sz w:val="28"/>
          <w:szCs w:val="28"/>
        </w:rPr>
        <w:t>13034</w:t>
      </w:r>
      <w:r>
        <w:rPr>
          <w:rFonts w:ascii="Arial" w:eastAsia="仿宋_GB2312;仿宋" w:hAnsi="Arial" w:cs="Arial"/>
          <w:bCs/>
          <w:color w:val="000000"/>
          <w:sz w:val="28"/>
          <w:szCs w:val="28"/>
        </w:rPr>
        <w:t>元，同比增长</w:t>
      </w:r>
      <w:r>
        <w:rPr>
          <w:rFonts w:ascii="Arial" w:eastAsia="仿宋_GB2312;仿宋" w:hAnsi="Arial" w:cs="Arial"/>
          <w:bCs/>
          <w:color w:val="000000"/>
          <w:sz w:val="28"/>
          <w:szCs w:val="28"/>
        </w:rPr>
        <w:t>8.2%,</w:t>
      </w:r>
      <w:r>
        <w:rPr>
          <w:rFonts w:ascii="Arial" w:eastAsia="仿宋_GB2312;仿宋" w:hAnsi="Arial" w:cs="Arial"/>
          <w:bCs/>
          <w:color w:val="000000"/>
          <w:sz w:val="28"/>
          <w:szCs w:val="28"/>
        </w:rPr>
        <w:t>其中，城镇居民人均消费支出</w:t>
      </w:r>
      <w:r>
        <w:rPr>
          <w:rFonts w:ascii="Arial" w:eastAsia="仿宋_GB2312;仿宋" w:hAnsi="Arial" w:cs="Arial"/>
          <w:bCs/>
          <w:color w:val="000000"/>
          <w:sz w:val="28"/>
          <w:szCs w:val="28"/>
        </w:rPr>
        <w:t>13938</w:t>
      </w:r>
      <w:r>
        <w:rPr>
          <w:rFonts w:ascii="Arial" w:eastAsia="仿宋_GB2312;仿宋" w:hAnsi="Arial" w:cs="Arial"/>
          <w:bCs/>
          <w:color w:val="000000"/>
          <w:sz w:val="28"/>
          <w:szCs w:val="28"/>
        </w:rPr>
        <w:t>元，同比增长</w:t>
      </w:r>
      <w:r>
        <w:rPr>
          <w:rFonts w:ascii="Arial" w:eastAsia="仿宋_GB2312;仿宋" w:hAnsi="Arial" w:cs="Arial"/>
          <w:bCs/>
          <w:color w:val="000000"/>
          <w:sz w:val="28"/>
          <w:szCs w:val="28"/>
        </w:rPr>
        <w:t>8.3%</w:t>
      </w:r>
      <w:r>
        <w:rPr>
          <w:rFonts w:ascii="Arial" w:eastAsia="仿宋_GB2312;仿宋" w:hAnsi="Arial" w:cs="Arial"/>
          <w:bCs/>
          <w:color w:val="000000"/>
          <w:sz w:val="28"/>
          <w:szCs w:val="28"/>
        </w:rPr>
        <w:t>，农村居民人均消费支出</w:t>
      </w:r>
      <w:r>
        <w:rPr>
          <w:rFonts w:ascii="Arial" w:eastAsia="仿宋_GB2312;仿宋" w:hAnsi="Arial" w:cs="Arial"/>
          <w:bCs/>
          <w:color w:val="000000"/>
          <w:sz w:val="28"/>
          <w:szCs w:val="28"/>
        </w:rPr>
        <w:t>7190</w:t>
      </w:r>
      <w:r>
        <w:rPr>
          <w:rFonts w:ascii="Arial" w:eastAsia="仿宋_GB2312;仿宋" w:hAnsi="Arial" w:cs="Arial"/>
          <w:bCs/>
          <w:color w:val="000000"/>
          <w:sz w:val="28"/>
          <w:szCs w:val="28"/>
        </w:rPr>
        <w:t>元，同比增长</w:t>
      </w:r>
      <w:r>
        <w:rPr>
          <w:rFonts w:ascii="Arial" w:eastAsia="仿宋_GB2312;仿宋" w:hAnsi="Arial" w:cs="Arial"/>
          <w:bCs/>
          <w:color w:val="000000"/>
          <w:sz w:val="28"/>
          <w:szCs w:val="28"/>
        </w:rPr>
        <w:t>7.2%</w:t>
      </w:r>
      <w:r>
        <w:rPr>
          <w:rFonts w:ascii="Arial" w:eastAsia="仿宋_GB2312;仿宋" w:hAnsi="Arial" w:cs="Arial"/>
          <w:bCs/>
          <w:color w:val="000000"/>
          <w:sz w:val="28"/>
          <w:szCs w:val="28"/>
        </w:rPr>
        <w:t>。</w:t>
      </w:r>
    </w:p>
    <w:p w14:paraId="66450195" w14:textId="77777777" w:rsidR="00E70101" w:rsidRDefault="0060680B">
      <w:pPr>
        <w:overflowPunct w:val="0"/>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总的来看，一季度北京市经济呈现回升向好态势，在市委、市政府坚强领导下，全市上下坚决贯彻落实党中央、国务院决策部署，坚持稳中求进、以进促稳、先立后破，统筹协调各项政策措施，着力扩内需、优结构、提信心、防风险，扎实推动高质量发展，生产需求继续好转，就业物价保持稳定，市场预期不断改善，总体经济回升向好，实现良好开局。</w:t>
      </w:r>
    </w:p>
    <w:p w14:paraId="005A990F"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（二）区域因素</w:t>
      </w:r>
    </w:p>
    <w:p w14:paraId="2EAE8574"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 xml:space="preserve">1. </w:t>
      </w:r>
      <w:r>
        <w:rPr>
          <w:rFonts w:ascii="Arial" w:eastAsia="仿宋_GB2312;仿宋" w:hAnsi="Arial" w:cs="Arial"/>
          <w:sz w:val="28"/>
        </w:rPr>
        <w:t>位置状况</w:t>
      </w:r>
    </w:p>
    <w:p w14:paraId="78428509" w14:textId="77777777" w:rsidR="00E70101" w:rsidRDefault="0060680B">
      <w:pPr>
        <w:spacing w:line="360" w:lineRule="auto"/>
        <w:ind w:firstLine="560"/>
        <w:jc w:val="both"/>
        <w:rPr>
          <w:rFonts w:eastAsia="仿宋_GB2312;仿宋"/>
        </w:rPr>
      </w:pPr>
      <w:r>
        <w:rPr>
          <w:rFonts w:ascii="Arial" w:eastAsia="仿宋_GB2312;仿宋" w:hAnsi="Arial" w:cs="Arial"/>
          <w:sz w:val="28"/>
        </w:rPr>
        <w:t>咨询对象位于北京市昌平区北七家镇八仙庄村。北七家镇，北京市昌平区下辖镇，地处昌平区东南部，位于东经</w:t>
      </w:r>
      <w:r>
        <w:rPr>
          <w:rFonts w:ascii="Arial" w:eastAsia="仿宋_GB2312;仿宋" w:hAnsi="Arial" w:cs="Arial"/>
          <w:sz w:val="28"/>
        </w:rPr>
        <w:t>116°20</w:t>
      </w:r>
      <w:r>
        <w:rPr>
          <w:rFonts w:ascii="仿宋_GB2312;仿宋" w:eastAsia="仿宋_GB2312;仿宋" w:hAnsi="仿宋_GB2312;仿宋" w:cs="仿宋_GB2312;仿宋"/>
          <w:sz w:val="28"/>
        </w:rPr>
        <w:t>′</w:t>
      </w:r>
      <w:r>
        <w:rPr>
          <w:rFonts w:ascii="Arial" w:eastAsia="仿宋_GB2312;仿宋" w:hAnsi="Arial" w:cs="Arial"/>
          <w:sz w:val="28"/>
        </w:rPr>
        <w:t>45</w:t>
      </w:r>
      <w:r>
        <w:rPr>
          <w:rFonts w:ascii="仿宋_GB2312;仿宋" w:eastAsia="仿宋_GB2312;仿宋" w:hAnsi="仿宋_GB2312;仿宋" w:cs="仿宋_GB2312;仿宋"/>
          <w:sz w:val="28"/>
        </w:rPr>
        <w:t>″</w:t>
      </w:r>
      <w:r>
        <w:rPr>
          <w:rFonts w:ascii="Arial" w:eastAsia="仿宋_GB2312;仿宋" w:hAnsi="Arial" w:cs="Arial"/>
          <w:sz w:val="28"/>
        </w:rPr>
        <w:t>~116°29</w:t>
      </w:r>
      <w:r>
        <w:rPr>
          <w:rFonts w:ascii="仿宋_GB2312;仿宋" w:eastAsia="仿宋_GB2312;仿宋" w:hAnsi="仿宋_GB2312;仿宋" w:cs="仿宋_GB2312;仿宋"/>
          <w:sz w:val="28"/>
        </w:rPr>
        <w:t>′</w:t>
      </w:r>
      <w:r>
        <w:rPr>
          <w:rFonts w:ascii="Arial" w:eastAsia="仿宋_GB2312;仿宋" w:hAnsi="Arial" w:cs="Arial"/>
          <w:sz w:val="28"/>
        </w:rPr>
        <w:t>11</w:t>
      </w:r>
      <w:r>
        <w:rPr>
          <w:rFonts w:ascii="仿宋_GB2312;仿宋" w:eastAsia="仿宋_GB2312;仿宋" w:hAnsi="仿宋_GB2312;仿宋" w:cs="仿宋_GB2312;仿宋"/>
          <w:sz w:val="28"/>
        </w:rPr>
        <w:t>″</w:t>
      </w:r>
      <w:r>
        <w:rPr>
          <w:rFonts w:ascii="Arial" w:eastAsia="仿宋_GB2312;仿宋" w:hAnsi="Arial" w:cs="Arial"/>
          <w:sz w:val="28"/>
        </w:rPr>
        <w:t>，北纬</w:t>
      </w:r>
      <w:r>
        <w:rPr>
          <w:rFonts w:ascii="Arial" w:eastAsia="仿宋_GB2312;仿宋" w:hAnsi="Arial" w:cs="Arial"/>
          <w:sz w:val="28"/>
        </w:rPr>
        <w:t>40°03</w:t>
      </w:r>
      <w:r>
        <w:rPr>
          <w:rFonts w:ascii="仿宋_GB2312;仿宋" w:eastAsia="仿宋_GB2312;仿宋" w:hAnsi="仿宋_GB2312;仿宋" w:cs="仿宋_GB2312;仿宋"/>
          <w:sz w:val="28"/>
        </w:rPr>
        <w:t>′</w:t>
      </w:r>
      <w:r>
        <w:rPr>
          <w:rFonts w:ascii="Arial" w:eastAsia="仿宋_GB2312;仿宋" w:hAnsi="Arial" w:cs="Arial"/>
          <w:sz w:val="28"/>
        </w:rPr>
        <w:t>27</w:t>
      </w:r>
      <w:r>
        <w:rPr>
          <w:rFonts w:ascii="仿宋_GB2312;仿宋" w:eastAsia="仿宋_GB2312;仿宋" w:hAnsi="仿宋_GB2312;仿宋" w:cs="仿宋_GB2312;仿宋"/>
          <w:sz w:val="28"/>
        </w:rPr>
        <w:t>″</w:t>
      </w:r>
      <w:r>
        <w:rPr>
          <w:rFonts w:ascii="Arial" w:eastAsia="仿宋_GB2312;仿宋" w:hAnsi="Arial" w:cs="Arial"/>
          <w:sz w:val="28"/>
        </w:rPr>
        <w:t>~40°09</w:t>
      </w:r>
      <w:r>
        <w:rPr>
          <w:rFonts w:ascii="仿宋_GB2312;仿宋" w:eastAsia="仿宋_GB2312;仿宋" w:hAnsi="仿宋_GB2312;仿宋" w:cs="仿宋_GB2312;仿宋"/>
          <w:sz w:val="28"/>
        </w:rPr>
        <w:t>′</w:t>
      </w:r>
      <w:r>
        <w:rPr>
          <w:rFonts w:ascii="Arial" w:eastAsia="仿宋_GB2312;仿宋" w:hAnsi="Arial" w:cs="Arial"/>
          <w:sz w:val="28"/>
        </w:rPr>
        <w:t>10</w:t>
      </w:r>
      <w:r>
        <w:rPr>
          <w:rFonts w:ascii="仿宋_GB2312;仿宋" w:eastAsia="仿宋_GB2312;仿宋" w:hAnsi="仿宋_GB2312;仿宋" w:cs="仿宋_GB2312;仿宋"/>
          <w:sz w:val="28"/>
        </w:rPr>
        <w:t>″</w:t>
      </w:r>
      <w:r>
        <w:rPr>
          <w:rFonts w:ascii="Arial" w:eastAsia="仿宋_GB2312;仿宋" w:hAnsi="Arial" w:cs="Arial"/>
          <w:sz w:val="28"/>
        </w:rPr>
        <w:t>之间，东与顺义区后沙峪镇交界，南与朝阳区来广营乡、昌平区东小口镇接壤，西与沙河镇相邻，北与小汤山镇隔温榆河相望。镇域面积</w:t>
      </w:r>
      <w:r>
        <w:rPr>
          <w:rFonts w:ascii="Arial" w:eastAsia="仿宋_GB2312;仿宋" w:hAnsi="Arial" w:cs="Arial"/>
          <w:sz w:val="28"/>
        </w:rPr>
        <w:t>56.65</w:t>
      </w:r>
      <w:r>
        <w:rPr>
          <w:rFonts w:ascii="Arial" w:eastAsia="仿宋_GB2312;仿宋" w:hAnsi="Arial" w:cs="Arial"/>
          <w:sz w:val="28"/>
        </w:rPr>
        <w:t>平方千米。北七家镇地处温榆河冲积平原，地势西北高、东南低。最高点位于西北部八仙庄村西南，海拔</w:t>
      </w:r>
      <w:r>
        <w:rPr>
          <w:rFonts w:ascii="Arial" w:eastAsia="仿宋_GB2312;仿宋" w:hAnsi="Arial" w:cs="Arial"/>
          <w:sz w:val="28"/>
        </w:rPr>
        <w:t>40.8</w:t>
      </w:r>
      <w:r>
        <w:rPr>
          <w:rFonts w:ascii="Arial" w:eastAsia="仿宋_GB2312;仿宋" w:hAnsi="Arial" w:cs="Arial"/>
          <w:sz w:val="28"/>
        </w:rPr>
        <w:t>米，最低点位于东南部鲁瞳村南，海拔</w:t>
      </w:r>
      <w:r>
        <w:rPr>
          <w:rFonts w:ascii="Arial" w:eastAsia="仿宋_GB2312;仿宋" w:hAnsi="Arial" w:cs="Arial"/>
          <w:sz w:val="28"/>
        </w:rPr>
        <w:t>26</w:t>
      </w:r>
      <w:r>
        <w:rPr>
          <w:rFonts w:ascii="Arial" w:eastAsia="仿宋_GB2312;仿宋" w:hAnsi="Arial" w:cs="Arial"/>
          <w:sz w:val="28"/>
        </w:rPr>
        <w:t>米。北七家镇温榆河属北运河水系，从境内北部边缘流过。南部属清河水系，温榆河从西北至东南横贯镇域东南部。</w:t>
      </w:r>
      <w:r>
        <w:rPr>
          <w:rFonts w:ascii="Arial" w:eastAsia="Arial" w:hAnsi="Arial" w:cs="Arial"/>
          <w:sz w:val="28"/>
        </w:rPr>
        <w:t xml:space="preserve"> </w:t>
      </w:r>
    </w:p>
    <w:p w14:paraId="2AF6A6F4" w14:textId="77777777" w:rsidR="00E70101" w:rsidRDefault="0060680B">
      <w:pPr>
        <w:spacing w:line="360" w:lineRule="auto"/>
        <w:ind w:firstLine="560"/>
      </w:pPr>
      <w:r>
        <w:rPr>
          <w:rFonts w:ascii="Arial" w:eastAsia="仿宋_GB2312;仿宋" w:hAnsi="Arial" w:cs="Arial"/>
          <w:sz w:val="28"/>
        </w:rPr>
        <w:t>咨询对象临近八仙庄北大街，距北六环直线距离约</w:t>
      </w:r>
      <w:r>
        <w:rPr>
          <w:rFonts w:ascii="Arial" w:eastAsia="仿宋_GB2312;仿宋" w:hAnsi="Arial" w:cs="Arial"/>
          <w:sz w:val="28"/>
        </w:rPr>
        <w:t>3</w:t>
      </w:r>
      <w:r>
        <w:rPr>
          <w:rFonts w:ascii="Arial" w:eastAsia="仿宋_GB2312;仿宋" w:hAnsi="Arial" w:cs="Arial"/>
          <w:sz w:val="28"/>
        </w:rPr>
        <w:t>公里，至京承高速入口车程约</w:t>
      </w:r>
      <w:r>
        <w:rPr>
          <w:rFonts w:ascii="Arial" w:eastAsia="仿宋_GB2312;仿宋" w:hAnsi="Arial" w:cs="Arial"/>
          <w:sz w:val="28"/>
        </w:rPr>
        <w:t>20</w:t>
      </w:r>
      <w:r>
        <w:rPr>
          <w:rFonts w:ascii="Arial" w:eastAsia="仿宋_GB2312;仿宋" w:hAnsi="Arial" w:cs="Arial"/>
          <w:sz w:val="28"/>
        </w:rPr>
        <w:t>分钟，土地级别属于北京市基准地价工业类七级，地理位置较好。</w:t>
      </w:r>
    </w:p>
    <w:p w14:paraId="536F9BB5"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产业聚集度</w:t>
      </w:r>
    </w:p>
    <w:p w14:paraId="7BB54A03"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咨询对象现状周边以产业用地为主，邻近周边有华润医药商业物流配送中心、北京同仁堂制药厂（北分厂）、国家能源集团新能源技术研究院、国网只能电网研究院有限公司等，物流企业较多，产业集聚程度较好。</w:t>
      </w:r>
    </w:p>
    <w:p w14:paraId="74E55E6E"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交通便捷度</w:t>
      </w:r>
    </w:p>
    <w:p w14:paraId="1E64A038"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咨询对象距北六环直线距离约</w:t>
      </w:r>
      <w:r>
        <w:rPr>
          <w:rFonts w:ascii="Arial" w:eastAsia="仿宋_GB2312;仿宋" w:hAnsi="Arial" w:cs="Arial"/>
          <w:sz w:val="28"/>
        </w:rPr>
        <w:t>3</w:t>
      </w:r>
      <w:r>
        <w:rPr>
          <w:rFonts w:ascii="Arial" w:eastAsia="仿宋_GB2312;仿宋" w:hAnsi="Arial" w:cs="Arial"/>
          <w:sz w:val="28"/>
        </w:rPr>
        <w:t>公里，临近城市次干道</w:t>
      </w:r>
      <w:r>
        <w:rPr>
          <w:rFonts w:ascii="Arial" w:eastAsia="仿宋_GB2312;仿宋" w:hAnsi="Arial" w:cs="Arial"/>
          <w:sz w:val="28"/>
        </w:rPr>
        <w:t>——</w:t>
      </w:r>
      <w:r>
        <w:rPr>
          <w:rFonts w:ascii="Arial" w:eastAsia="仿宋_GB2312;仿宋" w:hAnsi="Arial" w:cs="Arial"/>
          <w:sz w:val="28"/>
        </w:rPr>
        <w:t>八仙庄北大街、周边有</w:t>
      </w:r>
      <w:r>
        <w:rPr>
          <w:rFonts w:ascii="Arial" w:eastAsia="仿宋_GB2312;仿宋" w:hAnsi="Arial" w:cs="Arial"/>
          <w:sz w:val="28"/>
        </w:rPr>
        <w:t>628</w:t>
      </w:r>
      <w:r>
        <w:rPr>
          <w:rFonts w:ascii="Arial" w:eastAsia="仿宋_GB2312;仿宋" w:hAnsi="Arial" w:cs="Arial"/>
          <w:sz w:val="28"/>
        </w:rPr>
        <w:t>路、</w:t>
      </w:r>
      <w:r>
        <w:rPr>
          <w:rFonts w:ascii="Arial" w:eastAsia="仿宋_GB2312;仿宋" w:hAnsi="Arial" w:cs="Arial"/>
          <w:sz w:val="28"/>
        </w:rPr>
        <w:t>860</w:t>
      </w:r>
      <w:r>
        <w:rPr>
          <w:rFonts w:ascii="Arial" w:eastAsia="仿宋_GB2312;仿宋" w:hAnsi="Arial" w:cs="Arial"/>
          <w:sz w:val="28"/>
        </w:rPr>
        <w:t>路、</w:t>
      </w:r>
      <w:r>
        <w:rPr>
          <w:rFonts w:ascii="Arial" w:eastAsia="仿宋_GB2312;仿宋" w:hAnsi="Arial" w:cs="Arial"/>
          <w:sz w:val="28"/>
        </w:rPr>
        <w:t>871</w:t>
      </w:r>
      <w:r>
        <w:rPr>
          <w:rFonts w:ascii="Arial" w:eastAsia="仿宋_GB2312;仿宋" w:hAnsi="Arial" w:cs="Arial"/>
          <w:sz w:val="28"/>
        </w:rPr>
        <w:t>路、</w:t>
      </w:r>
      <w:r>
        <w:rPr>
          <w:rFonts w:ascii="Arial" w:eastAsia="仿宋_GB2312;仿宋" w:hAnsi="Arial" w:cs="Arial"/>
          <w:sz w:val="28"/>
        </w:rPr>
        <w:t>C120</w:t>
      </w:r>
      <w:r>
        <w:rPr>
          <w:rFonts w:ascii="Arial" w:eastAsia="仿宋_GB2312;仿宋" w:hAnsi="Arial" w:cs="Arial"/>
          <w:sz w:val="28"/>
        </w:rPr>
        <w:t>路等多条公交线路，综合评价交通便捷度较好。</w:t>
      </w:r>
    </w:p>
    <w:p w14:paraId="15633A5F"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环境状况</w:t>
      </w:r>
    </w:p>
    <w:p w14:paraId="1AC30091"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咨询对象周边有温榆河、葫芦河、未来科学城滨水公园等自然景观，有北京祥龙大学、北京市商业学校等人文设施，综合评价环境状况较好。</w:t>
      </w:r>
    </w:p>
    <w:p w14:paraId="45F97B0A"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公共配套设施状况</w:t>
      </w:r>
    </w:p>
    <w:p w14:paraId="0EF20999" w14:textId="77777777" w:rsidR="00E70101" w:rsidRDefault="0060680B">
      <w:pPr>
        <w:spacing w:line="360" w:lineRule="auto"/>
        <w:ind w:firstLine="560"/>
      </w:pPr>
      <w:r>
        <w:rPr>
          <w:rFonts w:ascii="Arial" w:eastAsia="仿宋_GB2312;仿宋" w:hAnsi="Arial" w:cs="Arial"/>
          <w:sz w:val="28"/>
        </w:rPr>
        <w:t>咨询对象所处区域目前已拥有较完善的基础设施配套保障，区内大部分区域基础设施配套目前可达到</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（通路、通电、通上水、通下水、通讯、通燃气、通热）条件，保证程度一般。</w:t>
      </w:r>
    </w:p>
    <w:p w14:paraId="7666F9B0" w14:textId="77777777" w:rsidR="00E70101" w:rsidRDefault="0060680B">
      <w:pPr>
        <w:spacing w:line="360" w:lineRule="auto"/>
        <w:ind w:firstLine="560"/>
      </w:pPr>
      <w:r>
        <w:rPr>
          <w:rFonts w:ascii="Arial" w:eastAsia="仿宋_GB2312;仿宋" w:hAnsi="Arial" w:cs="Arial"/>
          <w:sz w:val="28"/>
        </w:rPr>
        <w:t>咨询对象所在区域周边</w:t>
      </w:r>
      <w:r>
        <w:rPr>
          <w:rFonts w:ascii="Arial" w:eastAsia="仿宋_GB2312;仿宋" w:hAnsi="Arial" w:cs="Arial"/>
          <w:sz w:val="28"/>
        </w:rPr>
        <w:t>2</w:t>
      </w:r>
      <w:r>
        <w:rPr>
          <w:rFonts w:ascii="Arial" w:eastAsia="仿宋_GB2312;仿宋" w:hAnsi="Arial" w:cs="Arial"/>
          <w:sz w:val="28"/>
        </w:rPr>
        <w:t>公里范围内有华联超市、北京天骄实验学校、北极你个是昌平区北七家中心小学、八仙庄村幼儿园、八仙庄社区卫生服务站、中欧该国农业银行（北京北七家支行）、中国邮政储蓄银行（北京昌平区北七家支行）等，各类配套设施齐备程度一般，故公共配套设施状况一般。</w:t>
      </w:r>
    </w:p>
    <w:p w14:paraId="6785BD3C" w14:textId="77777777" w:rsidR="00E70101" w:rsidRDefault="0060680B">
      <w:pPr>
        <w:spacing w:line="360" w:lineRule="auto"/>
        <w:ind w:firstLine="560"/>
        <w:jc w:val="both"/>
      </w:pPr>
      <w:r>
        <w:rPr>
          <w:rFonts w:ascii="Arial" w:eastAsia="仿宋_GB2312;仿宋" w:hAnsi="Arial" w:cs="Arial"/>
          <w:sz w:val="28"/>
        </w:rPr>
        <w:t>综上，咨询对象地理位置较好，产业聚集度较好，交通便捷度较好，环境状况较好，区内大部分区域基础设施配套目前可达到</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，公共配套设施状况一般。总体评价影响咨询对象的区位条件较好。</w:t>
      </w:r>
    </w:p>
    <w:p w14:paraId="10B9A102"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（三）个别因素</w:t>
      </w:r>
    </w:p>
    <w:p w14:paraId="3C628705" w14:textId="77777777" w:rsidR="00E70101" w:rsidRDefault="0060680B">
      <w:pPr>
        <w:spacing w:line="360" w:lineRule="auto"/>
        <w:ind w:firstLine="560"/>
        <w:jc w:val="both"/>
      </w:pPr>
      <w:r>
        <w:rPr>
          <w:rFonts w:ascii="Arial" w:eastAsia="仿宋_GB2312;仿宋" w:hAnsi="Arial" w:cs="Arial"/>
          <w:sz w:val="28"/>
        </w:rPr>
        <w:t>1.</w:t>
      </w:r>
      <w:r>
        <w:rPr>
          <w:rFonts w:ascii="Arial" w:eastAsia="仿宋_GB2312;仿宋" w:hAnsi="Arial" w:cs="Arial"/>
          <w:sz w:val="28"/>
        </w:rPr>
        <w:t>咨询对象位置：咨询对象位于北京市昌平区北七家镇八仙庄村仓储用地。根据《北京市人民政府关于更新出让国有建设用地使用权基准地价的通知》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的规定，咨询对象属于工业类七级地价区</w:t>
      </w:r>
      <w:r>
        <w:rPr>
          <w:rFonts w:ascii="Arial" w:eastAsia="仿宋_GB2312;仿宋" w:hAnsi="Arial" w:cs="Arial"/>
          <w:sz w:val="28"/>
        </w:rPr>
        <w:t>VII-</w:t>
      </w:r>
      <w:r>
        <w:rPr>
          <w:rFonts w:ascii="Arial" w:eastAsia="仿宋_GB2312;仿宋" w:hAnsi="Arial" w:cs="Arial"/>
          <w:sz w:val="28"/>
        </w:rPr>
        <w:t>昌</w:t>
      </w:r>
      <w:r>
        <w:rPr>
          <w:rFonts w:ascii="Arial" w:eastAsia="仿宋_GB2312;仿宋" w:hAnsi="Arial" w:cs="Arial"/>
          <w:sz w:val="28"/>
        </w:rPr>
        <w:t>3</w:t>
      </w:r>
      <w:r>
        <w:rPr>
          <w:rFonts w:ascii="Arial" w:eastAsia="仿宋_GB2312;仿宋" w:hAnsi="Arial" w:cs="Arial"/>
          <w:sz w:val="28"/>
        </w:rPr>
        <w:t>区片。</w:t>
      </w:r>
    </w:p>
    <w:p w14:paraId="2AE2949F"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宗地规划用途、面积</w:t>
      </w:r>
    </w:p>
    <w:p w14:paraId="516C6E61" w14:textId="77777777" w:rsidR="00E70101" w:rsidRDefault="0060680B">
      <w:pPr>
        <w:spacing w:line="360" w:lineRule="auto"/>
        <w:ind w:firstLine="560"/>
        <w:jc w:val="both"/>
      </w:pPr>
      <w:r>
        <w:rPr>
          <w:rFonts w:ascii="Arial" w:eastAsia="仿宋_GB2312;仿宋" w:hAnsi="Arial" w:cs="Arial"/>
          <w:sz w:val="28"/>
        </w:rPr>
        <w:t>咨询对象登记土地用途为仓储，为最佳最有效用途。</w:t>
      </w:r>
    </w:p>
    <w:p w14:paraId="47D3582E"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根据委托方介绍，咨询对象用地面积为</w:t>
      </w:r>
      <w:r>
        <w:rPr>
          <w:rFonts w:ascii="Arial" w:eastAsia="仿宋_GB2312;仿宋" w:hAnsi="Arial" w:cs="Arial"/>
          <w:sz w:val="28"/>
        </w:rPr>
        <w:t>370379.14</w:t>
      </w:r>
      <w:r>
        <w:rPr>
          <w:rFonts w:ascii="Arial" w:eastAsia="仿宋_GB2312;仿宋" w:hAnsi="Arial" w:cs="Arial"/>
          <w:sz w:val="28"/>
        </w:rPr>
        <w:t>平方米。</w:t>
      </w:r>
    </w:p>
    <w:p w14:paraId="11EAA77E"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宗地容积率及可利用情况</w:t>
      </w:r>
    </w:p>
    <w:p w14:paraId="72284AE3" w14:textId="21FFF919"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根据委托方介绍，咨询对象用地面积为</w:t>
      </w:r>
      <w:r>
        <w:rPr>
          <w:rFonts w:ascii="Arial" w:eastAsia="仿宋_GB2312;仿宋" w:hAnsi="Arial" w:cs="Arial"/>
          <w:sz w:val="28"/>
        </w:rPr>
        <w:t>370379.14</w:t>
      </w:r>
      <w:r>
        <w:rPr>
          <w:rFonts w:ascii="Arial" w:eastAsia="仿宋_GB2312;仿宋" w:hAnsi="Arial" w:cs="Arial"/>
          <w:sz w:val="28"/>
        </w:rPr>
        <w:t>平方米，容积率设定为</w:t>
      </w:r>
      <w:r>
        <w:rPr>
          <w:rFonts w:ascii="Arial" w:eastAsia="仿宋_GB2312;仿宋" w:hAnsi="Arial" w:cs="Arial"/>
          <w:sz w:val="28"/>
        </w:rPr>
        <w:t>1.0</w:t>
      </w:r>
      <w:r>
        <w:rPr>
          <w:rFonts w:ascii="Arial" w:eastAsia="仿宋_GB2312;仿宋" w:hAnsi="Arial" w:cs="Arial"/>
          <w:sz w:val="28"/>
        </w:rPr>
        <w:t>，建筑面积设定为</w:t>
      </w:r>
      <w:r>
        <w:rPr>
          <w:rFonts w:ascii="Arial" w:eastAsia="仿宋_GB2312;仿宋" w:hAnsi="Arial" w:cs="Arial"/>
          <w:sz w:val="28"/>
        </w:rPr>
        <w:t>370379.14</w:t>
      </w:r>
      <w:r>
        <w:rPr>
          <w:rFonts w:ascii="Arial" w:eastAsia="仿宋_GB2312;仿宋" w:hAnsi="Arial" w:cs="Arial"/>
          <w:sz w:val="28"/>
        </w:rPr>
        <w:t>平方米。</w:t>
      </w:r>
    </w:p>
    <w:p w14:paraId="0ECDD690" w14:textId="77777777" w:rsidR="00E70101" w:rsidRDefault="0060680B">
      <w:pPr>
        <w:spacing w:line="360" w:lineRule="auto"/>
        <w:ind w:firstLine="560"/>
        <w:jc w:val="both"/>
        <w:rPr>
          <w:rFonts w:eastAsia="仿宋_GB2312;仿宋"/>
        </w:rPr>
      </w:pPr>
      <w:r>
        <w:rPr>
          <w:rFonts w:ascii="Arial" w:eastAsia="仿宋_GB2312;仿宋" w:hAnsi="Arial" w:cs="Arial"/>
          <w:sz w:val="28"/>
        </w:rPr>
        <w:t>4.</w:t>
      </w:r>
      <w:r>
        <w:rPr>
          <w:rFonts w:ascii="Arial" w:eastAsia="仿宋_GB2312;仿宋" w:hAnsi="Arial" w:cs="Arial"/>
          <w:sz w:val="28"/>
        </w:rPr>
        <w:t>宗地基础设施</w:t>
      </w:r>
      <w:r>
        <w:rPr>
          <w:rFonts w:ascii="Arial" w:eastAsia="Arial" w:hAnsi="Arial" w:cs="Arial"/>
          <w:sz w:val="28"/>
        </w:rPr>
        <w:t xml:space="preserve"> </w:t>
      </w:r>
    </w:p>
    <w:p w14:paraId="09ACFB9A" w14:textId="77777777" w:rsidR="00E70101" w:rsidRDefault="0060680B">
      <w:pPr>
        <w:spacing w:line="360" w:lineRule="auto"/>
        <w:ind w:firstLine="512"/>
        <w:jc w:val="both"/>
        <w:rPr>
          <w:rFonts w:eastAsia="仿宋_GB2312;仿宋"/>
        </w:rPr>
      </w:pPr>
      <w:r>
        <w:rPr>
          <w:rFonts w:ascii="Arial" w:eastAsia="仿宋_GB2312;仿宋" w:hAnsi="Arial" w:cs="Arial"/>
          <w:spacing w:val="-12"/>
          <w:sz w:val="28"/>
        </w:rPr>
        <w:t>宗地红线外基础设施已达到</w:t>
      </w:r>
      <w:r>
        <w:rPr>
          <w:rFonts w:ascii="Arial" w:eastAsia="仿宋_GB2312;仿宋" w:hAnsi="Arial" w:cs="Arial"/>
          <w:spacing w:val="-12"/>
          <w:sz w:val="28"/>
        </w:rPr>
        <w:t>”</w:t>
      </w:r>
      <w:r>
        <w:rPr>
          <w:rFonts w:ascii="Arial" w:eastAsia="仿宋_GB2312;仿宋" w:hAnsi="Arial" w:cs="Arial"/>
          <w:spacing w:val="-12"/>
          <w:sz w:val="28"/>
        </w:rPr>
        <w:t>七通</w:t>
      </w:r>
      <w:r>
        <w:rPr>
          <w:rFonts w:ascii="Arial" w:eastAsia="仿宋_GB2312;仿宋" w:hAnsi="Arial" w:cs="Arial"/>
          <w:spacing w:val="-12"/>
          <w:sz w:val="28"/>
        </w:rPr>
        <w:t>”</w:t>
      </w:r>
      <w:r>
        <w:rPr>
          <w:rFonts w:ascii="Arial" w:eastAsia="仿宋_GB2312;仿宋" w:hAnsi="Arial" w:cs="Arial"/>
          <w:spacing w:val="-12"/>
          <w:sz w:val="28"/>
        </w:rPr>
        <w:t>（通路、通电、通讯、通上水、通下水、通燃气、通热），具体状况如下：</w:t>
      </w:r>
      <w:r>
        <w:rPr>
          <w:rFonts w:ascii="Arial" w:eastAsia="Arial" w:hAnsi="Arial" w:cs="Arial"/>
          <w:spacing w:val="-12"/>
          <w:sz w:val="28"/>
        </w:rPr>
        <w:t xml:space="preserve"> </w:t>
      </w:r>
    </w:p>
    <w:p w14:paraId="4C3CF9A4" w14:textId="77777777" w:rsidR="00E70101" w:rsidRDefault="0060680B">
      <w:pPr>
        <w:spacing w:line="360" w:lineRule="auto"/>
        <w:ind w:firstLine="512"/>
        <w:jc w:val="both"/>
        <w:rPr>
          <w:rFonts w:eastAsia="仿宋_GB2312;仿宋"/>
        </w:rPr>
      </w:pPr>
      <w:r>
        <w:rPr>
          <w:rFonts w:ascii="Arial" w:eastAsia="仿宋_GB2312;仿宋" w:hAnsi="Arial" w:cs="Arial"/>
          <w:spacing w:val="-12"/>
          <w:sz w:val="28"/>
        </w:rPr>
        <w:t>通路：顺于路，为城市次干道；</w:t>
      </w:r>
      <w:r>
        <w:rPr>
          <w:rFonts w:ascii="Arial" w:eastAsia="Arial" w:hAnsi="Arial" w:cs="Arial"/>
          <w:spacing w:val="-12"/>
          <w:sz w:val="28"/>
        </w:rPr>
        <w:t xml:space="preserve"> </w:t>
      </w:r>
    </w:p>
    <w:p w14:paraId="5A41F958" w14:textId="77777777" w:rsidR="00E70101" w:rsidRDefault="0060680B">
      <w:pPr>
        <w:spacing w:line="360" w:lineRule="auto"/>
        <w:ind w:firstLine="512"/>
        <w:jc w:val="both"/>
      </w:pPr>
      <w:r>
        <w:rPr>
          <w:rFonts w:ascii="Arial" w:eastAsia="仿宋_GB2312;仿宋" w:hAnsi="Arial" w:cs="Arial"/>
          <w:spacing w:val="-12"/>
          <w:sz w:val="28"/>
        </w:rPr>
        <w:t>通电：市政供电网络；</w:t>
      </w:r>
    </w:p>
    <w:p w14:paraId="30078CF8" w14:textId="77777777" w:rsidR="00E70101" w:rsidRDefault="0060680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通上水：市政管网供水，设施完备，水源稳定；</w:t>
      </w:r>
    </w:p>
    <w:p w14:paraId="2CB7E46E" w14:textId="77777777" w:rsidR="00E70101" w:rsidRDefault="0060680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通下水：市政管网排水；</w:t>
      </w:r>
    </w:p>
    <w:p w14:paraId="25C31DBD" w14:textId="77777777" w:rsidR="00E70101" w:rsidRDefault="0060680B">
      <w:pPr>
        <w:spacing w:line="360" w:lineRule="auto"/>
        <w:ind w:firstLine="512"/>
        <w:rPr>
          <w:rFonts w:ascii="Arial" w:eastAsia="仿宋_GB2312;仿宋" w:hAnsi="Arial" w:cs="Arial"/>
          <w:spacing w:val="-12"/>
          <w:sz w:val="28"/>
        </w:rPr>
      </w:pPr>
      <w:r>
        <w:rPr>
          <w:rFonts w:ascii="Arial" w:eastAsia="仿宋_GB2312;仿宋" w:hAnsi="Arial" w:cs="Arial"/>
          <w:spacing w:val="-12"/>
          <w:sz w:val="28"/>
        </w:rPr>
        <w:t>通讯：项目用地有电信管道；</w:t>
      </w:r>
    </w:p>
    <w:p w14:paraId="4958A3F7" w14:textId="77777777" w:rsidR="00E70101" w:rsidRDefault="0060680B">
      <w:pPr>
        <w:spacing w:line="360" w:lineRule="auto"/>
        <w:ind w:firstLine="512"/>
        <w:rPr>
          <w:rFonts w:ascii="Arial" w:eastAsia="仿宋_GB2312;仿宋" w:hAnsi="Arial" w:cs="Arial"/>
          <w:spacing w:val="-12"/>
          <w:sz w:val="28"/>
        </w:rPr>
      </w:pPr>
      <w:r>
        <w:rPr>
          <w:rFonts w:ascii="Arial" w:eastAsia="仿宋_GB2312;仿宋" w:hAnsi="Arial" w:cs="Arial"/>
          <w:spacing w:val="-12"/>
          <w:sz w:val="28"/>
        </w:rPr>
        <w:t>通热：市政供暖；</w:t>
      </w:r>
    </w:p>
    <w:p w14:paraId="68971F6F" w14:textId="77777777" w:rsidR="00E70101" w:rsidRDefault="0060680B">
      <w:pPr>
        <w:spacing w:line="360" w:lineRule="auto"/>
        <w:ind w:firstLine="512"/>
        <w:rPr>
          <w:rFonts w:ascii="Arial" w:eastAsia="仿宋_GB2312;仿宋" w:hAnsi="Arial" w:cs="Arial"/>
          <w:spacing w:val="-12"/>
          <w:sz w:val="28"/>
        </w:rPr>
      </w:pPr>
      <w:r>
        <w:rPr>
          <w:rFonts w:ascii="Arial" w:eastAsia="仿宋_GB2312;仿宋" w:hAnsi="Arial" w:cs="Arial"/>
          <w:spacing w:val="-12"/>
          <w:sz w:val="28"/>
        </w:rPr>
        <w:t>通燃气：管道天然气。</w:t>
      </w:r>
    </w:p>
    <w:p w14:paraId="089DC3F6" w14:textId="77777777" w:rsidR="00E70101" w:rsidRDefault="00E70101">
      <w:pPr>
        <w:spacing w:line="360" w:lineRule="auto"/>
        <w:ind w:firstLine="560"/>
        <w:rPr>
          <w:rFonts w:ascii="Arial" w:eastAsia="仿宋_GB2312;仿宋" w:hAnsi="Arial" w:cs="Arial"/>
          <w:spacing w:val="-12"/>
          <w:sz w:val="28"/>
        </w:rPr>
        <w:sectPr w:rsidR="00E70101">
          <w:headerReference w:type="default" r:id="rId32"/>
          <w:footerReference w:type="default" r:id="rId33"/>
          <w:pgSz w:w="11906" w:h="16838"/>
          <w:pgMar w:top="1843" w:right="1134" w:bottom="1134" w:left="1474" w:header="1134" w:footer="907" w:gutter="0"/>
          <w:cols w:space="720"/>
          <w:formProt w:val="0"/>
          <w:docGrid w:linePitch="326"/>
        </w:sectPr>
      </w:pPr>
    </w:p>
    <w:p w14:paraId="277377A8" w14:textId="77777777" w:rsidR="00E70101" w:rsidRDefault="0060680B">
      <w:pPr>
        <w:spacing w:line="360" w:lineRule="auto"/>
        <w:jc w:val="center"/>
        <w:outlineLvl w:val="0"/>
      </w:pPr>
      <w:bookmarkStart w:id="20" w:name="__RefHeading___Toc469066144"/>
      <w:bookmarkEnd w:id="20"/>
      <w:r>
        <w:rPr>
          <w:rFonts w:ascii="Arial" w:hAnsi="Arial" w:cs="Arial"/>
          <w:b/>
          <w:sz w:val="32"/>
        </w:rPr>
        <w:t>第三部分</w:t>
      </w:r>
      <w:r>
        <w:rPr>
          <w:rFonts w:ascii="Arial" w:eastAsia="Arial" w:hAnsi="Arial" w:cs="Arial"/>
          <w:b/>
          <w:sz w:val="32"/>
        </w:rPr>
        <w:t xml:space="preserve">  </w:t>
      </w:r>
      <w:r>
        <w:rPr>
          <w:rFonts w:ascii="Arial" w:hAnsi="Arial" w:cs="Arial"/>
          <w:b/>
          <w:sz w:val="32"/>
        </w:rPr>
        <w:t>土地咨询结果及其使用</w:t>
      </w:r>
    </w:p>
    <w:p w14:paraId="13C21FDB" w14:textId="77777777" w:rsidR="00E70101" w:rsidRDefault="00E70101">
      <w:pPr>
        <w:spacing w:line="360" w:lineRule="auto"/>
        <w:jc w:val="both"/>
        <w:rPr>
          <w:rFonts w:ascii="Arial" w:eastAsia="仿宋_GB2312;仿宋" w:hAnsi="Arial" w:cs="Arial"/>
          <w:b/>
          <w:sz w:val="28"/>
        </w:rPr>
      </w:pPr>
    </w:p>
    <w:p w14:paraId="194CD466" w14:textId="77777777" w:rsidR="00E70101" w:rsidRDefault="0060680B">
      <w:pPr>
        <w:spacing w:line="360" w:lineRule="auto"/>
        <w:outlineLvl w:val="1"/>
        <w:rPr>
          <w:rFonts w:ascii="Arial" w:eastAsia="仿宋_GB2312;仿宋" w:hAnsi="Arial" w:cs="Arial"/>
          <w:b/>
          <w:sz w:val="28"/>
        </w:rPr>
      </w:pPr>
      <w:bookmarkStart w:id="21" w:name="__RefHeading___Toc469066145"/>
      <w:bookmarkEnd w:id="21"/>
      <w:r>
        <w:rPr>
          <w:rFonts w:ascii="Arial" w:eastAsia="仿宋_GB2312;仿宋" w:hAnsi="Arial" w:cs="Arial"/>
          <w:b/>
          <w:sz w:val="28"/>
        </w:rPr>
        <w:t>一、咨询依据</w:t>
      </w:r>
    </w:p>
    <w:p w14:paraId="337D1D9B" w14:textId="77777777" w:rsidR="00E70101" w:rsidRDefault="0060680B">
      <w:pPr>
        <w:spacing w:line="360" w:lineRule="auto"/>
        <w:jc w:val="both"/>
      </w:pPr>
      <w:r>
        <w:rPr>
          <w:rFonts w:ascii="Arial" w:eastAsia="仿宋_GB2312;仿宋" w:hAnsi="Arial" w:cs="Arial"/>
          <w:sz w:val="28"/>
        </w:rPr>
        <w:t>（一）有关的法律、法规、行政规章及咨询对象所在省市的有关法律法规和政策</w:t>
      </w:r>
    </w:p>
    <w:p w14:paraId="61E580E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《中华人民共和国土地管理法》（</w:t>
      </w:r>
      <w:r>
        <w:rPr>
          <w:rFonts w:ascii="Arial" w:eastAsia="仿宋_GB2312;仿宋" w:hAnsi="Arial" w:cs="Arial"/>
          <w:sz w:val="28"/>
        </w:rPr>
        <w:t>1986</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25</w:t>
      </w:r>
      <w:r>
        <w:rPr>
          <w:rFonts w:ascii="Arial" w:eastAsia="仿宋_GB2312;仿宋" w:hAnsi="Arial" w:cs="Arial"/>
          <w:sz w:val="28"/>
        </w:rPr>
        <w:t>日第六届全国人民代表大会常务委员会第十六次会议通过，中华人民共和国主席令第</w:t>
      </w:r>
      <w:r>
        <w:rPr>
          <w:rFonts w:ascii="Arial" w:eastAsia="仿宋_GB2312;仿宋" w:hAnsi="Arial" w:cs="Arial"/>
          <w:sz w:val="28"/>
        </w:rPr>
        <w:t>41</w:t>
      </w:r>
      <w:r>
        <w:rPr>
          <w:rFonts w:ascii="Arial" w:eastAsia="仿宋_GB2312;仿宋" w:hAnsi="Arial" w:cs="Arial"/>
          <w:sz w:val="28"/>
        </w:rPr>
        <w:t>号公布，</w:t>
      </w:r>
      <w:r>
        <w:rPr>
          <w:rFonts w:ascii="Arial" w:eastAsia="仿宋_GB2312;仿宋" w:hAnsi="Arial" w:cs="Arial"/>
          <w:sz w:val="28"/>
        </w:rPr>
        <w:t>1987</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1988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日第七届全国人民代表大会常务委员会第五次会议第一次修正通过，自</w:t>
      </w:r>
      <w:r>
        <w:rPr>
          <w:rFonts w:ascii="Arial" w:eastAsia="仿宋_GB2312;仿宋" w:hAnsi="Arial" w:cs="Arial"/>
          <w:sz w:val="28"/>
        </w:rPr>
        <w:t>1988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日起施行；</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日第九届全国人民代表大会常务委员会第四次会议修订通过，中华人民共和国主席令第</w:t>
      </w:r>
      <w:r>
        <w:rPr>
          <w:rFonts w:ascii="Arial" w:eastAsia="仿宋_GB2312;仿宋" w:hAnsi="Arial" w:cs="Arial"/>
          <w:sz w:val="28"/>
        </w:rPr>
        <w:t>8</w:t>
      </w:r>
      <w:r>
        <w:rPr>
          <w:rFonts w:ascii="Arial" w:eastAsia="仿宋_GB2312;仿宋" w:hAnsi="Arial" w:cs="Arial"/>
          <w:sz w:val="28"/>
        </w:rPr>
        <w:t>号公布，自</w:t>
      </w:r>
      <w:r>
        <w:rPr>
          <w:rFonts w:ascii="Arial" w:eastAsia="仿宋_GB2312;仿宋" w:hAnsi="Arial" w:cs="Arial"/>
          <w:sz w:val="28"/>
        </w:rPr>
        <w:t>1999</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2004</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28</w:t>
      </w:r>
      <w:r>
        <w:rPr>
          <w:rFonts w:ascii="Arial" w:eastAsia="仿宋_GB2312;仿宋" w:hAnsi="Arial" w:cs="Arial"/>
          <w:sz w:val="28"/>
        </w:rPr>
        <w:t>日第十届全国人民代表大会常务委员会第十一次会议第二次修正通过，中华人民共和国主席令第</w:t>
      </w:r>
      <w:r>
        <w:rPr>
          <w:rFonts w:ascii="Arial" w:eastAsia="仿宋_GB2312;仿宋" w:hAnsi="Arial" w:cs="Arial"/>
          <w:sz w:val="28"/>
        </w:rPr>
        <w:t>28</w:t>
      </w:r>
      <w:r>
        <w:rPr>
          <w:rFonts w:ascii="Arial" w:eastAsia="仿宋_GB2312;仿宋" w:hAnsi="Arial" w:cs="Arial"/>
          <w:sz w:val="28"/>
        </w:rPr>
        <w:t>号公布，自公布起日起施行；</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26</w:t>
      </w:r>
      <w:r>
        <w:rPr>
          <w:rFonts w:ascii="Arial" w:eastAsia="仿宋_GB2312;仿宋" w:hAnsi="Arial" w:cs="Arial"/>
          <w:sz w:val="28"/>
        </w:rPr>
        <w:t>日第十三届全国人民代表大会常务委员会第十二次会议第三次修正通过，自</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3C8EDD3C"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《中华人民共和国城市房地产管理法》（</w:t>
      </w:r>
      <w:r>
        <w:rPr>
          <w:rFonts w:ascii="Arial" w:eastAsia="仿宋_GB2312;仿宋" w:hAnsi="Arial" w:cs="Arial"/>
          <w:sz w:val="28"/>
        </w:rPr>
        <w:t>1994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5</w:t>
      </w:r>
      <w:r>
        <w:rPr>
          <w:rFonts w:ascii="Arial" w:eastAsia="仿宋_GB2312;仿宋" w:hAnsi="Arial" w:cs="Arial"/>
          <w:sz w:val="28"/>
        </w:rPr>
        <w:t>日第八届全国人民代表大会常务委员会第八次会议通过，中华人民共和国主席令第</w:t>
      </w:r>
      <w:r>
        <w:rPr>
          <w:rFonts w:ascii="Arial" w:eastAsia="仿宋_GB2312;仿宋" w:hAnsi="Arial" w:cs="Arial"/>
          <w:sz w:val="28"/>
        </w:rPr>
        <w:t>29</w:t>
      </w:r>
      <w:r>
        <w:rPr>
          <w:rFonts w:ascii="Arial" w:eastAsia="仿宋_GB2312;仿宋" w:hAnsi="Arial" w:cs="Arial"/>
          <w:sz w:val="28"/>
        </w:rPr>
        <w:t>号公布，自</w:t>
      </w:r>
      <w:r>
        <w:rPr>
          <w:rFonts w:ascii="Arial" w:eastAsia="仿宋_GB2312;仿宋" w:hAnsi="Arial" w:cs="Arial"/>
          <w:sz w:val="28"/>
        </w:rPr>
        <w:t>1995</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2007</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30</w:t>
      </w:r>
      <w:r>
        <w:rPr>
          <w:rFonts w:ascii="Arial" w:eastAsia="仿宋_GB2312;仿宋" w:hAnsi="Arial" w:cs="Arial"/>
          <w:sz w:val="28"/>
        </w:rPr>
        <w:t>日第十届全国人民代表大会常务委员会第二十九次会议通过第一次修正通过，中华人民共和国主席令第</w:t>
      </w:r>
      <w:r>
        <w:rPr>
          <w:rFonts w:ascii="Arial" w:eastAsia="仿宋_GB2312;仿宋" w:hAnsi="Arial" w:cs="Arial"/>
          <w:sz w:val="28"/>
        </w:rPr>
        <w:t>72</w:t>
      </w:r>
      <w:r>
        <w:rPr>
          <w:rFonts w:ascii="Arial" w:eastAsia="仿宋_GB2312;仿宋" w:hAnsi="Arial" w:cs="Arial"/>
          <w:sz w:val="28"/>
        </w:rPr>
        <w:t>号公布，自公布之日起施行；</w:t>
      </w:r>
      <w:r>
        <w:rPr>
          <w:rFonts w:ascii="Arial" w:eastAsia="仿宋_GB2312;仿宋" w:hAnsi="Arial" w:cs="Arial"/>
          <w:sz w:val="28"/>
        </w:rPr>
        <w:t>2009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27</w:t>
      </w:r>
      <w:r>
        <w:rPr>
          <w:rFonts w:ascii="Arial" w:eastAsia="仿宋_GB2312;仿宋" w:hAnsi="Arial" w:cs="Arial"/>
          <w:sz w:val="28"/>
        </w:rPr>
        <w:t>日第十一届全国人民代表大会常务委员会第十次会议第二次修正通过，中华人民共和国主席令第</w:t>
      </w:r>
      <w:r>
        <w:rPr>
          <w:rFonts w:ascii="Arial" w:eastAsia="仿宋_GB2312;仿宋" w:hAnsi="Arial" w:cs="Arial"/>
          <w:sz w:val="28"/>
        </w:rPr>
        <w:t>18</w:t>
      </w:r>
      <w:r>
        <w:rPr>
          <w:rFonts w:ascii="Arial" w:eastAsia="仿宋_GB2312;仿宋" w:hAnsi="Arial" w:cs="Arial"/>
          <w:sz w:val="28"/>
        </w:rPr>
        <w:t>号公布，自公布之日起施行；</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26</w:t>
      </w:r>
      <w:r>
        <w:rPr>
          <w:rFonts w:ascii="Arial" w:eastAsia="仿宋_GB2312;仿宋" w:hAnsi="Arial" w:cs="Arial"/>
          <w:sz w:val="28"/>
        </w:rPr>
        <w:t>日第十三届全国人大常委会第十二次会议通过第三次修正，自</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4FCA0CEE" w14:textId="77777777" w:rsidR="00E70101" w:rsidRDefault="0060680B">
      <w:pPr>
        <w:spacing w:line="360" w:lineRule="auto"/>
        <w:ind w:firstLine="560"/>
        <w:jc w:val="both"/>
      </w:pPr>
      <w:r>
        <w:rPr>
          <w:rFonts w:ascii="Arial" w:eastAsia="仿宋_GB2312;仿宋" w:hAnsi="Arial" w:cs="Arial"/>
          <w:sz w:val="28"/>
        </w:rPr>
        <w:t>3.</w:t>
      </w:r>
      <w:r>
        <w:rPr>
          <w:rFonts w:ascii="Arial" w:eastAsia="仿宋_GB2312;仿宋" w:hAnsi="Arial" w:cs="Arial"/>
          <w:sz w:val="28"/>
        </w:rPr>
        <w:t>《中华人民共和国城乡规划法》（</w:t>
      </w:r>
      <w:r>
        <w:rPr>
          <w:rFonts w:ascii="Arial" w:eastAsia="仿宋_GB2312;仿宋" w:hAnsi="Arial" w:cs="Arial"/>
          <w:sz w:val="28"/>
        </w:rPr>
        <w:t xml:space="preserve">2007 </w:t>
      </w:r>
      <w:r>
        <w:rPr>
          <w:rFonts w:ascii="Arial" w:eastAsia="仿宋_GB2312;仿宋" w:hAnsi="Arial" w:cs="Arial"/>
          <w:sz w:val="28"/>
        </w:rPr>
        <w:t>年</w:t>
      </w:r>
      <w:r>
        <w:rPr>
          <w:rFonts w:ascii="Arial" w:eastAsia="Arial" w:hAnsi="Arial" w:cs="Arial"/>
          <w:sz w:val="28"/>
        </w:rPr>
        <w:t xml:space="preserve"> </w:t>
      </w:r>
      <w:r>
        <w:rPr>
          <w:rFonts w:ascii="Arial" w:eastAsia="仿宋_GB2312;仿宋" w:hAnsi="Arial" w:cs="Arial"/>
          <w:sz w:val="28"/>
        </w:rPr>
        <w:t xml:space="preserve">10 </w:t>
      </w:r>
      <w:r>
        <w:rPr>
          <w:rFonts w:ascii="Arial" w:eastAsia="仿宋_GB2312;仿宋" w:hAnsi="Arial" w:cs="Arial"/>
          <w:sz w:val="28"/>
        </w:rPr>
        <w:t>月</w:t>
      </w:r>
      <w:r>
        <w:rPr>
          <w:rFonts w:ascii="Arial" w:eastAsia="Arial" w:hAnsi="Arial" w:cs="Arial"/>
          <w:sz w:val="28"/>
        </w:rPr>
        <w:t xml:space="preserve"> </w:t>
      </w:r>
      <w:r>
        <w:rPr>
          <w:rFonts w:ascii="Arial" w:eastAsia="仿宋_GB2312;仿宋" w:hAnsi="Arial" w:cs="Arial"/>
          <w:sz w:val="28"/>
        </w:rPr>
        <w:t xml:space="preserve">28 </w:t>
      </w:r>
      <w:r>
        <w:rPr>
          <w:rFonts w:ascii="Arial" w:eastAsia="仿宋_GB2312;仿宋" w:hAnsi="Arial" w:cs="Arial"/>
          <w:sz w:val="28"/>
        </w:rPr>
        <w:t>日第十届全国人民代表大会常务委员会第三十次会议通过，中华人民共和国主席令第</w:t>
      </w:r>
      <w:r>
        <w:rPr>
          <w:rFonts w:ascii="Arial" w:eastAsia="仿宋_GB2312;仿宋" w:hAnsi="Arial" w:cs="Arial"/>
          <w:sz w:val="28"/>
        </w:rPr>
        <w:t>74</w:t>
      </w:r>
      <w:r>
        <w:rPr>
          <w:rFonts w:ascii="Arial" w:eastAsia="仿宋_GB2312;仿宋" w:hAnsi="Arial" w:cs="Arial"/>
          <w:sz w:val="28"/>
        </w:rPr>
        <w:t>号，自公布之日起施行；根据</w:t>
      </w:r>
      <w:r>
        <w:rPr>
          <w:rFonts w:ascii="Arial" w:eastAsia="Arial" w:hAnsi="Arial" w:cs="Arial"/>
          <w:sz w:val="28"/>
        </w:rPr>
        <w:t xml:space="preserve"> </w:t>
      </w:r>
      <w:r>
        <w:rPr>
          <w:rFonts w:ascii="Arial" w:eastAsia="仿宋_GB2312;仿宋" w:hAnsi="Arial" w:cs="Arial"/>
          <w:sz w:val="28"/>
        </w:rPr>
        <w:t xml:space="preserve">2015 </w:t>
      </w:r>
      <w:r>
        <w:rPr>
          <w:rFonts w:ascii="Arial" w:eastAsia="仿宋_GB2312;仿宋" w:hAnsi="Arial" w:cs="Arial"/>
          <w:sz w:val="28"/>
        </w:rPr>
        <w:t>年</w:t>
      </w:r>
      <w:r>
        <w:rPr>
          <w:rFonts w:ascii="Arial" w:eastAsia="Arial" w:hAnsi="Arial" w:cs="Arial"/>
          <w:sz w:val="28"/>
        </w:rPr>
        <w:t xml:space="preserve"> </w:t>
      </w:r>
      <w:r>
        <w:rPr>
          <w:rFonts w:ascii="Arial" w:eastAsia="仿宋_GB2312;仿宋" w:hAnsi="Arial" w:cs="Arial"/>
          <w:sz w:val="28"/>
        </w:rPr>
        <w:t xml:space="preserve">4 </w:t>
      </w:r>
      <w:r>
        <w:rPr>
          <w:rFonts w:ascii="Arial" w:eastAsia="仿宋_GB2312;仿宋" w:hAnsi="Arial" w:cs="Arial"/>
          <w:sz w:val="28"/>
        </w:rPr>
        <w:t>月</w:t>
      </w:r>
      <w:r>
        <w:rPr>
          <w:rFonts w:ascii="Arial" w:eastAsia="Arial" w:hAnsi="Arial" w:cs="Arial"/>
          <w:sz w:val="28"/>
        </w:rPr>
        <w:t xml:space="preserve"> </w:t>
      </w:r>
      <w:r>
        <w:rPr>
          <w:rFonts w:ascii="Arial" w:eastAsia="仿宋_GB2312;仿宋" w:hAnsi="Arial" w:cs="Arial"/>
          <w:sz w:val="28"/>
        </w:rPr>
        <w:t xml:space="preserve">24 </w:t>
      </w:r>
      <w:r>
        <w:rPr>
          <w:rFonts w:ascii="Arial" w:eastAsia="仿宋_GB2312;仿宋" w:hAnsi="Arial" w:cs="Arial"/>
          <w:sz w:val="28"/>
        </w:rPr>
        <w:t>日第十二届全国人民代表大会常务委员会第十四次会议通过第一次修正，中华人民共和国主席令第</w:t>
      </w:r>
      <w:r>
        <w:rPr>
          <w:rFonts w:ascii="Arial" w:eastAsia="仿宋_GB2312;仿宋" w:hAnsi="Arial" w:cs="Arial"/>
          <w:sz w:val="28"/>
        </w:rPr>
        <w:t>23</w:t>
      </w:r>
      <w:r>
        <w:rPr>
          <w:rFonts w:ascii="Arial" w:eastAsia="仿宋_GB2312;仿宋" w:hAnsi="Arial" w:cs="Arial"/>
          <w:sz w:val="28"/>
        </w:rPr>
        <w:t>号公布，自公布之日起施行；根据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23</w:t>
      </w:r>
      <w:r>
        <w:rPr>
          <w:rFonts w:ascii="Arial" w:eastAsia="仿宋_GB2312;仿宋" w:hAnsi="Arial" w:cs="Arial"/>
          <w:sz w:val="28"/>
        </w:rPr>
        <w:t>日第十三届全国人民代表大会常务委员会第十次会议通过第二次修正，自公布之日起施行）</w:t>
      </w:r>
    </w:p>
    <w:p w14:paraId="155EE0E7"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《不动产登记暂行条例》（</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11</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日中华人民共和国国务院令第</w:t>
      </w:r>
      <w:r>
        <w:rPr>
          <w:rFonts w:ascii="Arial" w:eastAsia="仿宋_GB2312;仿宋" w:hAnsi="Arial" w:cs="Arial"/>
          <w:sz w:val="28"/>
        </w:rPr>
        <w:t>656</w:t>
      </w:r>
      <w:r>
        <w:rPr>
          <w:rFonts w:ascii="Arial" w:eastAsia="仿宋_GB2312;仿宋" w:hAnsi="Arial" w:cs="Arial"/>
          <w:sz w:val="28"/>
        </w:rPr>
        <w:t>号公布，自</w:t>
      </w:r>
      <w:r>
        <w:rPr>
          <w:rFonts w:ascii="Arial" w:eastAsia="仿宋_GB2312;仿宋" w:hAnsi="Arial" w:cs="Arial"/>
          <w:sz w:val="28"/>
        </w:rPr>
        <w:t>2015</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日公布的《国务院关于修改部分行政法规的决定》</w:t>
      </w:r>
      <w:r>
        <w:rPr>
          <w:rFonts w:ascii="Arial" w:eastAsia="仿宋_GB2312;仿宋" w:hAnsi="Arial" w:cs="Arial"/>
          <w:sz w:val="28"/>
        </w:rPr>
        <w:t>[</w:t>
      </w:r>
      <w:r>
        <w:rPr>
          <w:rFonts w:ascii="Arial" w:eastAsia="仿宋_GB2312;仿宋" w:hAnsi="Arial" w:cs="Arial"/>
          <w:sz w:val="28"/>
        </w:rPr>
        <w:t>中华人民共和国国务院令第</w:t>
      </w:r>
      <w:r>
        <w:rPr>
          <w:rFonts w:ascii="Arial" w:eastAsia="仿宋_GB2312;仿宋" w:hAnsi="Arial" w:cs="Arial"/>
          <w:sz w:val="28"/>
        </w:rPr>
        <w:t>710</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修订，自公布之日起施行）</w:t>
      </w:r>
    </w:p>
    <w:p w14:paraId="73E6BA9B"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《不动产登记暂行条例实施细则》（</w:t>
      </w:r>
      <w:r>
        <w:rPr>
          <w:rFonts w:ascii="Arial" w:eastAsia="仿宋_GB2312;仿宋" w:hAnsi="Arial" w:cs="Arial"/>
          <w:sz w:val="28"/>
        </w:rPr>
        <w:t>2015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日国土资源部第</w:t>
      </w:r>
      <w:r>
        <w:rPr>
          <w:rFonts w:ascii="Arial" w:eastAsia="仿宋_GB2312;仿宋" w:hAnsi="Arial" w:cs="Arial"/>
          <w:sz w:val="28"/>
        </w:rPr>
        <w:t>3</w:t>
      </w:r>
      <w:r>
        <w:rPr>
          <w:rFonts w:ascii="Arial" w:eastAsia="仿宋_GB2312;仿宋" w:hAnsi="Arial" w:cs="Arial"/>
          <w:sz w:val="28"/>
        </w:rPr>
        <w:t>次部务会议通过，自</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日自然资源部第</w:t>
      </w:r>
      <w:r>
        <w:rPr>
          <w:rFonts w:ascii="Arial" w:eastAsia="仿宋_GB2312;仿宋" w:hAnsi="Arial" w:cs="Arial"/>
          <w:sz w:val="28"/>
        </w:rPr>
        <w:t>2</w:t>
      </w:r>
      <w:r>
        <w:rPr>
          <w:rFonts w:ascii="Arial" w:eastAsia="仿宋_GB2312;仿宋" w:hAnsi="Arial" w:cs="Arial"/>
          <w:sz w:val="28"/>
        </w:rPr>
        <w:t>次部务会议审议通过《自然资源部关于第一批废止和修改的部门规章的决定》</w:t>
      </w:r>
      <w:r>
        <w:rPr>
          <w:rFonts w:ascii="Arial" w:eastAsia="仿宋_GB2312;仿宋" w:hAnsi="Arial" w:cs="Arial"/>
          <w:sz w:val="28"/>
        </w:rPr>
        <w:t>[</w:t>
      </w:r>
      <w:r>
        <w:rPr>
          <w:rFonts w:ascii="Arial" w:eastAsia="仿宋_GB2312;仿宋" w:hAnsi="Arial" w:cs="Arial"/>
          <w:sz w:val="28"/>
        </w:rPr>
        <w:t>中华人民共和国自然资源部令第</w:t>
      </w:r>
      <w:r>
        <w:rPr>
          <w:rFonts w:ascii="Arial" w:eastAsia="仿宋_GB2312;仿宋" w:hAnsi="Arial" w:cs="Arial"/>
          <w:sz w:val="28"/>
        </w:rPr>
        <w:t>5</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修订，自公布之日起施行）</w:t>
      </w:r>
    </w:p>
    <w:p w14:paraId="7591D174"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《中华人民共和国资产评估法》（</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日第十二届全国人民代表大会常务委员会第二十一次会议通过，</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日中华人民共和国主席令第</w:t>
      </w:r>
      <w:r>
        <w:rPr>
          <w:rFonts w:ascii="Arial" w:eastAsia="仿宋_GB2312;仿宋" w:hAnsi="Arial" w:cs="Arial"/>
          <w:sz w:val="28"/>
        </w:rPr>
        <w:t>46</w:t>
      </w:r>
      <w:r>
        <w:rPr>
          <w:rFonts w:ascii="Arial" w:eastAsia="仿宋_GB2312;仿宋" w:hAnsi="Arial" w:cs="Arial"/>
          <w:sz w:val="28"/>
        </w:rPr>
        <w:t>号公布，自</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761D46CC"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7.</w:t>
      </w:r>
      <w:r>
        <w:rPr>
          <w:rFonts w:ascii="Arial" w:eastAsia="仿宋_GB2312;仿宋" w:hAnsi="Arial" w:cs="Arial"/>
          <w:sz w:val="28"/>
        </w:rPr>
        <w:t>《中华人民共和国民法典》（</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w:t>
      </w:r>
      <w:r>
        <w:rPr>
          <w:rFonts w:ascii="Arial" w:eastAsia="仿宋_GB2312;仿宋" w:hAnsi="Arial" w:cs="Arial"/>
          <w:sz w:val="28"/>
        </w:rPr>
        <w:t>28</w:t>
      </w:r>
      <w:r>
        <w:rPr>
          <w:rFonts w:ascii="Arial" w:eastAsia="仿宋_GB2312;仿宋" w:hAnsi="Arial" w:cs="Arial"/>
          <w:sz w:val="28"/>
        </w:rPr>
        <w:t>日第十三届全国人大三次会议表决通过，自</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5C320375"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8.</w:t>
      </w:r>
      <w:r>
        <w:rPr>
          <w:rFonts w:ascii="Arial" w:eastAsia="仿宋_GB2312;仿宋" w:hAnsi="Arial" w:cs="Arial"/>
          <w:sz w:val="28"/>
        </w:rPr>
        <w:t>《中华人民共和国城镇国有土地使用权出让和转让暂行条例》（</w:t>
      </w:r>
      <w:r>
        <w:rPr>
          <w:rFonts w:ascii="Arial" w:eastAsia="仿宋_GB2312;仿宋" w:hAnsi="Arial" w:cs="Arial"/>
          <w:sz w:val="28"/>
        </w:rPr>
        <w:t>1990</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w:t>
      </w:r>
      <w:r>
        <w:rPr>
          <w:rFonts w:ascii="Arial" w:eastAsia="仿宋_GB2312;仿宋" w:hAnsi="Arial" w:cs="Arial"/>
          <w:sz w:val="28"/>
        </w:rPr>
        <w:t>19</w:t>
      </w:r>
      <w:r>
        <w:rPr>
          <w:rFonts w:ascii="Arial" w:eastAsia="仿宋_GB2312;仿宋" w:hAnsi="Arial" w:cs="Arial"/>
          <w:sz w:val="28"/>
        </w:rPr>
        <w:t>日中华人民共和国国务院令第</w:t>
      </w:r>
      <w:r>
        <w:rPr>
          <w:rFonts w:ascii="Arial" w:eastAsia="仿宋_GB2312;仿宋" w:hAnsi="Arial" w:cs="Arial"/>
          <w:sz w:val="28"/>
        </w:rPr>
        <w:t>55</w:t>
      </w:r>
      <w:r>
        <w:rPr>
          <w:rFonts w:ascii="Arial" w:eastAsia="仿宋_GB2312;仿宋" w:hAnsi="Arial" w:cs="Arial"/>
          <w:sz w:val="28"/>
        </w:rPr>
        <w:t>号发布，自发布之日起施行）</w:t>
      </w:r>
    </w:p>
    <w:p w14:paraId="05BB896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9.</w:t>
      </w:r>
      <w:r>
        <w:rPr>
          <w:rFonts w:ascii="Arial" w:eastAsia="仿宋_GB2312;仿宋" w:hAnsi="Arial" w:cs="Arial"/>
          <w:sz w:val="28"/>
        </w:rPr>
        <w:t>《中华人民共和国土地管理法实施条例》（</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日国务院第</w:t>
      </w:r>
      <w:r>
        <w:rPr>
          <w:rFonts w:ascii="Arial" w:eastAsia="仿宋_GB2312;仿宋" w:hAnsi="Arial" w:cs="Arial"/>
          <w:sz w:val="28"/>
        </w:rPr>
        <w:t>12</w:t>
      </w:r>
      <w:r>
        <w:rPr>
          <w:rFonts w:ascii="Arial" w:eastAsia="仿宋_GB2312;仿宋" w:hAnsi="Arial" w:cs="Arial"/>
          <w:sz w:val="28"/>
        </w:rPr>
        <w:t>次常务会议通过</w:t>
      </w:r>
      <w:r>
        <w:rPr>
          <w:rFonts w:ascii="Arial" w:eastAsia="Arial" w:hAnsi="Arial" w:cs="Arial"/>
          <w:sz w:val="28"/>
        </w:rPr>
        <w:t xml:space="preserve"> </w:t>
      </w:r>
      <w:r>
        <w:rPr>
          <w:rFonts w:ascii="Arial" w:eastAsia="仿宋_GB2312;仿宋" w:hAnsi="Arial" w:cs="Arial"/>
          <w:sz w:val="28"/>
        </w:rPr>
        <w:t>，</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27</w:t>
      </w:r>
      <w:r>
        <w:rPr>
          <w:rFonts w:ascii="Arial" w:eastAsia="仿宋_GB2312;仿宋" w:hAnsi="Arial" w:cs="Arial"/>
          <w:sz w:val="28"/>
        </w:rPr>
        <w:t>日中华人民共和国国务院令第</w:t>
      </w:r>
      <w:r>
        <w:rPr>
          <w:rFonts w:ascii="Arial" w:eastAsia="仿宋_GB2312;仿宋" w:hAnsi="Arial" w:cs="Arial"/>
          <w:sz w:val="28"/>
        </w:rPr>
        <w:t>256</w:t>
      </w:r>
      <w:r>
        <w:rPr>
          <w:rFonts w:ascii="Arial" w:eastAsia="仿宋_GB2312;仿宋" w:hAnsi="Arial" w:cs="Arial"/>
          <w:sz w:val="28"/>
        </w:rPr>
        <w:t>号发布，自</w:t>
      </w:r>
      <w:r>
        <w:rPr>
          <w:rFonts w:ascii="Arial" w:eastAsia="仿宋_GB2312;仿宋" w:hAnsi="Arial" w:cs="Arial"/>
          <w:sz w:val="28"/>
        </w:rPr>
        <w:t>1999</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2010</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日国务院第</w:t>
      </w:r>
      <w:r>
        <w:rPr>
          <w:rFonts w:ascii="Arial" w:eastAsia="仿宋_GB2312;仿宋" w:hAnsi="Arial" w:cs="Arial"/>
          <w:sz w:val="28"/>
        </w:rPr>
        <w:t>138</w:t>
      </w:r>
      <w:r>
        <w:rPr>
          <w:rFonts w:ascii="Arial" w:eastAsia="仿宋_GB2312;仿宋" w:hAnsi="Arial" w:cs="Arial"/>
          <w:sz w:val="28"/>
        </w:rPr>
        <w:t>次常务会议第一次修正通过，</w:t>
      </w:r>
      <w:r>
        <w:rPr>
          <w:rFonts w:ascii="Arial" w:eastAsia="仿宋_GB2312;仿宋" w:hAnsi="Arial" w:cs="Arial"/>
          <w:sz w:val="28"/>
        </w:rPr>
        <w:t>2011</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8</w:t>
      </w:r>
      <w:r>
        <w:rPr>
          <w:rFonts w:ascii="Arial" w:eastAsia="仿宋_GB2312;仿宋" w:hAnsi="Arial" w:cs="Arial"/>
          <w:sz w:val="28"/>
        </w:rPr>
        <w:t>日中华人民共和国国务院令第</w:t>
      </w:r>
      <w:r>
        <w:rPr>
          <w:rFonts w:ascii="Arial" w:eastAsia="仿宋_GB2312;仿宋" w:hAnsi="Arial" w:cs="Arial"/>
          <w:sz w:val="28"/>
        </w:rPr>
        <w:t>588</w:t>
      </w:r>
      <w:r>
        <w:rPr>
          <w:rFonts w:ascii="Arial" w:eastAsia="仿宋_GB2312;仿宋" w:hAnsi="Arial" w:cs="Arial"/>
          <w:sz w:val="28"/>
        </w:rPr>
        <w:t>号发布，自发布之日起施行；</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9</w:t>
      </w:r>
      <w:r>
        <w:rPr>
          <w:rFonts w:ascii="Arial" w:eastAsia="仿宋_GB2312;仿宋" w:hAnsi="Arial" w:cs="Arial"/>
          <w:sz w:val="28"/>
        </w:rPr>
        <w:t>日国务院第</w:t>
      </w:r>
      <w:r>
        <w:rPr>
          <w:rFonts w:ascii="Arial" w:eastAsia="仿宋_GB2312;仿宋" w:hAnsi="Arial" w:cs="Arial"/>
          <w:sz w:val="28"/>
        </w:rPr>
        <w:t>54</w:t>
      </w:r>
      <w:r>
        <w:rPr>
          <w:rFonts w:ascii="Arial" w:eastAsia="仿宋_GB2312;仿宋" w:hAnsi="Arial" w:cs="Arial"/>
          <w:sz w:val="28"/>
        </w:rPr>
        <w:t>次常务会议第二次修正通过，</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日中华人民共和国国务院令第</w:t>
      </w:r>
      <w:r>
        <w:rPr>
          <w:rFonts w:ascii="Arial" w:eastAsia="仿宋_GB2312;仿宋" w:hAnsi="Arial" w:cs="Arial"/>
          <w:sz w:val="28"/>
        </w:rPr>
        <w:t>653</w:t>
      </w:r>
      <w:r>
        <w:rPr>
          <w:rFonts w:ascii="Arial" w:eastAsia="仿宋_GB2312;仿宋" w:hAnsi="Arial" w:cs="Arial"/>
          <w:sz w:val="28"/>
        </w:rPr>
        <w:t>号公布，自公布之日起施行；</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21</w:t>
      </w:r>
      <w:r>
        <w:rPr>
          <w:rFonts w:ascii="Arial" w:eastAsia="仿宋_GB2312;仿宋" w:hAnsi="Arial" w:cs="Arial"/>
          <w:sz w:val="28"/>
        </w:rPr>
        <w:t>日国务院第</w:t>
      </w:r>
      <w:r>
        <w:rPr>
          <w:rFonts w:ascii="Arial" w:eastAsia="仿宋_GB2312;仿宋" w:hAnsi="Arial" w:cs="Arial"/>
          <w:sz w:val="28"/>
        </w:rPr>
        <w:t>132</w:t>
      </w:r>
      <w:r>
        <w:rPr>
          <w:rFonts w:ascii="Arial" w:eastAsia="仿宋_GB2312;仿宋" w:hAnsi="Arial" w:cs="Arial"/>
          <w:sz w:val="28"/>
        </w:rPr>
        <w:t>次会议第三次修订通过，</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日中华人民共和国国务院令第</w:t>
      </w:r>
      <w:r>
        <w:rPr>
          <w:rFonts w:ascii="Arial" w:eastAsia="仿宋_GB2312;仿宋" w:hAnsi="Arial" w:cs="Arial"/>
          <w:sz w:val="28"/>
        </w:rPr>
        <w:t>743</w:t>
      </w:r>
      <w:r>
        <w:rPr>
          <w:rFonts w:ascii="Arial" w:eastAsia="仿宋_GB2312;仿宋" w:hAnsi="Arial" w:cs="Arial"/>
          <w:sz w:val="28"/>
        </w:rPr>
        <w:t>号公布，自</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06921AF8"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10.</w:t>
      </w:r>
      <w:r>
        <w:rPr>
          <w:rFonts w:ascii="Arial" w:eastAsia="仿宋_GB2312;仿宋" w:hAnsi="Arial" w:cs="Arial"/>
          <w:sz w:val="28"/>
        </w:rPr>
        <w:t>《北京市人民政府关于更新出让国有建设用地使用权基准地价的通知》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p>
    <w:p w14:paraId="2E214F9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11.</w:t>
      </w:r>
      <w:r>
        <w:rPr>
          <w:rFonts w:ascii="Arial" w:eastAsia="仿宋_GB2312;仿宋" w:hAnsi="Arial" w:cs="Arial"/>
          <w:sz w:val="28"/>
        </w:rPr>
        <w:t>《关于进一步规范土地一级开发项目管理费和利润管理的通知》</w:t>
      </w:r>
      <w:r>
        <w:rPr>
          <w:rFonts w:ascii="Arial" w:eastAsia="仿宋_GB2312;仿宋" w:hAnsi="Arial" w:cs="Arial"/>
          <w:sz w:val="28"/>
        </w:rPr>
        <w:t>[</w:t>
      </w:r>
      <w:r>
        <w:rPr>
          <w:rFonts w:ascii="Arial" w:eastAsia="仿宋_GB2312;仿宋" w:hAnsi="Arial" w:cs="Arial"/>
          <w:sz w:val="28"/>
        </w:rPr>
        <w:t>京规自发（</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303</w:t>
      </w:r>
      <w:r>
        <w:rPr>
          <w:rFonts w:ascii="Arial" w:eastAsia="仿宋_GB2312;仿宋" w:hAnsi="Arial" w:cs="Arial"/>
          <w:sz w:val="28"/>
        </w:rPr>
        <w:t>号</w:t>
      </w:r>
      <w:r>
        <w:rPr>
          <w:rFonts w:ascii="Arial" w:eastAsia="仿宋_GB2312;仿宋" w:hAnsi="Arial" w:cs="Arial"/>
          <w:sz w:val="28"/>
        </w:rPr>
        <w:t>]</w:t>
      </w:r>
    </w:p>
    <w:p w14:paraId="4EF665B6" w14:textId="77777777" w:rsidR="00E70101" w:rsidRDefault="0060680B">
      <w:pPr>
        <w:spacing w:line="360" w:lineRule="auto"/>
        <w:ind w:firstLine="560"/>
        <w:jc w:val="both"/>
        <w:rPr>
          <w:rFonts w:ascii="Arial" w:hAnsi="Arial" w:cs="Arial"/>
          <w:sz w:val="28"/>
          <w:szCs w:val="28"/>
        </w:rPr>
      </w:pPr>
      <w:r>
        <w:rPr>
          <w:rFonts w:ascii="Arial" w:eastAsia="仿宋_GB2312;仿宋" w:hAnsi="Arial" w:cs="Arial"/>
          <w:sz w:val="28"/>
        </w:rPr>
        <w:t>12.</w:t>
      </w:r>
      <w:r>
        <w:rPr>
          <w:rFonts w:ascii="Arial" w:eastAsia="仿宋_GB2312;仿宋" w:hAnsi="Arial" w:cs="Arial"/>
          <w:sz w:val="28"/>
        </w:rPr>
        <w:t>《国有土地上房屋征收与补偿条例》</w:t>
      </w:r>
      <w:r>
        <w:rPr>
          <w:rFonts w:ascii="Arial" w:eastAsia="仿宋_GB2312;仿宋" w:hAnsi="Arial" w:cs="Arial"/>
          <w:sz w:val="28"/>
        </w:rPr>
        <w:t>[</w:t>
      </w:r>
      <w:r>
        <w:rPr>
          <w:rFonts w:ascii="Arial" w:eastAsia="仿宋_GB2312;仿宋" w:hAnsi="Arial" w:cs="Arial"/>
          <w:sz w:val="28"/>
        </w:rPr>
        <w:t>中华人民共和国国务院令第</w:t>
      </w:r>
      <w:r>
        <w:rPr>
          <w:rFonts w:ascii="Arial" w:eastAsia="仿宋_GB2312;仿宋" w:hAnsi="Arial" w:cs="Arial"/>
          <w:sz w:val="28"/>
        </w:rPr>
        <w:t>590</w:t>
      </w:r>
      <w:r>
        <w:rPr>
          <w:rFonts w:ascii="Arial" w:eastAsia="仿宋_GB2312;仿宋" w:hAnsi="Arial" w:cs="Arial"/>
          <w:sz w:val="28"/>
        </w:rPr>
        <w:t>号</w:t>
      </w:r>
      <w:r>
        <w:rPr>
          <w:rFonts w:ascii="Arial" w:eastAsia="仿宋_GB2312;仿宋" w:hAnsi="Arial" w:cs="Arial"/>
          <w:sz w:val="28"/>
        </w:rPr>
        <w:t>]</w:t>
      </w:r>
    </w:p>
    <w:p w14:paraId="5DA8D081" w14:textId="77777777" w:rsidR="00E70101" w:rsidRDefault="0060680B">
      <w:pPr>
        <w:spacing w:line="360" w:lineRule="auto"/>
        <w:ind w:firstLine="560"/>
        <w:jc w:val="both"/>
      </w:pPr>
      <w:r>
        <w:rPr>
          <w:rFonts w:ascii="Arial" w:eastAsia="仿宋_GB2312;仿宋" w:hAnsi="Arial" w:cs="Arial"/>
          <w:sz w:val="28"/>
        </w:rPr>
        <w:t>13.</w:t>
      </w:r>
      <w:r>
        <w:rPr>
          <w:rFonts w:ascii="Arial" w:eastAsia="仿宋_GB2312;仿宋" w:hAnsi="Arial" w:cs="Arial"/>
          <w:sz w:val="28"/>
        </w:rPr>
        <w:t>关于印发《北京市国有土地上房屋征收停产停业损失补偿暂行办法》的通知</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w:t>
      </w:r>
    </w:p>
    <w:p w14:paraId="3053D974"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14.</w:t>
      </w:r>
      <w:r>
        <w:rPr>
          <w:rFonts w:ascii="Arial" w:eastAsia="仿宋_GB2312;仿宋" w:hAnsi="Arial" w:cs="Arial"/>
          <w:sz w:val="28"/>
        </w:rPr>
        <w:t>《关于国有土地上房屋征收与补偿中有关事项的通知》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2012</w:t>
      </w:r>
      <w:r>
        <w:rPr>
          <w:rFonts w:ascii="Arial" w:eastAsia="仿宋_GB2312;仿宋"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p>
    <w:p w14:paraId="1BCA02E5" w14:textId="77777777" w:rsidR="00E70101" w:rsidRDefault="0060680B">
      <w:pPr>
        <w:spacing w:line="360" w:lineRule="auto"/>
        <w:ind w:firstLine="560"/>
        <w:jc w:val="both"/>
        <w:rPr>
          <w:rFonts w:ascii="Arial" w:eastAsia="仿宋_GB2312;仿宋" w:hAnsi="Arial" w:cs="Arial"/>
          <w:color w:val="E36C0A"/>
          <w:sz w:val="28"/>
        </w:rPr>
      </w:pPr>
      <w:r>
        <w:rPr>
          <w:rFonts w:ascii="Arial" w:eastAsia="仿宋_GB2312;仿宋" w:hAnsi="Arial" w:cs="Arial"/>
          <w:sz w:val="28"/>
        </w:rPr>
        <w:t>15.</w:t>
      </w:r>
      <w:r>
        <w:rPr>
          <w:rFonts w:ascii="Arial" w:eastAsia="仿宋_GB2312;仿宋" w:hAnsi="Arial" w:cs="Arial"/>
          <w:sz w:val="28"/>
        </w:rPr>
        <w:t>《自然资源部办公厅关于印发</w:t>
      </w:r>
      <w:r>
        <w:rPr>
          <w:rFonts w:ascii="仿宋" w:eastAsia="仿宋" w:hAnsi="仿宋" w:cs="Arial"/>
          <w:sz w:val="28"/>
        </w:rPr>
        <w:t>〈</w:t>
      </w:r>
      <w:r>
        <w:rPr>
          <w:rFonts w:ascii="Arial" w:eastAsia="仿宋_GB2312;仿宋" w:hAnsi="Arial" w:cs="Arial"/>
          <w:sz w:val="28"/>
        </w:rPr>
        <w:t>国土空间调查、规划、用途管制用地用海分类指南（试行）</w:t>
      </w:r>
      <w:r>
        <w:rPr>
          <w:rFonts w:ascii="仿宋" w:eastAsia="仿宋" w:hAnsi="仿宋" w:cs="Arial"/>
          <w:sz w:val="28"/>
        </w:rPr>
        <w:t>〉</w:t>
      </w:r>
      <w:r>
        <w:rPr>
          <w:rFonts w:ascii="Arial" w:eastAsia="仿宋_GB2312;仿宋" w:hAnsi="Arial" w:cs="Arial"/>
          <w:sz w:val="28"/>
        </w:rPr>
        <w:t>的通知》</w:t>
      </w:r>
      <w:r>
        <w:rPr>
          <w:rFonts w:ascii="Arial" w:eastAsia="仿宋_GB2312;仿宋" w:hAnsi="Arial" w:cs="Arial"/>
          <w:sz w:val="28"/>
        </w:rPr>
        <w:t>[</w:t>
      </w:r>
      <w:r>
        <w:rPr>
          <w:rFonts w:ascii="Arial" w:eastAsia="仿宋_GB2312;仿宋" w:hAnsi="Arial" w:cs="Arial"/>
          <w:sz w:val="28"/>
        </w:rPr>
        <w:t>自然资办发〔</w:t>
      </w:r>
      <w:r>
        <w:rPr>
          <w:rFonts w:ascii="Arial" w:eastAsia="仿宋_GB2312;仿宋" w:hAnsi="Arial" w:cs="Arial"/>
          <w:sz w:val="28"/>
        </w:rPr>
        <w:t>2020</w:t>
      </w:r>
      <w:r>
        <w:rPr>
          <w:rFonts w:ascii="Arial" w:eastAsia="仿宋_GB2312;仿宋" w:hAnsi="Arial" w:cs="Arial"/>
          <w:sz w:val="28"/>
        </w:rPr>
        <w:t>〕</w:t>
      </w:r>
      <w:r>
        <w:rPr>
          <w:rFonts w:ascii="Arial" w:eastAsia="仿宋_GB2312;仿宋" w:hAnsi="Arial" w:cs="Arial"/>
          <w:sz w:val="28"/>
        </w:rPr>
        <w:t>51</w:t>
      </w:r>
      <w:r>
        <w:rPr>
          <w:rFonts w:ascii="Arial" w:eastAsia="仿宋_GB2312;仿宋" w:hAnsi="Arial" w:cs="Arial"/>
          <w:sz w:val="28"/>
        </w:rPr>
        <w:t>号</w:t>
      </w:r>
      <w:r>
        <w:rPr>
          <w:rFonts w:ascii="Arial" w:eastAsia="仿宋_GB2312;仿宋" w:hAnsi="Arial" w:cs="Arial"/>
          <w:sz w:val="28"/>
        </w:rPr>
        <w:t>]</w:t>
      </w:r>
    </w:p>
    <w:p w14:paraId="2FDDD72C"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16.</w:t>
      </w:r>
      <w:r>
        <w:rPr>
          <w:rFonts w:ascii="Arial" w:eastAsia="仿宋_GB2312;仿宋" w:hAnsi="Arial" w:cs="Arial"/>
          <w:sz w:val="28"/>
        </w:rPr>
        <w:t>《北京市国土空间调查、规划、用途管制用地分类指南（试行）》</w:t>
      </w:r>
    </w:p>
    <w:p w14:paraId="6C946D80"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（二）采用的技术标准</w:t>
      </w:r>
    </w:p>
    <w:p w14:paraId="1539C263" w14:textId="0817AED3" w:rsidR="00E70101" w:rsidRDefault="0060680B">
      <w:pPr>
        <w:spacing w:line="360" w:lineRule="auto"/>
        <w:ind w:firstLine="560"/>
        <w:jc w:val="both"/>
      </w:pPr>
      <w:r>
        <w:rPr>
          <w:rFonts w:ascii="Arial" w:eastAsia="仿宋_GB2312;仿宋" w:hAnsi="Arial" w:cs="Arial"/>
          <w:sz w:val="28"/>
        </w:rPr>
        <w:t>1.</w:t>
      </w:r>
      <w:r w:rsidR="000B7BF1">
        <w:rPr>
          <w:rFonts w:ascii="Arial" w:eastAsia="仿宋_GB2312;仿宋" w:hAnsi="Arial" w:cs="Arial"/>
          <w:sz w:val="28"/>
        </w:rPr>
        <w:t>《城镇土地估价</w:t>
      </w:r>
      <w:r>
        <w:rPr>
          <w:rFonts w:ascii="Arial" w:eastAsia="仿宋_GB2312;仿宋" w:hAnsi="Arial" w:cs="Arial"/>
          <w:sz w:val="28"/>
        </w:rPr>
        <w:t>规程》</w:t>
      </w:r>
      <w:r>
        <w:rPr>
          <w:rFonts w:ascii="Arial" w:eastAsia="仿宋_GB2312;仿宋" w:hAnsi="Arial" w:cs="Arial"/>
          <w:sz w:val="28"/>
        </w:rPr>
        <w:t>[GB/T 18508-2014]</w:t>
      </w:r>
    </w:p>
    <w:p w14:paraId="63E2FF3E"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《城镇土地分等定级规程》</w:t>
      </w:r>
      <w:hyperlink r:id="rId34" w:tgtFrame="_blank">
        <w:r>
          <w:rPr>
            <w:rStyle w:val="Internet"/>
            <w:rFonts w:ascii="Arial" w:eastAsia="仿宋_GB2312;仿宋" w:hAnsi="Arial" w:cs="Arial"/>
            <w:sz w:val="28"/>
          </w:rPr>
          <w:t>[GB/T 18507-2014]</w:t>
        </w:r>
      </w:hyperlink>
    </w:p>
    <w:p w14:paraId="1666DEF8" w14:textId="77777777" w:rsidR="00E70101" w:rsidRDefault="0060680B">
      <w:pPr>
        <w:spacing w:line="360" w:lineRule="auto"/>
        <w:ind w:firstLine="560"/>
        <w:jc w:val="both"/>
      </w:pPr>
      <w:r>
        <w:rPr>
          <w:rFonts w:ascii="Arial" w:eastAsia="仿宋_GB2312;仿宋" w:hAnsi="Arial" w:cs="Arial"/>
          <w:sz w:val="28"/>
        </w:rPr>
        <w:t>3.</w:t>
      </w:r>
      <w:r>
        <w:rPr>
          <w:rFonts w:ascii="Arial" w:eastAsia="仿宋_GB2312;仿宋" w:hAnsi="Arial" w:cs="Arial"/>
          <w:sz w:val="28"/>
        </w:rPr>
        <w:t>《土地利用现状分类》</w:t>
      </w:r>
      <w:r>
        <w:rPr>
          <w:rFonts w:ascii="Arial" w:eastAsia="仿宋_GB2312;仿宋" w:hAnsi="Arial" w:cs="Arial"/>
          <w:sz w:val="28"/>
        </w:rPr>
        <w:t>[GB/T 21010-2017]</w:t>
      </w:r>
    </w:p>
    <w:p w14:paraId="038483B9"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《城市用地分类与规划建设用地标准》</w:t>
      </w:r>
      <w:r>
        <w:rPr>
          <w:rFonts w:ascii="Arial" w:eastAsia="仿宋_GB2312;仿宋" w:hAnsi="Arial" w:cs="Arial"/>
          <w:sz w:val="28"/>
        </w:rPr>
        <w:t>[GB50137-2011]</w:t>
      </w:r>
    </w:p>
    <w:p w14:paraId="0DBE0975" w14:textId="77777777" w:rsidR="00E70101" w:rsidRDefault="0060680B">
      <w:pPr>
        <w:spacing w:line="360" w:lineRule="auto"/>
        <w:ind w:firstLine="560"/>
        <w:jc w:val="both"/>
      </w:pPr>
      <w:r>
        <w:rPr>
          <w:rFonts w:ascii="Arial" w:eastAsia="仿宋_GB2312;仿宋" w:hAnsi="Arial" w:cs="Arial"/>
          <w:sz w:val="28"/>
        </w:rPr>
        <w:t>5.</w:t>
      </w:r>
      <w:r>
        <w:rPr>
          <w:rFonts w:ascii="Arial" w:eastAsia="仿宋_GB2312;仿宋" w:hAnsi="Arial" w:cs="Arial"/>
          <w:sz w:val="28"/>
        </w:rPr>
        <w:t>《自然资源分等定级通则》（</w:t>
      </w:r>
      <w:r>
        <w:rPr>
          <w:rFonts w:ascii="Arial" w:eastAsia="仿宋_GB2312;仿宋" w:hAnsi="Arial" w:cs="Arial"/>
          <w:sz w:val="28"/>
        </w:rPr>
        <w:t>TD/T 1060-2021</w:t>
      </w:r>
      <w:r>
        <w:rPr>
          <w:rFonts w:ascii="Arial" w:eastAsia="仿宋_GB2312;仿宋" w:hAnsi="Arial" w:cs="Arial"/>
          <w:sz w:val="28"/>
        </w:rPr>
        <w:t>）</w:t>
      </w:r>
    </w:p>
    <w:p w14:paraId="4E7D784A"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《自然资源价格评估通则》（</w:t>
      </w:r>
      <w:r>
        <w:rPr>
          <w:rFonts w:ascii="Arial" w:eastAsia="仿宋_GB2312;仿宋" w:hAnsi="Arial" w:cs="Arial"/>
          <w:sz w:val="28"/>
        </w:rPr>
        <w:t>TD/T 1061-2021</w:t>
      </w:r>
      <w:r>
        <w:rPr>
          <w:rFonts w:ascii="Arial" w:eastAsia="仿宋_GB2312;仿宋" w:hAnsi="Arial" w:cs="Arial"/>
          <w:sz w:val="28"/>
        </w:rPr>
        <w:t>）</w:t>
      </w:r>
    </w:p>
    <w:p w14:paraId="3E7C7DDC" w14:textId="77777777" w:rsidR="00E70101" w:rsidRDefault="0060680B">
      <w:pPr>
        <w:spacing w:line="360" w:lineRule="auto"/>
        <w:ind w:firstLine="560"/>
        <w:jc w:val="both"/>
      </w:pPr>
      <w:r>
        <w:rPr>
          <w:rFonts w:ascii="Arial" w:eastAsia="仿宋_GB2312;仿宋" w:hAnsi="Arial" w:cs="Arial"/>
          <w:sz w:val="28"/>
        </w:rPr>
        <w:t>7.</w:t>
      </w:r>
      <w:r>
        <w:rPr>
          <w:rFonts w:ascii="Arial" w:eastAsia="仿宋_GB2312;仿宋" w:hAnsi="Arial" w:cs="Arial"/>
          <w:sz w:val="28"/>
        </w:rPr>
        <w:t>《房地产咨询规范》</w:t>
      </w:r>
      <w:r>
        <w:rPr>
          <w:rFonts w:ascii="Arial" w:eastAsia="仿宋_GB2312;仿宋" w:hAnsi="Arial" w:cs="Arial"/>
          <w:sz w:val="28"/>
        </w:rPr>
        <w:t>[GB/T 50291-2015]</w:t>
      </w:r>
    </w:p>
    <w:p w14:paraId="48F525A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8.</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2018</w:t>
      </w:r>
      <w:r>
        <w:rPr>
          <w:rFonts w:ascii="Arial" w:eastAsia="仿宋_GB2312;仿宋" w:hAnsi="Arial" w:cs="Arial"/>
          <w:sz w:val="28"/>
        </w:rPr>
        <w:t>）</w:t>
      </w:r>
      <w:r>
        <w:rPr>
          <w:rFonts w:ascii="Arial" w:eastAsia="仿宋_GB2312;仿宋" w:hAnsi="Arial" w:cs="Arial"/>
          <w:sz w:val="28"/>
        </w:rPr>
        <w:t>004</w:t>
      </w:r>
      <w:r>
        <w:rPr>
          <w:rFonts w:ascii="Arial" w:eastAsia="仿宋_GB2312;仿宋" w:hAnsi="Arial" w:cs="Arial"/>
          <w:sz w:val="28"/>
        </w:rPr>
        <w:t>号</w:t>
      </w:r>
      <w:r>
        <w:rPr>
          <w:rFonts w:ascii="Arial" w:eastAsia="仿宋_GB2312;仿宋" w:hAnsi="Arial" w:cs="Arial"/>
          <w:sz w:val="28"/>
        </w:rPr>
        <w:t>]</w:t>
      </w:r>
    </w:p>
    <w:p w14:paraId="7FB180FA"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9.</w:t>
      </w:r>
      <w:r>
        <w:rPr>
          <w:rFonts w:ascii="Arial" w:eastAsia="仿宋_GB2312;仿宋" w:hAnsi="Arial" w:cs="Arial"/>
          <w:sz w:val="28"/>
        </w:rPr>
        <w:t>《北京市企业国有建设用地使用权收购补偿价格评估技术指引》应用有关说明的通知</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p>
    <w:p w14:paraId="57AE01D0" w14:textId="77777777" w:rsidR="00E70101" w:rsidRDefault="0060680B">
      <w:pPr>
        <w:spacing w:line="360" w:lineRule="auto"/>
        <w:ind w:firstLine="560"/>
        <w:jc w:val="both"/>
      </w:pPr>
      <w:r>
        <w:rPr>
          <w:rFonts w:ascii="Arial" w:eastAsia="仿宋_GB2312;仿宋" w:hAnsi="Arial" w:cs="Arial"/>
          <w:sz w:val="28"/>
        </w:rPr>
        <w:t>10.</w:t>
      </w:r>
      <w:r>
        <w:rPr>
          <w:rFonts w:ascii="Arial" w:eastAsia="仿宋_GB2312;仿宋" w:hAnsi="Arial" w:cs="Arial"/>
          <w:sz w:val="28"/>
        </w:rPr>
        <w:t>《北京市房屋重置成新价评估技术标准》</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p>
    <w:p w14:paraId="4988604E"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11.</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10</w:t>
      </w:r>
      <w:r>
        <w:rPr>
          <w:rFonts w:ascii="Arial" w:eastAsia="仿宋_GB2312;仿宋" w:hAnsi="Arial" w:cs="Arial"/>
          <w:sz w:val="28"/>
        </w:rPr>
        <w:t>日发布）</w:t>
      </w:r>
    </w:p>
    <w:p w14:paraId="0FE35EB7" w14:textId="77777777" w:rsidR="00E70101" w:rsidRDefault="0060680B">
      <w:pPr>
        <w:spacing w:line="360" w:lineRule="auto"/>
        <w:ind w:firstLine="560"/>
        <w:jc w:val="both"/>
        <w:rPr>
          <w:rFonts w:ascii="Arial" w:eastAsia="仿宋_GB2312;仿宋" w:hAnsi="Arial" w:cs="Arial"/>
          <w:sz w:val="28"/>
        </w:rPr>
      </w:pPr>
      <w:r>
        <w:rPr>
          <w:rFonts w:ascii="Arial" w:hAnsi="Arial" w:cs="Arial"/>
          <w:sz w:val="28"/>
        </w:rPr>
        <w:t>12.</w:t>
      </w:r>
      <w:r>
        <w:rPr>
          <w:rFonts w:ascii="Arial" w:eastAsia="仿宋_GB2312;仿宋" w:hAnsi="Arial" w:cs="Arial"/>
          <w:sz w:val="28"/>
        </w:rPr>
        <w:t>自然资源部办公厅关于印发《划拨国有建设用地使用权地价评估指导意见（试行）》的通知</w:t>
      </w:r>
      <w:r>
        <w:rPr>
          <w:rFonts w:ascii="Arial" w:eastAsia="仿宋_GB2312;仿宋" w:hAnsi="Arial" w:cs="Arial"/>
          <w:sz w:val="28"/>
        </w:rPr>
        <w:t>[</w:t>
      </w:r>
      <w:r>
        <w:rPr>
          <w:rFonts w:ascii="Arial" w:eastAsia="仿宋_GB2312;仿宋" w:hAnsi="Arial" w:cs="Arial"/>
          <w:sz w:val="28"/>
        </w:rPr>
        <w:t>自然资办函〔</w:t>
      </w:r>
      <w:r>
        <w:rPr>
          <w:rFonts w:ascii="Arial" w:eastAsia="仿宋_GB2312;仿宋" w:hAnsi="Arial" w:cs="Arial"/>
          <w:sz w:val="28"/>
        </w:rPr>
        <w:t>2019</w:t>
      </w:r>
      <w:r>
        <w:rPr>
          <w:rFonts w:ascii="Arial" w:eastAsia="仿宋_GB2312;仿宋" w:hAnsi="Arial" w:cs="Arial"/>
          <w:sz w:val="28"/>
        </w:rPr>
        <w:t>〕</w:t>
      </w:r>
      <w:r>
        <w:rPr>
          <w:rFonts w:ascii="Arial" w:eastAsia="仿宋_GB2312;仿宋" w:hAnsi="Arial" w:cs="Arial"/>
          <w:sz w:val="28"/>
        </w:rPr>
        <w:t>922</w:t>
      </w:r>
      <w:r>
        <w:rPr>
          <w:rFonts w:ascii="Arial" w:eastAsia="仿宋_GB2312;仿宋" w:hAnsi="Arial" w:cs="Arial"/>
          <w:sz w:val="28"/>
        </w:rPr>
        <w:t>号</w:t>
      </w:r>
      <w:r>
        <w:rPr>
          <w:rFonts w:ascii="Arial" w:eastAsia="仿宋_GB2312;仿宋" w:hAnsi="Arial" w:cs="Arial"/>
          <w:sz w:val="28"/>
        </w:rPr>
        <w:t>]</w:t>
      </w:r>
    </w:p>
    <w:p w14:paraId="20B545CF"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13.</w:t>
      </w:r>
      <w:r>
        <w:rPr>
          <w:rFonts w:ascii="Arial" w:eastAsia="仿宋_GB2312;仿宋" w:hAnsi="Arial" w:cs="Arial"/>
          <w:sz w:val="28"/>
        </w:rPr>
        <w:t>《北京市国有建设用地使用权出让地价评估技术导则（试行）》</w:t>
      </w:r>
    </w:p>
    <w:p w14:paraId="6543D9EF"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14.</w:t>
      </w:r>
      <w:r>
        <w:rPr>
          <w:rFonts w:ascii="Arial" w:eastAsia="仿宋_GB2312;仿宋" w:hAnsi="Arial" w:cs="Arial"/>
          <w:sz w:val="28"/>
        </w:rPr>
        <w:t>《北京市协议出让涉及的划拨地价评估技术指引（试行）》的通知（北估秘</w:t>
      </w:r>
      <w:r>
        <w:rPr>
          <w:rFonts w:ascii="Arial" w:eastAsia="仿宋_GB2312;仿宋" w:hAnsi="Arial" w:cs="Arial"/>
          <w:sz w:val="28"/>
        </w:rPr>
        <w:t>[2022]002</w:t>
      </w:r>
      <w:r>
        <w:rPr>
          <w:rFonts w:ascii="Arial" w:eastAsia="仿宋_GB2312;仿宋" w:hAnsi="Arial" w:cs="Arial"/>
          <w:sz w:val="28"/>
        </w:rPr>
        <w:t>号）</w:t>
      </w:r>
    </w:p>
    <w:p w14:paraId="770C8774" w14:textId="77777777" w:rsidR="00E70101" w:rsidRDefault="0060680B">
      <w:pPr>
        <w:spacing w:line="360" w:lineRule="auto"/>
        <w:jc w:val="both"/>
      </w:pPr>
      <w:r>
        <w:rPr>
          <w:rFonts w:ascii="Arial" w:eastAsia="仿宋_GB2312;仿宋" w:hAnsi="Arial" w:cs="Arial"/>
          <w:sz w:val="28"/>
          <w:szCs w:val="18"/>
        </w:rPr>
        <w:t>（三）受托咨询方掌握的有关资料和评估专业人员实地勘察、调查所获取的资料实地勘查</w:t>
      </w:r>
      <w:r>
        <w:rPr>
          <w:rFonts w:ascii="Arial" w:eastAsia="仿宋_GB2312;仿宋" w:hAnsi="Arial" w:cs="Arial"/>
          <w:sz w:val="28"/>
        </w:rPr>
        <w:t>的有关资料</w:t>
      </w:r>
    </w:p>
    <w:p w14:paraId="36B560FB" w14:textId="77777777" w:rsidR="00E70101" w:rsidRDefault="00E70101">
      <w:pPr>
        <w:spacing w:line="360" w:lineRule="auto"/>
        <w:jc w:val="both"/>
        <w:rPr>
          <w:rFonts w:ascii="Arial" w:eastAsia="仿宋_GB2312;仿宋" w:hAnsi="Arial" w:cs="Arial"/>
          <w:sz w:val="28"/>
        </w:rPr>
      </w:pPr>
    </w:p>
    <w:p w14:paraId="67565021" w14:textId="77777777" w:rsidR="00E70101" w:rsidRDefault="0060680B">
      <w:pPr>
        <w:spacing w:line="360" w:lineRule="auto"/>
        <w:outlineLvl w:val="1"/>
        <w:rPr>
          <w:rFonts w:ascii="Arial" w:eastAsia="仿宋_GB2312;仿宋" w:hAnsi="Arial" w:cs="Arial"/>
          <w:b/>
          <w:sz w:val="28"/>
        </w:rPr>
      </w:pPr>
      <w:bookmarkStart w:id="22" w:name="__RefHeading___Toc469066146"/>
      <w:r>
        <w:rPr>
          <w:rFonts w:ascii="Arial" w:eastAsia="仿宋_GB2312;仿宋" w:hAnsi="Arial" w:cs="Arial"/>
          <w:b/>
          <w:sz w:val="28"/>
        </w:rPr>
        <w:t>二、</w:t>
      </w:r>
      <w:bookmarkEnd w:id="22"/>
      <w:r>
        <w:rPr>
          <w:rFonts w:ascii="Arial" w:eastAsia="仿宋_GB2312;仿宋" w:hAnsi="Arial" w:cs="Arial"/>
          <w:b/>
          <w:sz w:val="28"/>
        </w:rPr>
        <w:t>土地咨询</w:t>
      </w:r>
    </w:p>
    <w:p w14:paraId="754CDEBF"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（一）咨询原则</w:t>
      </w:r>
    </w:p>
    <w:p w14:paraId="210A40A5" w14:textId="77777777" w:rsidR="00E70101" w:rsidRDefault="0060680B">
      <w:pPr>
        <w:spacing w:line="360" w:lineRule="auto"/>
        <w:ind w:firstLine="630"/>
        <w:jc w:val="both"/>
        <w:rPr>
          <w:rFonts w:eastAsia="仿宋_GB2312;仿宋"/>
        </w:rPr>
      </w:pPr>
      <w:r>
        <w:rPr>
          <w:rFonts w:ascii="Arial" w:eastAsia="仿宋_GB2312;仿宋" w:hAnsi="Arial" w:cs="Arial"/>
          <w:sz w:val="28"/>
        </w:rPr>
        <w:t>土地价格是由其效用、相对稀缺性及有效需求三者相互作用和影响而形成，这些因素又经常处于变动之中，土地咨询必须要对此进行细致分析并正确判断其变动趋向，了解土地价格组成的各项因素及各因素之间的相互作用，才能做出正确估算。在土地咨询的实践和理论的探索中，在对土地价格形成和变化的规律认识的基础上，总结出一些在估算活动中应当遵循的法则或标准，而在估算作业时，这些原则又指导人们的估算实践。所以在探讨土地咨询方法之前，首先要掌握土地咨询的基本原则，以此为指南，认真分析影响土地价格的因素，灵活使用各种土地咨询方法，才能对土地价格做出最准确的判断。土地咨询应遵循的基本原则有</w:t>
      </w:r>
      <w:r>
        <w:rPr>
          <w:rFonts w:ascii="Arial" w:eastAsia="仿宋_GB2312;仿宋" w:hAnsi="Arial" w:cs="Arial"/>
          <w:sz w:val="28"/>
        </w:rPr>
        <w:t>:</w:t>
      </w:r>
      <w:r>
        <w:rPr>
          <w:rFonts w:ascii="Arial" w:eastAsia="仿宋_GB2312;仿宋" w:hAnsi="Arial" w:cs="Arial"/>
          <w:sz w:val="28"/>
        </w:rPr>
        <w:t>合法原则、替代原则、最有效利用原则、供需原则、贡献原则、谨慎性原则等。</w:t>
      </w:r>
      <w:r>
        <w:rPr>
          <w:rFonts w:ascii="Arial" w:eastAsia="Arial" w:hAnsi="Arial" w:cs="Arial"/>
          <w:sz w:val="28"/>
        </w:rPr>
        <w:t xml:space="preserve"> </w:t>
      </w:r>
    </w:p>
    <w:p w14:paraId="215ECC24" w14:textId="77777777" w:rsidR="00E70101" w:rsidRDefault="0060680B">
      <w:pPr>
        <w:spacing w:line="360" w:lineRule="auto"/>
        <w:ind w:firstLine="630"/>
        <w:jc w:val="both"/>
        <w:rPr>
          <w:rFonts w:eastAsia="仿宋_GB2312;仿宋"/>
        </w:rPr>
      </w:pPr>
      <w:r>
        <w:rPr>
          <w:rFonts w:ascii="Arial" w:eastAsia="仿宋_GB2312;仿宋" w:hAnsi="Arial" w:cs="Arial"/>
          <w:sz w:val="28"/>
        </w:rPr>
        <w:t>1.</w:t>
      </w:r>
      <w:r>
        <w:rPr>
          <w:rFonts w:ascii="Arial" w:eastAsia="仿宋_GB2312;仿宋" w:hAnsi="Arial" w:cs="Arial"/>
          <w:sz w:val="28"/>
        </w:rPr>
        <w:t>合法原则</w:t>
      </w:r>
      <w:r>
        <w:rPr>
          <w:rFonts w:ascii="Arial" w:eastAsia="Arial" w:hAnsi="Arial" w:cs="Arial"/>
          <w:sz w:val="28"/>
        </w:rPr>
        <w:t xml:space="preserve"> </w:t>
      </w:r>
    </w:p>
    <w:p w14:paraId="4CCA3E85" w14:textId="77777777" w:rsidR="00E70101" w:rsidRDefault="0060680B">
      <w:pPr>
        <w:spacing w:line="360" w:lineRule="auto"/>
        <w:ind w:firstLine="630"/>
        <w:jc w:val="both"/>
        <w:rPr>
          <w:rFonts w:eastAsia="仿宋_GB2312;仿宋"/>
        </w:rPr>
      </w:pPr>
      <w:r>
        <w:rPr>
          <w:rFonts w:ascii="Arial" w:eastAsia="仿宋_GB2312;仿宋" w:hAnsi="Arial" w:cs="Arial"/>
          <w:sz w:val="28"/>
        </w:rPr>
        <w:t>合法原则是指土地使用权价格评估必须以咨询对象的合法利用为前提。由于我国所有制特点，土地流转过程是土地使用权的流转，土地使用权的取得、使用年限、利用方式、利用规划等方面有严格控制，所以进行土地使用权价格评估时，必须确保咨询对象来源合法、利用合法。同时，土地咨询还有遵循相关法律法规的规定。</w:t>
      </w:r>
      <w:r>
        <w:rPr>
          <w:rFonts w:ascii="Arial" w:eastAsia="Arial" w:hAnsi="Arial" w:cs="Arial"/>
          <w:sz w:val="28"/>
        </w:rPr>
        <w:t xml:space="preserve"> </w:t>
      </w:r>
    </w:p>
    <w:p w14:paraId="05CD4C10" w14:textId="77777777" w:rsidR="00E70101" w:rsidRDefault="0060680B">
      <w:pPr>
        <w:spacing w:line="360" w:lineRule="auto"/>
        <w:ind w:firstLine="630"/>
        <w:jc w:val="both"/>
        <w:rPr>
          <w:rFonts w:eastAsia="仿宋_GB2312;仿宋"/>
        </w:rPr>
      </w:pPr>
      <w:r>
        <w:rPr>
          <w:rFonts w:ascii="Arial" w:eastAsia="仿宋_GB2312;仿宋" w:hAnsi="Arial" w:cs="Arial"/>
          <w:sz w:val="28"/>
        </w:rPr>
        <w:t>合法权益包括合法产权、合法使用和合法处分等。在合法产权方面应以房地产权属证书、权属档案的记载或其他合法证件为依据；在合法使用方面应以使用管制，如城市规划、土地用途管制等为依据；在合法处分方面应以法律、法规或合同等允许的处分方式为依据。所以估算时，土地的权益不是可以由委托人或咨询人员假设确定的，而是应当具有合法的依据。</w:t>
      </w:r>
      <w:r>
        <w:rPr>
          <w:rFonts w:ascii="Arial" w:eastAsia="Arial" w:hAnsi="Arial" w:cs="Arial"/>
          <w:sz w:val="28"/>
        </w:rPr>
        <w:t xml:space="preserve"> </w:t>
      </w:r>
    </w:p>
    <w:p w14:paraId="2FEBA9D3"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替代原则</w:t>
      </w:r>
    </w:p>
    <w:p w14:paraId="7EDEDD57" w14:textId="77777777" w:rsidR="00E70101" w:rsidRDefault="0060680B">
      <w:pPr>
        <w:spacing w:line="360" w:lineRule="auto"/>
        <w:ind w:firstLine="630"/>
        <w:jc w:val="both"/>
        <w:rPr>
          <w:rFonts w:eastAsia="仿宋_GB2312;仿宋"/>
        </w:rPr>
      </w:pPr>
      <w:r>
        <w:rPr>
          <w:rFonts w:ascii="Arial" w:eastAsia="仿宋_GB2312;仿宋" w:hAnsi="Arial" w:cs="Arial"/>
          <w:sz w:val="28"/>
        </w:rPr>
        <w:t>替代原则是指土地咨询应以相邻地区或类似地区功能相同、条件相似的土地市场交易价格为依据，咨询结果不得明显偏离具有替代性质的土地正常价格。</w:t>
      </w:r>
      <w:r>
        <w:rPr>
          <w:rFonts w:ascii="Arial" w:eastAsia="Arial" w:hAnsi="Arial" w:cs="Arial"/>
          <w:sz w:val="28"/>
        </w:rPr>
        <w:t xml:space="preserve"> </w:t>
      </w:r>
    </w:p>
    <w:p w14:paraId="46DE3CB4"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56CBA705" w14:textId="77777777" w:rsidR="00E70101" w:rsidRDefault="0060680B">
      <w:pPr>
        <w:spacing w:line="360" w:lineRule="auto"/>
        <w:ind w:firstLine="630"/>
        <w:jc w:val="both"/>
      </w:pPr>
      <w:r>
        <w:rPr>
          <w:rFonts w:ascii="Arial" w:eastAsia="仿宋_GB2312;仿宋" w:hAnsi="Arial" w:cs="Arial"/>
          <w:sz w:val="28"/>
        </w:rPr>
        <w:t>替代原则可以概括为三点：（</w:t>
      </w:r>
      <w:r>
        <w:rPr>
          <w:rFonts w:ascii="Arial" w:eastAsia="仿宋_GB2312;仿宋" w:hAnsi="Arial" w:cs="Arial"/>
          <w:sz w:val="28"/>
        </w:rPr>
        <w:t>1</w:t>
      </w:r>
      <w:r>
        <w:rPr>
          <w:rFonts w:ascii="Arial" w:eastAsia="仿宋_GB2312;仿宋" w:hAnsi="Arial" w:cs="Arial"/>
          <w:sz w:val="28"/>
        </w:rPr>
        <w:t>）土地价格水平由具有相同性质的替代性土地的价格所决定；（</w:t>
      </w:r>
      <w:r>
        <w:rPr>
          <w:rFonts w:ascii="Arial" w:eastAsia="仿宋_GB2312;仿宋" w:hAnsi="Arial" w:cs="Arial"/>
          <w:sz w:val="28"/>
        </w:rPr>
        <w:t>2</w:t>
      </w:r>
      <w:r>
        <w:rPr>
          <w:rFonts w:ascii="Arial" w:eastAsia="仿宋_GB2312;仿宋" w:hAnsi="Arial" w:cs="Arial"/>
          <w:sz w:val="28"/>
        </w:rPr>
        <w:t>）土地价格水平是由最了解行情的买卖者按市场交易实例相互比较后决定；（</w:t>
      </w:r>
      <w:r>
        <w:rPr>
          <w:rFonts w:ascii="Arial" w:eastAsia="仿宋_GB2312;仿宋" w:hAnsi="Arial" w:cs="Arial"/>
          <w:sz w:val="28"/>
        </w:rPr>
        <w:t>3</w:t>
      </w:r>
      <w:r>
        <w:rPr>
          <w:rFonts w:ascii="Arial" w:eastAsia="仿宋_GB2312;仿宋" w:hAnsi="Arial" w:cs="Arial"/>
          <w:sz w:val="28"/>
        </w:rPr>
        <w:t>）土地价格可以通过比较地块的条件及使用价值来确定。因此，替代原则中所指土地咨询应以相邻地区或类似地区功能相同、条件相似的土地市场交易价格为依据，咨询结果不得明显偏离具有替代性质的土地正常价格。</w:t>
      </w:r>
    </w:p>
    <w:p w14:paraId="5DD35EA7" w14:textId="77777777" w:rsidR="00E70101" w:rsidRDefault="0060680B">
      <w:pPr>
        <w:spacing w:line="360" w:lineRule="auto"/>
        <w:ind w:firstLine="630"/>
        <w:jc w:val="both"/>
        <w:rPr>
          <w:rFonts w:eastAsia="仿宋_GB2312;仿宋"/>
        </w:rPr>
      </w:pPr>
      <w:r>
        <w:rPr>
          <w:rFonts w:ascii="Arial" w:eastAsia="仿宋_GB2312;仿宋" w:hAnsi="Arial" w:cs="Arial"/>
          <w:sz w:val="28"/>
        </w:rPr>
        <w:t>替代原则的适用范围广，是本次评估成本逼近法中土地取得费的理论基础。</w:t>
      </w:r>
      <w:r>
        <w:rPr>
          <w:rFonts w:ascii="Arial" w:eastAsia="Arial" w:hAnsi="Arial" w:cs="Arial"/>
          <w:sz w:val="28"/>
        </w:rPr>
        <w:t xml:space="preserve"> </w:t>
      </w:r>
    </w:p>
    <w:p w14:paraId="10E325D5" w14:textId="77777777" w:rsidR="00E70101" w:rsidRDefault="0060680B">
      <w:pPr>
        <w:spacing w:line="360" w:lineRule="auto"/>
        <w:ind w:firstLine="630"/>
        <w:jc w:val="both"/>
        <w:rPr>
          <w:rFonts w:eastAsia="仿宋_GB2312;仿宋"/>
        </w:rPr>
      </w:pPr>
      <w:r>
        <w:rPr>
          <w:rFonts w:ascii="Arial" w:eastAsia="仿宋_GB2312;仿宋" w:hAnsi="Arial" w:cs="Arial"/>
          <w:sz w:val="28"/>
        </w:rPr>
        <w:t>3.</w:t>
      </w:r>
      <w:r>
        <w:rPr>
          <w:rFonts w:ascii="Arial" w:eastAsia="仿宋_GB2312;仿宋" w:hAnsi="Arial" w:cs="Arial"/>
          <w:sz w:val="28"/>
        </w:rPr>
        <w:t>最有效利用原则</w:t>
      </w:r>
      <w:r>
        <w:rPr>
          <w:rFonts w:ascii="Arial" w:eastAsia="Arial" w:hAnsi="Arial" w:cs="Arial"/>
          <w:sz w:val="28"/>
        </w:rPr>
        <w:t xml:space="preserve"> </w:t>
      </w:r>
    </w:p>
    <w:p w14:paraId="752F04D6" w14:textId="77777777" w:rsidR="00E70101" w:rsidRDefault="0060680B">
      <w:pPr>
        <w:spacing w:line="360" w:lineRule="auto"/>
        <w:ind w:firstLine="630"/>
        <w:jc w:val="both"/>
        <w:rPr>
          <w:rFonts w:eastAsia="仿宋_GB2312;仿宋"/>
        </w:rPr>
      </w:pPr>
      <w:r>
        <w:rPr>
          <w:rFonts w:ascii="Arial" w:eastAsia="仿宋_GB2312;仿宋" w:hAnsi="Arial" w:cs="Arial"/>
          <w:sz w:val="28"/>
        </w:rPr>
        <w:t>最有效利用原则是指土地咨询应以咨询对象的最有效利用为前提条件。判断土地的最有效利用以土地利用符合其自身利用条件、法律法规政策及规划限制、市场要求和最佳利用程度等。</w:t>
      </w:r>
      <w:r>
        <w:rPr>
          <w:rFonts w:ascii="Arial" w:eastAsia="Arial" w:hAnsi="Arial" w:cs="Arial"/>
          <w:sz w:val="28"/>
        </w:rPr>
        <w:t xml:space="preserve"> </w:t>
      </w:r>
    </w:p>
    <w:p w14:paraId="27D9893E" w14:textId="77777777" w:rsidR="00E70101" w:rsidRDefault="0060680B">
      <w:pPr>
        <w:spacing w:line="360" w:lineRule="auto"/>
        <w:ind w:firstLine="630"/>
        <w:jc w:val="both"/>
      </w:pPr>
      <w:r>
        <w:rPr>
          <w:rFonts w:ascii="Arial" w:eastAsia="仿宋_GB2312;仿宋" w:hAnsi="Arial" w:cs="Arial"/>
          <w:sz w:val="28"/>
        </w:rPr>
        <w:t>最有效利用原则是经济学中效用最大化原理在土地咨询中的具体运用。土地具有用途的多样性，土地不同的利用方式会给权利人带来不同的收益，而土地权利人都期望从其占有的土地上获取更大的收益，并以此作为确定土地利用方式的依据。因此，土地价格应该是土地在获利最大的利用方式下的价格。</w:t>
      </w:r>
    </w:p>
    <w:p w14:paraId="5F72E0F8" w14:textId="77777777" w:rsidR="00E70101" w:rsidRDefault="0060680B">
      <w:pPr>
        <w:spacing w:line="360" w:lineRule="auto"/>
        <w:ind w:firstLine="630"/>
        <w:jc w:val="both"/>
        <w:rPr>
          <w:rFonts w:eastAsia="仿宋_GB2312;仿宋"/>
        </w:rPr>
      </w:pPr>
      <w:r>
        <w:rPr>
          <w:rFonts w:ascii="Arial" w:eastAsia="仿宋_GB2312;仿宋" w:hAnsi="Arial" w:cs="Arial"/>
          <w:sz w:val="28"/>
        </w:rPr>
        <w:t>根据最有效利用原则，土地咨询不应受土地现实利用状况所限制，应该对最有效利用进行正确的判断。依据四项准则：（</w:t>
      </w:r>
      <w:r>
        <w:rPr>
          <w:rFonts w:ascii="Arial" w:eastAsia="仿宋_GB2312;仿宋" w:hAnsi="Arial" w:cs="Arial"/>
          <w:sz w:val="28"/>
        </w:rPr>
        <w:t>1</w:t>
      </w:r>
      <w:r>
        <w:rPr>
          <w:rFonts w:ascii="Arial" w:eastAsia="仿宋_GB2312;仿宋" w:hAnsi="Arial" w:cs="Arial"/>
          <w:sz w:val="28"/>
        </w:rPr>
        <w:t>）法律上许可，即最有效利用应以合法利用为前提，在法律法规政策及规划限制内利用；（</w:t>
      </w:r>
      <w:r>
        <w:rPr>
          <w:rFonts w:ascii="Arial" w:eastAsia="仿宋_GB2312;仿宋" w:hAnsi="Arial" w:cs="Arial"/>
          <w:sz w:val="28"/>
        </w:rPr>
        <w:t>2</w:t>
      </w:r>
      <w:r>
        <w:rPr>
          <w:rFonts w:ascii="Arial" w:eastAsia="仿宋_GB2312;仿宋" w:hAnsi="Arial" w:cs="Arial"/>
          <w:sz w:val="28"/>
        </w:rPr>
        <w:t>）工程技术上可行，现在的工程技术水平能满足土地利用方式的技术需求，土地利用应符合其自身利用条件；（</w:t>
      </w:r>
      <w:r>
        <w:rPr>
          <w:rFonts w:ascii="Arial" w:eastAsia="仿宋_GB2312;仿宋" w:hAnsi="Arial" w:cs="Arial"/>
          <w:sz w:val="28"/>
        </w:rPr>
        <w:t>3</w:t>
      </w:r>
      <w:r>
        <w:rPr>
          <w:rFonts w:ascii="Arial" w:eastAsia="仿宋_GB2312;仿宋" w:hAnsi="Arial" w:cs="Arial"/>
          <w:sz w:val="28"/>
        </w:rPr>
        <w:t>）经济上可行，土地的利用方式具有市场需求及能否获利；（</w:t>
      </w:r>
      <w:r>
        <w:rPr>
          <w:rFonts w:ascii="Arial" w:eastAsia="仿宋_GB2312;仿宋" w:hAnsi="Arial" w:cs="Arial"/>
          <w:sz w:val="28"/>
        </w:rPr>
        <w:t>4</w:t>
      </w:r>
      <w:r>
        <w:rPr>
          <w:rFonts w:ascii="Arial" w:eastAsia="仿宋_GB2312;仿宋" w:hAnsi="Arial" w:cs="Arial"/>
          <w:sz w:val="28"/>
        </w:rPr>
        <w:t>）价值最大化，在具备上述三项条件的前提下，将具有经济可行性的各种可能利用方式进行比较，回报最大的利用方式即最有效利用方式。</w:t>
      </w:r>
      <w:r>
        <w:rPr>
          <w:rFonts w:ascii="Arial" w:eastAsia="Arial" w:hAnsi="Arial" w:cs="Arial"/>
          <w:sz w:val="28"/>
        </w:rPr>
        <w:t xml:space="preserve"> </w:t>
      </w:r>
    </w:p>
    <w:p w14:paraId="552D74F1" w14:textId="77777777" w:rsidR="00E70101" w:rsidRDefault="0060680B">
      <w:pPr>
        <w:spacing w:line="360" w:lineRule="auto"/>
        <w:ind w:firstLine="630"/>
        <w:jc w:val="both"/>
        <w:rPr>
          <w:rFonts w:eastAsia="仿宋_GB2312;仿宋"/>
        </w:rPr>
      </w:pPr>
      <w:r>
        <w:rPr>
          <w:rFonts w:ascii="Arial" w:eastAsia="仿宋_GB2312;仿宋" w:hAnsi="Arial" w:cs="Arial"/>
          <w:sz w:val="28"/>
        </w:rPr>
        <w:t>实际中的应用有两种情况：一是假定为空地条件下的最有效利用，适用于土地开发或房地产开发；二是保持现状条件下的最有效利用，一般是指已建成的房地产在继续利用状态下的土地咨询。</w:t>
      </w:r>
      <w:r>
        <w:rPr>
          <w:rFonts w:ascii="Arial" w:eastAsia="Arial" w:hAnsi="Arial" w:cs="Arial"/>
          <w:sz w:val="28"/>
        </w:rPr>
        <w:t xml:space="preserve"> </w:t>
      </w:r>
      <w:r>
        <w:rPr>
          <w:rFonts w:ascii="Arial" w:eastAsia="仿宋_GB2312;仿宋" w:hAnsi="Arial" w:cs="Arial"/>
          <w:sz w:val="28"/>
        </w:rPr>
        <w:t>最有效利用原则是土地咨询的基本原则，土地咨询应以土地的最有效利用为前提。最有效利用原则与变动原则和预期收益原则关系密切，在判断最有效利用时，以变动原则和预期收益原则为基础，即土地最有效利用是对土地的过去，现在和将来作长远考虑后确定。</w:t>
      </w:r>
      <w:r>
        <w:rPr>
          <w:rFonts w:ascii="Arial" w:eastAsia="Arial" w:hAnsi="Arial" w:cs="Arial"/>
          <w:sz w:val="28"/>
        </w:rPr>
        <w:t xml:space="preserve"> </w:t>
      </w:r>
    </w:p>
    <w:p w14:paraId="4BEC1C24"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供需原则</w:t>
      </w:r>
    </w:p>
    <w:p w14:paraId="3C005BB5" w14:textId="77777777" w:rsidR="00E70101" w:rsidRDefault="0060680B">
      <w:pPr>
        <w:spacing w:line="360" w:lineRule="auto"/>
        <w:ind w:firstLine="630"/>
        <w:jc w:val="both"/>
      </w:pPr>
      <w:r>
        <w:rPr>
          <w:rFonts w:ascii="Arial" w:eastAsia="仿宋_GB2312;仿宋" w:hAnsi="Arial" w:cs="Arial"/>
          <w:sz w:val="28"/>
        </w:rPr>
        <w:t>土地咨询应以市场供需决定土地价格为依据，并充分考虑土地供需的特殊性和土地市场的地域性。</w:t>
      </w:r>
    </w:p>
    <w:p w14:paraId="74CB054B"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在完全的自由市场中，一般商品的价格，取决于需求与供给关系的均衡点。需求超过供给，价格随之提高；反之，供给超过需求，价格随之下降，这就是供求均衡法则。土地也是一样，其价格也是由需求与供给的互相关系而定。但因为土地不同于一般商品，具有一些人文与自然特性，使得它除了遵循上述供求均衡以外，也遵循其特有的供求规律。</w:t>
      </w:r>
    </w:p>
    <w:p w14:paraId="2B970695"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由于土地具有地理位置的固定性、不增性、个别性等自然特性，使价格独占性较强，需求与供给都限于局部地区，供给量有限，竞争主要是在需求方面进行。即土地不能实行完全竞争，其价格的独占倾向性较强。</w:t>
      </w:r>
    </w:p>
    <w:p w14:paraId="5BE4512D"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因此，土地不能仅根据均衡法则来决定价格。尤其在我国城市土地属国家所有，市场中能够流动的仅是有限年期的土地使用权，土地供方主要由国家控制，这一因素对地价具有至关重要的影响。</w:t>
      </w:r>
    </w:p>
    <w:p w14:paraId="610B1D63" w14:textId="77777777" w:rsidR="00E70101" w:rsidRDefault="0060680B">
      <w:pPr>
        <w:spacing w:line="360" w:lineRule="auto"/>
        <w:ind w:firstLine="630"/>
        <w:jc w:val="both"/>
        <w:rPr>
          <w:rFonts w:eastAsia="仿宋_GB2312;仿宋"/>
        </w:rPr>
      </w:pPr>
      <w:r>
        <w:rPr>
          <w:rFonts w:ascii="Arial" w:eastAsia="仿宋_GB2312;仿宋" w:hAnsi="Arial" w:cs="Arial"/>
          <w:sz w:val="28"/>
        </w:rPr>
        <w:t>5.</w:t>
      </w:r>
      <w:r>
        <w:rPr>
          <w:rFonts w:ascii="Arial" w:eastAsia="仿宋_GB2312;仿宋" w:hAnsi="Arial" w:cs="Arial"/>
          <w:sz w:val="28"/>
        </w:rPr>
        <w:t>贡献原则</w:t>
      </w:r>
      <w:r>
        <w:rPr>
          <w:rFonts w:ascii="Arial" w:eastAsia="Arial" w:hAnsi="Arial" w:cs="Arial"/>
          <w:sz w:val="28"/>
        </w:rPr>
        <w:t xml:space="preserve"> </w:t>
      </w:r>
    </w:p>
    <w:p w14:paraId="02734A57"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根据《指引》，国有建设用地使用权收购补偿价格包括：土地使用权价格、建筑物价格、附属物价格、因土地收购造成的无法恢复使用的设施设备补偿价格、因土地收购造成的停产停业损失补偿费用及搬迁补偿费用，由于该价格构成的特殊性，土地使用权价格仅为收购补偿价格其中之一，与其他补偿项目共同发挥贡献构成完整的收购补偿价格。</w:t>
      </w:r>
      <w:r>
        <w:rPr>
          <w:rFonts w:ascii="Arial" w:eastAsia="Arial" w:hAnsi="Arial" w:cs="Arial"/>
          <w:sz w:val="28"/>
        </w:rPr>
        <w:t xml:space="preserve"> </w:t>
      </w:r>
    </w:p>
    <w:p w14:paraId="1BF7AA40" w14:textId="77777777" w:rsidR="00E70101" w:rsidRDefault="0060680B">
      <w:pPr>
        <w:spacing w:line="360" w:lineRule="auto"/>
        <w:ind w:firstLine="630"/>
        <w:jc w:val="both"/>
        <w:rPr>
          <w:rFonts w:eastAsia="仿宋_GB2312;仿宋"/>
        </w:rPr>
      </w:pPr>
      <w:r>
        <w:rPr>
          <w:rFonts w:ascii="Arial" w:eastAsia="仿宋_GB2312;仿宋" w:hAnsi="Arial" w:cs="Arial"/>
          <w:sz w:val="28"/>
        </w:rPr>
        <w:t>6.</w:t>
      </w:r>
      <w:r>
        <w:rPr>
          <w:rFonts w:ascii="Arial" w:eastAsia="仿宋_GB2312;仿宋" w:hAnsi="Arial" w:cs="Arial"/>
          <w:sz w:val="28"/>
        </w:rPr>
        <w:t>谨慎性原则</w:t>
      </w:r>
      <w:r>
        <w:rPr>
          <w:rFonts w:ascii="Arial" w:eastAsia="Arial" w:hAnsi="Arial" w:cs="Arial"/>
          <w:sz w:val="28"/>
        </w:rPr>
        <w:t xml:space="preserve">  </w:t>
      </w:r>
    </w:p>
    <w:p w14:paraId="074B070A" w14:textId="77777777" w:rsidR="00E70101" w:rsidRDefault="0060680B">
      <w:pPr>
        <w:spacing w:line="360" w:lineRule="auto"/>
        <w:ind w:firstLine="630"/>
        <w:jc w:val="both"/>
        <w:rPr>
          <w:rFonts w:eastAsia="仿宋_GB2312;仿宋"/>
        </w:rPr>
      </w:pPr>
      <w:r>
        <w:rPr>
          <w:rFonts w:ascii="Arial" w:eastAsia="仿宋_GB2312;仿宋" w:hAnsi="Arial" w:cs="Arial"/>
          <w:sz w:val="28"/>
        </w:rPr>
        <w:t>谨慎性原则是指在评估中确定相关参数和结果时，应分析并充分考虑土地市场运行状况、有关行业发展状况，以及存在的风险。在不确定性条件下做出估计和判断时要保持一定程度的谨慎性，以便不高估也不低估咨询对象的价值。</w:t>
      </w:r>
      <w:r>
        <w:rPr>
          <w:rFonts w:ascii="Arial" w:eastAsia="Arial" w:hAnsi="Arial" w:cs="Arial"/>
          <w:sz w:val="28"/>
        </w:rPr>
        <w:t xml:space="preserve"> </w:t>
      </w:r>
    </w:p>
    <w:p w14:paraId="6459AE12"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本次评估考虑咨询对象的具体情况，结合咨询目的，在咨询过程中确定相关参数和结果时，仔细分析并充分考虑土地市场运行状况、有关行业发展状况、存在的风险，严格遵循着谨慎性原则。</w:t>
      </w:r>
      <w:r>
        <w:rPr>
          <w:rFonts w:ascii="Arial" w:eastAsia="Arial" w:hAnsi="Arial" w:cs="Arial"/>
          <w:sz w:val="28"/>
        </w:rPr>
        <w:t xml:space="preserve"> </w:t>
      </w:r>
    </w:p>
    <w:p w14:paraId="5F77E585" w14:textId="77777777" w:rsidR="00E70101" w:rsidRDefault="0060680B">
      <w:pPr>
        <w:pStyle w:val="LO-Normal"/>
        <w:autoSpaceDE w:val="0"/>
        <w:spacing w:line="360" w:lineRule="auto"/>
        <w:ind w:right="140"/>
        <w:jc w:val="both"/>
        <w:textAlignment w:val="bottom"/>
        <w:rPr>
          <w:rFonts w:ascii="Arial" w:eastAsia="仿宋_GB2312;仿宋" w:hAnsi="Arial" w:cs="Arial"/>
          <w:bCs/>
          <w:sz w:val="28"/>
        </w:rPr>
      </w:pPr>
      <w:r>
        <w:rPr>
          <w:rFonts w:ascii="Arial" w:eastAsia="仿宋_GB2312;仿宋" w:hAnsi="Arial" w:cs="Arial"/>
          <w:bCs/>
          <w:sz w:val="28"/>
        </w:rPr>
        <w:t>（二）咨询方法</w:t>
      </w:r>
    </w:p>
    <w:p w14:paraId="15ACF842" w14:textId="77777777" w:rsidR="00E70101" w:rsidRDefault="0060680B">
      <w:pPr>
        <w:tabs>
          <w:tab w:val="left" w:pos="3996"/>
        </w:tabs>
        <w:spacing w:line="360" w:lineRule="auto"/>
        <w:ind w:firstLine="63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方法选择</w:t>
      </w:r>
      <w:r>
        <w:rPr>
          <w:rFonts w:ascii="Arial" w:eastAsia="仿宋_GB2312;仿宋" w:hAnsi="Arial" w:cs="Arial"/>
          <w:sz w:val="28"/>
        </w:rPr>
        <w:tab/>
      </w:r>
    </w:p>
    <w:p w14:paraId="27BCC6C2" w14:textId="77777777" w:rsidR="00E70101" w:rsidRDefault="0060680B">
      <w:pPr>
        <w:spacing w:line="360" w:lineRule="auto"/>
        <w:ind w:firstLine="630"/>
        <w:jc w:val="both"/>
      </w:pPr>
      <w:r>
        <w:rPr>
          <w:rFonts w:ascii="Arial" w:eastAsia="仿宋_GB2312;仿宋" w:hAnsi="Arial" w:cs="Arial"/>
          <w:sz w:val="28"/>
        </w:rPr>
        <w:t>本报告咨询目的是为委托方了解土地收购储备可能形成的价格。根据咨询对象现状条件及《关于发布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2018</w:t>
      </w:r>
      <w:r>
        <w:rPr>
          <w:rFonts w:ascii="Arial" w:eastAsia="仿宋_GB2312;仿宋" w:hAnsi="Arial" w:cs="Arial"/>
          <w:sz w:val="28"/>
        </w:rPr>
        <w:t>）</w:t>
      </w:r>
      <w:r>
        <w:rPr>
          <w:rFonts w:ascii="Arial" w:eastAsia="仿宋_GB2312;仿宋" w:hAnsi="Arial" w:cs="Arial"/>
          <w:sz w:val="28"/>
        </w:rPr>
        <w:t>004</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，确定估算思路如下：</w:t>
      </w:r>
    </w:p>
    <w:p w14:paraId="1021BE98" w14:textId="77777777" w:rsidR="00E70101" w:rsidRDefault="0060680B">
      <w:pPr>
        <w:autoSpaceDE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土地收购补偿价格</w:t>
      </w:r>
      <w:r>
        <w:rPr>
          <w:rFonts w:ascii="Arial" w:eastAsia="仿宋_GB2312;仿宋" w:hAnsi="Arial" w:cs="Arial"/>
          <w:sz w:val="28"/>
        </w:rPr>
        <w:t>=</w:t>
      </w:r>
      <w:r>
        <w:rPr>
          <w:rFonts w:ascii="Arial" w:eastAsia="仿宋_GB2312;仿宋" w:hAnsi="Arial" w:cs="Arial"/>
          <w:sz w:val="28"/>
        </w:rPr>
        <w:t>土地使用权价格</w:t>
      </w:r>
      <w:r>
        <w:rPr>
          <w:rFonts w:ascii="Arial" w:eastAsia="仿宋_GB2312;仿宋" w:hAnsi="Arial" w:cs="Arial"/>
          <w:sz w:val="28"/>
        </w:rPr>
        <w:t>+</w:t>
      </w:r>
      <w:r>
        <w:rPr>
          <w:rFonts w:ascii="Arial" w:eastAsia="仿宋_GB2312;仿宋" w:hAnsi="Arial" w:cs="Arial"/>
          <w:sz w:val="28"/>
        </w:rPr>
        <w:t>房屋重置成新价</w:t>
      </w:r>
      <w:r>
        <w:rPr>
          <w:rFonts w:ascii="Arial" w:eastAsia="仿宋_GB2312;仿宋" w:hAnsi="Arial" w:cs="Arial"/>
          <w:sz w:val="28"/>
        </w:rPr>
        <w:t>+</w:t>
      </w:r>
      <w:r>
        <w:rPr>
          <w:rFonts w:ascii="Arial" w:eastAsia="仿宋_GB2312;仿宋" w:hAnsi="Arial" w:cs="Arial"/>
          <w:sz w:val="28"/>
        </w:rPr>
        <w:t>附属物价格</w:t>
      </w:r>
      <w:r>
        <w:rPr>
          <w:rFonts w:ascii="Arial" w:eastAsia="仿宋_GB2312;仿宋" w:hAnsi="Arial" w:cs="Arial"/>
          <w:sz w:val="28"/>
        </w:rPr>
        <w:t>+</w:t>
      </w:r>
      <w:r>
        <w:rPr>
          <w:rFonts w:ascii="Arial" w:eastAsia="仿宋_GB2312;仿宋" w:hAnsi="Arial" w:cs="Arial"/>
          <w:sz w:val="28"/>
        </w:rPr>
        <w:t>无法恢复使用的设施设备补偿价</w:t>
      </w:r>
      <w:r>
        <w:rPr>
          <w:rFonts w:ascii="Arial" w:eastAsia="仿宋_GB2312;仿宋" w:hAnsi="Arial" w:cs="Arial"/>
          <w:sz w:val="28"/>
        </w:rPr>
        <w:t>+</w:t>
      </w:r>
      <w:r>
        <w:rPr>
          <w:rFonts w:ascii="Arial" w:eastAsia="仿宋_GB2312;仿宋" w:hAnsi="Arial" w:cs="Arial"/>
          <w:sz w:val="28"/>
        </w:rPr>
        <w:t>停产停业损失补偿费用</w:t>
      </w:r>
      <w:r>
        <w:rPr>
          <w:rFonts w:ascii="Arial" w:eastAsia="仿宋_GB2312;仿宋" w:hAnsi="Arial" w:cs="Arial"/>
          <w:sz w:val="28"/>
        </w:rPr>
        <w:t>+</w:t>
      </w:r>
      <w:r>
        <w:rPr>
          <w:rFonts w:ascii="Arial" w:eastAsia="仿宋_GB2312;仿宋" w:hAnsi="Arial" w:cs="Arial"/>
          <w:sz w:val="28"/>
        </w:rPr>
        <w:t>搬迁、临时安置补偿费用</w:t>
      </w:r>
    </w:p>
    <w:p w14:paraId="799996F2" w14:textId="39A84341" w:rsidR="00E70101" w:rsidRDefault="000B7BF1">
      <w:pPr>
        <w:autoSpaceDE w:val="0"/>
        <w:spacing w:line="360" w:lineRule="auto"/>
        <w:ind w:firstLine="560"/>
        <w:jc w:val="both"/>
        <w:textAlignment w:val="bottom"/>
      </w:pPr>
      <w:r>
        <w:rPr>
          <w:rFonts w:ascii="Arial" w:eastAsia="仿宋_GB2312;仿宋" w:hAnsi="Arial" w:cs="Arial"/>
          <w:sz w:val="28"/>
        </w:rPr>
        <w:t>根据《城镇土地估价</w:t>
      </w:r>
      <w:r w:rsidR="0060680B">
        <w:rPr>
          <w:rFonts w:ascii="Arial" w:eastAsia="仿宋_GB2312;仿宋" w:hAnsi="Arial" w:cs="Arial"/>
          <w:sz w:val="28"/>
        </w:rPr>
        <w:t>规程》</w:t>
      </w:r>
      <w:r w:rsidR="0060680B">
        <w:rPr>
          <w:rFonts w:ascii="Arial" w:eastAsia="仿宋_GB2312;仿宋" w:hAnsi="Arial" w:cs="Arial"/>
          <w:sz w:val="28"/>
        </w:rPr>
        <w:t>[GB/T 18508-2014]</w:t>
      </w:r>
      <w:r w:rsidR="0060680B">
        <w:rPr>
          <w:rFonts w:ascii="Arial" w:eastAsia="仿宋_GB2312;仿宋" w:hAnsi="Arial" w:cs="Arial"/>
          <w:sz w:val="28"/>
        </w:rPr>
        <w:t>以及咨询对象的具体条件、用地性质及咨询目的，结合评估专业人员收集的有关资料，考虑到当地地产市场发育程度，选择评估方法。</w:t>
      </w:r>
    </w:p>
    <w:p w14:paraId="1440B7EE" w14:textId="77777777" w:rsidR="00E70101" w:rsidRDefault="0060680B">
      <w:pPr>
        <w:autoSpaceDE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1</w:t>
      </w:r>
      <w:r>
        <w:rPr>
          <w:rFonts w:ascii="Arial" w:eastAsia="仿宋_GB2312;仿宋" w:hAnsi="Arial" w:cs="Arial"/>
          <w:sz w:val="28"/>
        </w:rPr>
        <w:t>）土地使用权价格的评估方法</w:t>
      </w:r>
    </w:p>
    <w:p w14:paraId="11DCDC3D" w14:textId="77777777" w:rsidR="00E70101" w:rsidRDefault="0060680B">
      <w:pPr>
        <w:spacing w:line="360" w:lineRule="auto"/>
        <w:ind w:firstLine="560"/>
        <w:jc w:val="both"/>
      </w:pPr>
      <w:r>
        <w:rPr>
          <w:rFonts w:ascii="Arial" w:eastAsia="仿宋_GB2312;仿宋" w:hAnsi="Arial" w:cs="Arial"/>
          <w:sz w:val="28"/>
        </w:rPr>
        <w:t>根据《城镇土地估价规程》</w:t>
      </w:r>
      <w:r>
        <w:rPr>
          <w:rFonts w:ascii="Arial" w:eastAsia="仿宋_GB2312;仿宋" w:hAnsi="Arial" w:cs="Arial"/>
          <w:sz w:val="28"/>
        </w:rPr>
        <w:t>[GB/T18508-2014]</w:t>
      </w:r>
      <w:r>
        <w:rPr>
          <w:rFonts w:ascii="Arial" w:eastAsia="仿宋_GB2312;仿宋" w:hAnsi="Arial" w:cs="Arial"/>
          <w:sz w:val="28"/>
        </w:rPr>
        <w:t>，估算方法通常有市场比较法、收益还原法、成本逼近法、剩余法及基准地价系数修正法共五种估算方法。估算方法的选择应按照《城镇土地估价规程》，根据区域内地产市场发育情况并结合咨询对象的特点及咨询目的等，选择适当的估算方法。在一项土地估算中所选方法不少于两种。</w:t>
      </w:r>
    </w:p>
    <w:p w14:paraId="60F9BB2B"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五种方法的定义及适用条件如下：</w:t>
      </w:r>
    </w:p>
    <w:p w14:paraId="678E4480" w14:textId="77777777" w:rsidR="00E70101" w:rsidRDefault="0060680B">
      <w:pPr>
        <w:pStyle w:val="LO-Normal"/>
        <w:autoSpaceDE w:val="0"/>
        <w:spacing w:line="360" w:lineRule="auto"/>
        <w:ind w:right="6" w:firstLine="560"/>
        <w:jc w:val="both"/>
        <w:textAlignment w:val="bottom"/>
        <w:rPr>
          <w:rFonts w:ascii="Arial" w:eastAsia="仿宋_GB2312;仿宋" w:hAnsi="Arial" w:cs="Arial"/>
          <w:sz w:val="28"/>
        </w:rPr>
      </w:pPr>
      <w:r>
        <w:rPr>
          <w:rFonts w:ascii="Arial" w:eastAsia="仿宋_GB2312;仿宋" w:hAnsi="Arial" w:cs="Arial"/>
          <w:sz w:val="28"/>
        </w:rPr>
        <w:t>市场比较法：市场比较法是选取一定数量的可比实例，将它们与咨询对象进行比较，根据其间的差异对可比实例成交价格进行处理后得到咨询对象价值或价格的方法。市场比较法主要用于同类房地产数量较多、经常发生交易且具有一定可比性的房地产。</w:t>
      </w:r>
    </w:p>
    <w:p w14:paraId="57E6C135"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收益还原法：收益还原法是预测咨询对象的未来收益，利用报酬率或资本化率、收益乘数将未来收益转换为价值得到咨询价值或价格的方法。收益还原法适用于咨询对象或其同类房地产通常有租金等经济收入的收益性房地产。</w:t>
      </w:r>
    </w:p>
    <w:p w14:paraId="4A8EFEDF" w14:textId="77777777" w:rsidR="00E70101" w:rsidRDefault="0060680B">
      <w:pPr>
        <w:spacing w:line="360" w:lineRule="auto"/>
        <w:ind w:left="-2" w:firstLine="560"/>
        <w:jc w:val="both"/>
      </w:pPr>
      <w:r>
        <w:rPr>
          <w:rFonts w:ascii="Arial" w:eastAsia="仿宋_GB2312;仿宋" w:hAnsi="Arial" w:cs="Arial"/>
          <w:sz w:val="28"/>
        </w:rPr>
        <w:t>成本逼近法：成本逼近法是以取得和开发土地所耗费的各项费用之和为主要依据，再加上一定的利润、利息、应缴纳的税金和</w:t>
      </w:r>
      <w:hyperlink r:id="rId35" w:tgtFrame="_blank">
        <w:r>
          <w:rPr>
            <w:rStyle w:val="Internet"/>
            <w:rFonts w:ascii="Arial" w:eastAsia="仿宋_GB2312;仿宋" w:hAnsi="Arial" w:cs="Arial"/>
            <w:sz w:val="28"/>
          </w:rPr>
          <w:t>土地所有权</w:t>
        </w:r>
      </w:hyperlink>
      <w:r>
        <w:rPr>
          <w:rFonts w:ascii="Arial" w:eastAsia="仿宋_GB2312;仿宋" w:hAnsi="Arial" w:cs="Arial"/>
          <w:sz w:val="28"/>
        </w:rPr>
        <w:t>收益来确定</w:t>
      </w:r>
      <w:hyperlink r:id="rId36" w:tgtFrame="_blank">
        <w:r>
          <w:rPr>
            <w:rStyle w:val="Internet"/>
            <w:rFonts w:ascii="Arial" w:eastAsia="仿宋_GB2312;仿宋" w:hAnsi="Arial" w:cs="Arial"/>
            <w:sz w:val="28"/>
          </w:rPr>
          <w:t>土地价格</w:t>
        </w:r>
      </w:hyperlink>
      <w:r>
        <w:rPr>
          <w:rFonts w:ascii="Arial" w:eastAsia="仿宋_GB2312;仿宋" w:hAnsi="Arial" w:cs="Arial"/>
          <w:sz w:val="28"/>
        </w:rPr>
        <w:t>的估算方法。成本逼近法一般是用于新开发土地，或土地市场欠发育、交易实例少的地区的土地价格评估。</w:t>
      </w:r>
    </w:p>
    <w:p w14:paraId="6AD48B1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剩余法：是在估算开发完成后不动产正常交易价格的基础上，扣除建筑物建造费用和与建筑物建造、买卖有关费用后，以价格余额来确定咨询对象土地价格的一种方法。剩余法适用于具有开发投资价值或再开发潜力的房地产。</w:t>
      </w:r>
    </w:p>
    <w:p w14:paraId="76E83E7A" w14:textId="77777777" w:rsidR="00E70101" w:rsidRDefault="0060680B">
      <w:pPr>
        <w:spacing w:line="360" w:lineRule="auto"/>
        <w:ind w:firstLine="560"/>
        <w:jc w:val="both"/>
      </w:pPr>
      <w:r>
        <w:rPr>
          <w:rFonts w:ascii="Arial" w:eastAsia="仿宋_GB2312;仿宋" w:hAnsi="Arial" w:cs="Arial"/>
          <w:sz w:val="28"/>
        </w:rPr>
        <w:t>基准地价系数修正法：该方法适用于政府或其有关部门已公布基准地价地区的土地估算。</w:t>
      </w:r>
    </w:p>
    <w:p w14:paraId="46B1C1C9" w14:textId="77777777" w:rsidR="00E70101" w:rsidRDefault="0060680B">
      <w:pPr>
        <w:pStyle w:val="23"/>
        <w:widowControl/>
        <w:tabs>
          <w:tab w:val="right" w:pos="8840"/>
        </w:tabs>
        <w:spacing w:line="360" w:lineRule="auto"/>
        <w:ind w:firstLine="560"/>
        <w:textAlignment w:val="bottom"/>
      </w:pPr>
      <w:r>
        <w:rPr>
          <w:rFonts w:ascii="Arial" w:eastAsia="仿宋_GB2312;仿宋" w:hAnsi="Arial" w:cs="Arial"/>
          <w:kern w:val="2"/>
        </w:rPr>
        <w:t>依据《关于发布</w:t>
      </w:r>
      <w:r>
        <w:rPr>
          <w:rFonts w:ascii="Arial" w:eastAsia="仿宋_GB2312;仿宋" w:hAnsi="Arial" w:cs="Arial"/>
          <w:kern w:val="2"/>
        </w:rPr>
        <w:t>&lt;</w:t>
      </w:r>
      <w:r>
        <w:rPr>
          <w:rFonts w:ascii="Arial" w:eastAsia="仿宋_GB2312;仿宋" w:hAnsi="Arial" w:cs="Arial"/>
          <w:kern w:val="2"/>
        </w:rPr>
        <w:t>北京市企业国有建设用地使用权收购补偿价格评估技术指引</w:t>
      </w:r>
      <w:r>
        <w:rPr>
          <w:rFonts w:ascii="Arial" w:eastAsia="仿宋_GB2312;仿宋" w:hAnsi="Arial" w:cs="Arial"/>
          <w:kern w:val="2"/>
        </w:rPr>
        <w:t>&gt;</w:t>
      </w:r>
      <w:r>
        <w:rPr>
          <w:rFonts w:ascii="Arial" w:eastAsia="仿宋_GB2312;仿宋" w:hAnsi="Arial" w:cs="Arial"/>
          <w:kern w:val="2"/>
        </w:rPr>
        <w:t>的通知》</w:t>
      </w:r>
      <w:r>
        <w:rPr>
          <w:rFonts w:ascii="Arial" w:eastAsia="仿宋_GB2312;仿宋" w:hAnsi="Arial" w:cs="Arial"/>
          <w:kern w:val="2"/>
        </w:rPr>
        <w:t>[</w:t>
      </w:r>
      <w:r>
        <w:rPr>
          <w:rFonts w:ascii="Arial" w:eastAsia="仿宋_GB2312;仿宋" w:hAnsi="Arial" w:cs="Arial"/>
          <w:kern w:val="2"/>
        </w:rPr>
        <w:t>北估秘（</w:t>
      </w:r>
      <w:r>
        <w:rPr>
          <w:rFonts w:ascii="Arial" w:eastAsia="仿宋_GB2312;仿宋" w:hAnsi="Arial" w:cs="Arial"/>
          <w:kern w:val="2"/>
        </w:rPr>
        <w:t>2018</w:t>
      </w:r>
      <w:r>
        <w:rPr>
          <w:rFonts w:ascii="Arial" w:eastAsia="仿宋_GB2312;仿宋" w:hAnsi="Arial" w:cs="Arial"/>
          <w:kern w:val="2"/>
        </w:rPr>
        <w:t>）</w:t>
      </w:r>
      <w:r>
        <w:rPr>
          <w:rFonts w:ascii="Arial" w:eastAsia="仿宋_GB2312;仿宋" w:hAnsi="Arial" w:cs="Arial"/>
          <w:kern w:val="2"/>
        </w:rPr>
        <w:t>004</w:t>
      </w:r>
      <w:r>
        <w:rPr>
          <w:rFonts w:ascii="Arial" w:eastAsia="仿宋_GB2312;仿宋" w:hAnsi="Arial" w:cs="Arial"/>
          <w:kern w:val="2"/>
        </w:rPr>
        <w:t>号</w:t>
      </w:r>
      <w:r>
        <w:rPr>
          <w:rFonts w:ascii="Arial" w:eastAsia="仿宋_GB2312;仿宋" w:hAnsi="Arial" w:cs="Arial"/>
          <w:kern w:val="2"/>
        </w:rPr>
        <w:t>]</w:t>
      </w:r>
      <w:r>
        <w:rPr>
          <w:rFonts w:ascii="Arial" w:eastAsia="仿宋_GB2312;仿宋" w:hAnsi="Arial" w:cs="Arial"/>
          <w:kern w:val="2"/>
        </w:rPr>
        <w:t>，</w:t>
      </w:r>
      <w:r>
        <w:rPr>
          <w:rFonts w:ascii="Arial" w:eastAsia="仿宋_GB2312;仿宋" w:hAnsi="Arial" w:cs="Arial"/>
        </w:rPr>
        <w:t>土地评估专业人员应综合考虑区位、用途、土地使用权类型、土地开发程度等价格影响因素，对估算方法进行适用性分析后，选用两种以上评估方法</w:t>
      </w:r>
      <w:r>
        <w:rPr>
          <w:rFonts w:ascii="Arial" w:eastAsia="仿宋_GB2312;仿宋" w:hAnsi="Arial" w:cs="Arial"/>
          <w:kern w:val="2"/>
        </w:rPr>
        <w:t>。</w:t>
      </w:r>
    </w:p>
    <w:p w14:paraId="2C64126A" w14:textId="77777777" w:rsidR="00E70101" w:rsidRDefault="0060680B">
      <w:pPr>
        <w:spacing w:line="360" w:lineRule="auto"/>
        <w:ind w:left="-2" w:firstLine="560"/>
        <w:jc w:val="both"/>
        <w:rPr>
          <w:rFonts w:ascii="Arial" w:eastAsia="仿宋_GB2312;仿宋" w:hAnsi="Arial" w:cs="Arial"/>
          <w:sz w:val="28"/>
        </w:rPr>
      </w:pPr>
      <w:r>
        <w:rPr>
          <w:rFonts w:ascii="Arial" w:eastAsia="仿宋_GB2312;仿宋" w:hAnsi="Arial" w:cs="Arial"/>
          <w:sz w:val="28"/>
        </w:rPr>
        <w:t>评估专业人员在认真分析所掌握的资料并进行了实地勘查之后，根据咨询对象土地的特点及开发项目本身的实际状况，选取基准地价系数修正法和成本逼近法作为本次咨询的基本方法，估算划拨国有建设用地使用权收购补偿价格。</w:t>
      </w:r>
    </w:p>
    <w:p w14:paraId="1623308C" w14:textId="77777777" w:rsidR="00E70101" w:rsidRDefault="0060680B">
      <w:pPr>
        <w:snapToGrid w:val="0"/>
        <w:spacing w:line="360" w:lineRule="auto"/>
        <w:ind w:left="560"/>
        <w:rPr>
          <w:rFonts w:ascii="Arial" w:eastAsia="仿宋_GB2312;仿宋" w:hAnsi="Arial" w:cs="Arial"/>
          <w:sz w:val="28"/>
          <w:szCs w:val="28"/>
        </w:rPr>
      </w:pPr>
      <w:r>
        <w:rPr>
          <w:rFonts w:ascii="Arial" w:eastAsia="仿宋_GB2312;仿宋" w:hAnsi="Arial" w:cs="Arial"/>
          <w:sz w:val="28"/>
          <w:szCs w:val="28"/>
        </w:rPr>
        <w:t>（</w:t>
      </w:r>
      <w:r>
        <w:rPr>
          <w:rFonts w:ascii="Arial" w:eastAsia="仿宋_GB2312;仿宋" w:hAnsi="Arial" w:cs="Arial"/>
          <w:sz w:val="28"/>
          <w:szCs w:val="28"/>
        </w:rPr>
        <w:t>2</w:t>
      </w:r>
      <w:r>
        <w:rPr>
          <w:rFonts w:ascii="Arial" w:eastAsia="仿宋_GB2312;仿宋" w:hAnsi="Arial" w:cs="Arial"/>
          <w:sz w:val="28"/>
          <w:szCs w:val="28"/>
        </w:rPr>
        <w:t>）房屋重置成新价的评估方法</w:t>
      </w:r>
    </w:p>
    <w:p w14:paraId="5F0A1BA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按照《指引》，房地分开评估时，建（构）筑物价格的估算采用北京市相应的房屋重置成新价评估技术标准。补偿价格</w:t>
      </w:r>
      <w:r>
        <w:rPr>
          <w:rFonts w:ascii="Arial" w:eastAsia="仿宋_GB2312;仿宋" w:hAnsi="Arial" w:cs="Arial"/>
          <w:sz w:val="28"/>
          <w:szCs w:val="28"/>
        </w:rPr>
        <w:t>参考</w:t>
      </w:r>
      <w:r>
        <w:rPr>
          <w:rFonts w:ascii="Arial" w:eastAsia="仿宋_GB2312;仿宋" w:hAnsi="Arial" w:cs="Arial"/>
          <w:sz w:val="28"/>
        </w:rPr>
        <w:t>《北京市房屋重置成新价评估技术标准》</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10</w:t>
      </w:r>
      <w:r>
        <w:rPr>
          <w:rFonts w:ascii="Arial" w:eastAsia="仿宋_GB2312;仿宋" w:hAnsi="Arial" w:cs="Arial"/>
          <w:sz w:val="28"/>
        </w:rPr>
        <w:t>日发布）</w:t>
      </w:r>
      <w:r>
        <w:rPr>
          <w:rFonts w:ascii="Arial" w:eastAsia="仿宋_GB2312;仿宋" w:hAnsi="Arial" w:cs="Arial"/>
          <w:sz w:val="28"/>
          <w:szCs w:val="28"/>
        </w:rPr>
        <w:t>进行评估。</w:t>
      </w:r>
    </w:p>
    <w:p w14:paraId="21D31F92" w14:textId="77777777" w:rsidR="00E70101" w:rsidRDefault="0060680B">
      <w:pPr>
        <w:snapToGrid w:val="0"/>
        <w:spacing w:line="360" w:lineRule="auto"/>
        <w:ind w:firstLine="560"/>
      </w:pPr>
      <w:r>
        <w:rPr>
          <w:rFonts w:ascii="Arial" w:eastAsia="仿宋_GB2312;仿宋" w:hAnsi="Arial" w:cs="Arial"/>
          <w:sz w:val="28"/>
          <w:szCs w:val="28"/>
        </w:rPr>
        <w:t>（</w:t>
      </w:r>
      <w:r>
        <w:rPr>
          <w:rFonts w:ascii="Arial" w:eastAsia="仿宋_GB2312;仿宋" w:hAnsi="Arial" w:cs="Arial"/>
          <w:sz w:val="28"/>
          <w:szCs w:val="28"/>
        </w:rPr>
        <w:t>3</w:t>
      </w:r>
      <w:r>
        <w:rPr>
          <w:rFonts w:ascii="Arial" w:eastAsia="仿宋_GB2312;仿宋" w:hAnsi="Arial" w:cs="Arial"/>
          <w:sz w:val="28"/>
          <w:szCs w:val="28"/>
        </w:rPr>
        <w:t>）</w:t>
      </w:r>
      <w:r>
        <w:rPr>
          <w:rFonts w:ascii="Arial" w:eastAsia="仿宋_GB2312;仿宋" w:hAnsi="Arial" w:cs="Arial"/>
          <w:sz w:val="28"/>
        </w:rPr>
        <w:t>附属物价格</w:t>
      </w:r>
      <w:r>
        <w:rPr>
          <w:rFonts w:ascii="Arial" w:eastAsia="仿宋_GB2312;仿宋" w:hAnsi="Arial" w:cs="Arial"/>
          <w:sz w:val="28"/>
          <w:szCs w:val="28"/>
        </w:rPr>
        <w:t>的评估方法</w:t>
      </w:r>
    </w:p>
    <w:p w14:paraId="3B6EF856" w14:textId="77777777" w:rsidR="00E70101" w:rsidRDefault="0060680B">
      <w:pPr>
        <w:spacing w:line="360" w:lineRule="auto"/>
        <w:ind w:firstLine="560"/>
        <w:jc w:val="both"/>
      </w:pPr>
      <w:r>
        <w:rPr>
          <w:rFonts w:ascii="Arial" w:eastAsia="仿宋_GB2312;仿宋" w:hAnsi="Arial" w:cs="Arial"/>
          <w:sz w:val="28"/>
        </w:rPr>
        <w:t>附属物包括树木、院墙、院地及其他，补偿价格参照《北京市房屋重置成新价评估技术标准》</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仿宋_GB2312;仿宋" w:eastAsia="仿宋_GB2312;仿宋" w:hAnsi="仿宋_GB2312;仿宋" w:cs="仿宋"/>
          <w:sz w:val="28"/>
        </w:rPr>
        <w:t xml:space="preserve"> 进行评估</w:t>
      </w:r>
      <w:r>
        <w:rPr>
          <w:rFonts w:ascii="Arial" w:eastAsia="仿宋_GB2312;仿宋" w:hAnsi="Arial" w:cs="Arial"/>
          <w:sz w:val="28"/>
        </w:rPr>
        <w:t>、《关于调整〈北京市房屋重置成新价评估技术标准〉相关系数的通知》（</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10</w:t>
      </w:r>
      <w:r>
        <w:rPr>
          <w:rFonts w:ascii="Arial" w:eastAsia="仿宋_GB2312;仿宋" w:hAnsi="Arial" w:cs="Arial"/>
          <w:sz w:val="28"/>
        </w:rPr>
        <w:t>日发布）进行评估。经委托方介绍，设定咨询对象宗地现状不存在附属物。</w:t>
      </w:r>
    </w:p>
    <w:p w14:paraId="2B39BBFB"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4</w:t>
      </w:r>
      <w:r>
        <w:rPr>
          <w:rFonts w:ascii="Arial" w:eastAsia="仿宋_GB2312;仿宋" w:hAnsi="Arial" w:cs="Arial"/>
          <w:sz w:val="28"/>
        </w:rPr>
        <w:t>）无法恢复使用的设施设备补偿价格的评估方法</w:t>
      </w:r>
    </w:p>
    <w:p w14:paraId="60ED63A0" w14:textId="77777777" w:rsidR="00E70101" w:rsidRDefault="0060680B">
      <w:pPr>
        <w:spacing w:line="360" w:lineRule="auto"/>
        <w:ind w:firstLine="560"/>
        <w:jc w:val="both"/>
      </w:pPr>
      <w:r>
        <w:rPr>
          <w:rFonts w:ascii="Arial" w:eastAsia="仿宋_GB2312;仿宋" w:hAnsi="Arial" w:cs="Arial"/>
          <w:sz w:val="28"/>
        </w:rPr>
        <w:t>经委托方介绍，由于咨询对象宗地并未进行生产使用，不存在因土地收购造成的无法恢复使用的设施设备情况。</w:t>
      </w:r>
    </w:p>
    <w:p w14:paraId="0E13C9FE" w14:textId="77777777" w:rsidR="00E70101" w:rsidRDefault="0060680B">
      <w:pPr>
        <w:spacing w:line="360" w:lineRule="auto"/>
        <w:ind w:firstLine="560"/>
      </w:pPr>
      <w:r>
        <w:rPr>
          <w:rFonts w:ascii="Arial" w:eastAsia="仿宋_GB2312;仿宋" w:hAnsi="Arial" w:cs="Arial"/>
          <w:sz w:val="28"/>
          <w:szCs w:val="28"/>
        </w:rPr>
        <w:t>（</w:t>
      </w:r>
      <w:r>
        <w:rPr>
          <w:rFonts w:ascii="Arial" w:eastAsia="仿宋_GB2312;仿宋" w:hAnsi="Arial" w:cs="Arial"/>
          <w:sz w:val="28"/>
          <w:szCs w:val="28"/>
        </w:rPr>
        <w:t>5</w:t>
      </w:r>
      <w:r>
        <w:rPr>
          <w:rFonts w:ascii="Arial" w:eastAsia="仿宋_GB2312;仿宋" w:hAnsi="Arial" w:cs="Arial"/>
          <w:sz w:val="28"/>
          <w:szCs w:val="28"/>
        </w:rPr>
        <w:t>）</w:t>
      </w:r>
      <w:r>
        <w:rPr>
          <w:rFonts w:ascii="Arial" w:eastAsia="仿宋_GB2312;仿宋" w:hAnsi="Arial" w:cs="Arial"/>
          <w:sz w:val="28"/>
        </w:rPr>
        <w:t>停产停业损失补偿费用</w:t>
      </w:r>
    </w:p>
    <w:p w14:paraId="2838D916" w14:textId="77777777" w:rsidR="00E70101" w:rsidRDefault="0060680B">
      <w:pPr>
        <w:spacing w:line="360" w:lineRule="auto"/>
        <w:ind w:left="-2" w:firstLine="560"/>
        <w:jc w:val="both"/>
        <w:rPr>
          <w:rFonts w:ascii="Arial" w:eastAsia="仿宋_GB2312;仿宋" w:hAnsi="Arial" w:cs="Arial"/>
          <w:sz w:val="28"/>
        </w:rPr>
      </w:pPr>
      <w:r>
        <w:rPr>
          <w:rFonts w:ascii="Arial" w:eastAsia="仿宋_GB2312;仿宋" w:hAnsi="Arial" w:cs="Arial"/>
          <w:sz w:val="28"/>
        </w:rPr>
        <w:t>停产停业损失补偿包括房屋停产停业期间租金、净利润损失、员工生活补助费，参照《北京市国有土地上房屋征收停产停业损失补偿暂行办法》</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2018</w:t>
      </w:r>
      <w:r>
        <w:rPr>
          <w:rFonts w:ascii="Arial" w:eastAsia="仿宋_GB2312;仿宋" w:hAnsi="Arial" w:cs="Arial"/>
          <w:sz w:val="28"/>
        </w:rPr>
        <w:t>）</w:t>
      </w:r>
      <w:r>
        <w:rPr>
          <w:rFonts w:ascii="Arial" w:eastAsia="仿宋_GB2312;仿宋" w:hAnsi="Arial" w:cs="Arial"/>
          <w:sz w:val="28"/>
        </w:rPr>
        <w:t>004</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、《关于发布</w:t>
      </w:r>
      <w:r>
        <w:rPr>
          <w:rFonts w:ascii="仿宋" w:eastAsia="仿宋" w:hAnsi="仿宋" w:cs="Arial"/>
          <w:sz w:val="28"/>
        </w:rPr>
        <w:t>〈</w:t>
      </w:r>
      <w:r>
        <w:rPr>
          <w:rFonts w:ascii="Arial" w:eastAsia="仿宋_GB2312;仿宋" w:hAnsi="Arial" w:cs="Arial"/>
          <w:sz w:val="28"/>
        </w:rPr>
        <w:t>北京市企业国有建设用地使用权收购补偿价格评估技术指引</w:t>
      </w:r>
      <w:r>
        <w:rPr>
          <w:rFonts w:ascii="仿宋" w:eastAsia="仿宋" w:hAnsi="仿宋" w:cs="Arial"/>
          <w:sz w:val="28"/>
        </w:rPr>
        <w:t>〉</w:t>
      </w:r>
      <w:r>
        <w:rPr>
          <w:rFonts w:ascii="Arial" w:eastAsia="仿宋_GB2312;仿宋" w:hAnsi="Arial" w:cs="Arial"/>
          <w:sz w:val="28"/>
        </w:rPr>
        <w:t>应用有关说明的通知》</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27ECE33B"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经委托方介绍，由于咨询对象宗地未进行生产使用，不存在</w:t>
      </w:r>
      <w:r>
        <w:rPr>
          <w:rFonts w:ascii="仿宋_GB2312;仿宋" w:eastAsia="仿宋_GB2312;仿宋" w:hAnsi="仿宋_GB2312;仿宋" w:cs="Arial"/>
          <w:sz w:val="28"/>
        </w:rPr>
        <w:t>因土地收购造成的停产停业损失补偿</w:t>
      </w:r>
      <w:r>
        <w:rPr>
          <w:rFonts w:ascii="Arial" w:eastAsia="仿宋_GB2312;仿宋" w:hAnsi="Arial" w:cs="Arial"/>
          <w:sz w:val="28"/>
        </w:rPr>
        <w:t>情况。</w:t>
      </w:r>
    </w:p>
    <w:p w14:paraId="45D617CA"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6</w:t>
      </w:r>
      <w:r>
        <w:rPr>
          <w:rFonts w:ascii="Arial" w:eastAsia="仿宋_GB2312;仿宋" w:hAnsi="Arial" w:cs="Arial"/>
          <w:sz w:val="28"/>
        </w:rPr>
        <w:t>）搬迁、临时安置补偿费用</w:t>
      </w:r>
    </w:p>
    <w:p w14:paraId="415B738E" w14:textId="77777777" w:rsidR="00E70101" w:rsidRDefault="0060680B">
      <w:pPr>
        <w:pStyle w:val="LO-Normal"/>
        <w:autoSpaceDE w:val="0"/>
        <w:spacing w:line="360" w:lineRule="auto"/>
        <w:ind w:right="31" w:firstLine="560"/>
        <w:jc w:val="both"/>
        <w:textAlignment w:val="bottom"/>
        <w:rPr>
          <w:rFonts w:ascii="Arial" w:eastAsia="仿宋_GB2312;仿宋" w:hAnsi="Arial" w:cs="Arial"/>
          <w:sz w:val="28"/>
        </w:rPr>
      </w:pPr>
      <w:r>
        <w:rPr>
          <w:rFonts w:ascii="Arial" w:eastAsia="仿宋_GB2312;仿宋" w:hAnsi="Arial" w:cs="Arial"/>
          <w:sz w:val="28"/>
        </w:rPr>
        <w:t>参照《关于国有土地上房屋征收与补偿中有关事项的通知》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hAnsi="Arial" w:cs="Arial"/>
          <w:sz w:val="28"/>
        </w:rPr>
        <w:t>（</w:t>
      </w:r>
      <w:r>
        <w:rPr>
          <w:rFonts w:ascii="Arial" w:eastAsia="仿宋_GB2312;仿宋" w:hAnsi="Arial" w:cs="Arial"/>
          <w:sz w:val="28"/>
        </w:rPr>
        <w:t>2012</w:t>
      </w:r>
      <w:r>
        <w:rPr>
          <w:rFonts w:ascii="Arial"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6C6CD9E3" w14:textId="77777777" w:rsidR="00E70101" w:rsidRDefault="0060680B">
      <w:pPr>
        <w:spacing w:line="360" w:lineRule="auto"/>
        <w:ind w:left="-2" w:firstLine="560"/>
        <w:jc w:val="both"/>
      </w:pPr>
      <w:r>
        <w:rPr>
          <w:rFonts w:ascii="Arial" w:eastAsia="仿宋_GB2312;仿宋" w:hAnsi="Arial" w:cs="Arial"/>
          <w:sz w:val="28"/>
          <w:szCs w:val="28"/>
        </w:rPr>
        <w:t>2.</w:t>
      </w:r>
      <w:r>
        <w:rPr>
          <w:rFonts w:ascii="Arial" w:eastAsia="仿宋_GB2312;仿宋" w:hAnsi="Arial" w:cs="Arial"/>
          <w:sz w:val="28"/>
          <w:szCs w:val="28"/>
        </w:rPr>
        <w:t>本次评估所采用的咨询方法简述如下：</w:t>
      </w:r>
    </w:p>
    <w:p w14:paraId="26EFC85C" w14:textId="77777777" w:rsidR="00E70101" w:rsidRDefault="0060680B">
      <w:pPr>
        <w:pStyle w:val="LO-Normal"/>
        <w:autoSpaceDE w:val="0"/>
        <w:spacing w:line="360" w:lineRule="auto"/>
        <w:ind w:right="3" w:firstLine="566"/>
        <w:jc w:val="both"/>
        <w:textAlignment w:val="bottom"/>
      </w:pPr>
      <w:r>
        <w:rPr>
          <w:rFonts w:ascii="Arial" w:eastAsia="仿宋_GB2312;仿宋" w:hAnsi="Arial" w:cs="Arial"/>
          <w:sz w:val="28"/>
        </w:rPr>
        <w:t>（</w:t>
      </w:r>
      <w:r>
        <w:rPr>
          <w:rFonts w:ascii="Arial" w:eastAsia="仿宋_GB2312;仿宋" w:hAnsi="Arial" w:cs="Arial"/>
          <w:sz w:val="28"/>
        </w:rPr>
        <w:t>1</w:t>
      </w:r>
      <w:r>
        <w:rPr>
          <w:rFonts w:ascii="Arial" w:eastAsia="仿宋_GB2312;仿宋" w:hAnsi="Arial" w:cs="Arial"/>
          <w:sz w:val="28"/>
        </w:rPr>
        <w:t>）市场比较法</w:t>
      </w:r>
    </w:p>
    <w:p w14:paraId="57E644AB" w14:textId="77777777" w:rsidR="00E70101" w:rsidRDefault="0060680B">
      <w:pPr>
        <w:pStyle w:val="LO-Normal"/>
        <w:autoSpaceDE w:val="0"/>
        <w:spacing w:line="360" w:lineRule="auto"/>
        <w:ind w:right="3" w:firstLine="566"/>
        <w:jc w:val="both"/>
        <w:textAlignment w:val="bottom"/>
        <w:rPr>
          <w:rFonts w:ascii="仿宋_GB2312;仿宋" w:eastAsia="仿宋_GB2312;仿宋" w:hAnsi="仿宋_GB2312;仿宋"/>
          <w:sz w:val="28"/>
        </w:rPr>
      </w:pPr>
      <w:r>
        <w:rPr>
          <w:rFonts w:ascii="仿宋_GB2312;仿宋" w:eastAsia="仿宋_GB2312;仿宋" w:hAnsi="仿宋_GB2312;仿宋" w:cs="Arial"/>
          <w:sz w:val="28"/>
        </w:rPr>
        <w:t>根据替代原理，将待估宗地与具有替代性的，且在咨询期日近期市场上交易的类似宗地进行比较，并对类似宗地的成交价格进行差异修正，以此估算待估宗地价格的方法。</w:t>
      </w:r>
    </w:p>
    <w:p w14:paraId="37E52665" w14:textId="77777777" w:rsidR="00E70101" w:rsidRDefault="0060680B">
      <w:pPr>
        <w:pStyle w:val="LO-Normal"/>
        <w:autoSpaceDE w:val="0"/>
        <w:spacing w:line="360" w:lineRule="auto"/>
        <w:ind w:right="3" w:firstLine="566"/>
        <w:jc w:val="both"/>
        <w:textAlignment w:val="bottom"/>
        <w:rPr>
          <w:rFonts w:ascii="仿宋_GB2312;仿宋" w:eastAsia="仿宋_GB2312;仿宋" w:hAnsi="仿宋_GB2312;仿宋"/>
          <w:sz w:val="28"/>
        </w:rPr>
      </w:pPr>
      <w:r>
        <w:rPr>
          <w:rFonts w:ascii="仿宋_GB2312;仿宋" w:eastAsia="仿宋_GB2312;仿宋" w:hAnsi="仿宋_GB2312;仿宋"/>
          <w:sz w:val="28"/>
        </w:rPr>
        <w:t>其计算公式为：</w:t>
      </w:r>
    </w:p>
    <w:p w14:paraId="6CFEB519"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rPr>
      </w:pPr>
      <w:r>
        <w:rPr>
          <w:rFonts w:ascii="Arial" w:eastAsia="仿宋_GB2312;仿宋" w:hAnsi="Arial" w:cs="Arial"/>
          <w:color w:val="000000"/>
          <w:sz w:val="28"/>
        </w:rPr>
        <w:t>P</w:t>
      </w:r>
      <w:r>
        <w:rPr>
          <w:rFonts w:ascii="仿宋_GB2312;仿宋" w:eastAsia="仿宋_GB2312;仿宋" w:hAnsi="仿宋_GB2312;仿宋"/>
          <w:color w:val="000000"/>
          <w:sz w:val="28"/>
        </w:rPr>
        <w:t>=</w:t>
      </w:r>
      <w:r>
        <w:rPr>
          <w:rFonts w:ascii="Arial" w:eastAsia="仿宋_GB2312;仿宋" w:hAnsi="Arial" w:cs="Arial"/>
          <w:color w:val="000000"/>
          <w:sz w:val="28"/>
        </w:rPr>
        <w:t>P</w:t>
      </w:r>
      <w:r>
        <w:rPr>
          <w:rFonts w:ascii="Arial" w:eastAsia="仿宋_GB2312;仿宋" w:hAnsi="Arial" w:cs="Arial"/>
          <w:color w:val="000000"/>
          <w:sz w:val="28"/>
          <w:vertAlign w:val="subscript"/>
        </w:rPr>
        <w:t>B</w:t>
      </w:r>
      <w:r>
        <w:rPr>
          <w:rFonts w:cs="宋体;SimSun"/>
          <w:color w:val="000000"/>
          <w:sz w:val="28"/>
        </w:rPr>
        <w:t>×</w:t>
      </w:r>
      <w:r>
        <w:rPr>
          <w:rFonts w:ascii="Arial" w:eastAsia="仿宋_GB2312;仿宋" w:hAnsi="Arial" w:cs="Arial"/>
          <w:color w:val="000000"/>
          <w:sz w:val="28"/>
        </w:rPr>
        <w:t>A</w:t>
      </w:r>
      <w:r>
        <w:rPr>
          <w:rFonts w:cs="宋体;SimSun"/>
          <w:color w:val="000000"/>
          <w:sz w:val="28"/>
        </w:rPr>
        <w:t>×</w:t>
      </w:r>
      <w:r>
        <w:rPr>
          <w:rFonts w:ascii="Arial" w:eastAsia="仿宋_GB2312;仿宋" w:hAnsi="Arial" w:cs="Arial"/>
          <w:color w:val="000000"/>
          <w:sz w:val="28"/>
        </w:rPr>
        <w:t>B</w:t>
      </w:r>
      <w:r>
        <w:rPr>
          <w:rFonts w:cs="宋体;SimSun"/>
          <w:color w:val="000000"/>
          <w:sz w:val="28"/>
        </w:rPr>
        <w:t>×</w:t>
      </w:r>
      <w:r>
        <w:rPr>
          <w:rFonts w:ascii="Arial" w:eastAsia="仿宋_GB2312;仿宋" w:hAnsi="Arial" w:cs="Arial"/>
          <w:color w:val="000000"/>
          <w:sz w:val="28"/>
        </w:rPr>
        <w:t>C</w:t>
      </w:r>
      <w:r>
        <w:rPr>
          <w:rFonts w:cs="宋体;SimSun"/>
          <w:color w:val="000000"/>
          <w:sz w:val="28"/>
        </w:rPr>
        <w:t>×</w:t>
      </w:r>
      <w:r>
        <w:rPr>
          <w:rFonts w:ascii="Arial" w:eastAsia="仿宋_GB2312;仿宋" w:hAnsi="Arial" w:cs="Arial"/>
          <w:color w:val="000000"/>
          <w:sz w:val="28"/>
        </w:rPr>
        <w:t>D</w:t>
      </w:r>
      <w:r>
        <w:rPr>
          <w:rFonts w:cs="宋体;SimSun"/>
          <w:color w:val="000000"/>
          <w:sz w:val="28"/>
        </w:rPr>
        <w:t>×</w:t>
      </w:r>
      <w:r>
        <w:rPr>
          <w:rFonts w:ascii="Arial" w:eastAsia="仿宋_GB2312;仿宋" w:hAnsi="Arial" w:cs="Arial"/>
          <w:color w:val="000000"/>
          <w:sz w:val="28"/>
        </w:rPr>
        <w:t>E</w:t>
      </w:r>
    </w:p>
    <w:p w14:paraId="02767A12"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rPr>
      </w:pPr>
      <w:r>
        <w:rPr>
          <w:rFonts w:ascii="仿宋_GB2312;仿宋" w:eastAsia="仿宋_GB2312;仿宋" w:hAnsi="仿宋_GB2312;仿宋"/>
          <w:color w:val="000000"/>
          <w:sz w:val="28"/>
        </w:rPr>
        <w:t>式中：</w:t>
      </w:r>
    </w:p>
    <w:p w14:paraId="1635ACEE"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t>P</w:t>
      </w:r>
      <w:r>
        <w:rPr>
          <w:rFonts w:ascii="仿宋_GB2312;仿宋" w:eastAsia="仿宋_GB2312;仿宋" w:hAnsi="仿宋_GB2312;仿宋"/>
          <w:color w:val="000000"/>
          <w:sz w:val="28"/>
        </w:rPr>
        <w:t>——待估宗地价格；</w:t>
      </w:r>
    </w:p>
    <w:p w14:paraId="2437D645"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P</w:t>
      </w:r>
      <w:r>
        <w:rPr>
          <w:rFonts w:ascii="Arial" w:eastAsia="仿宋_GB2312;仿宋" w:hAnsi="Arial" w:cs="Arial"/>
          <w:color w:val="000000"/>
          <w:sz w:val="28"/>
          <w:vertAlign w:val="subscript"/>
        </w:rPr>
        <w:t>B</w:t>
      </w:r>
      <w:r>
        <w:rPr>
          <w:rFonts w:ascii="仿宋_GB2312;仿宋" w:eastAsia="仿宋_GB2312;仿宋" w:hAnsi="仿宋_GB2312;仿宋"/>
          <w:color w:val="000000"/>
          <w:sz w:val="28"/>
        </w:rPr>
        <w:t>——比较实例价格；</w:t>
      </w:r>
    </w:p>
    <w:p w14:paraId="0D23DB34"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t>A</w:t>
      </w:r>
      <w:r>
        <w:rPr>
          <w:rFonts w:ascii="仿宋_GB2312;仿宋" w:eastAsia="仿宋_GB2312;仿宋" w:hAnsi="仿宋_GB2312;仿宋"/>
          <w:color w:val="000000"/>
          <w:sz w:val="28"/>
        </w:rPr>
        <w:t>——待估宗地交易情况指数</w:t>
      </w:r>
      <w:r>
        <w:rPr>
          <w:rFonts w:ascii="仿宋_GB2312;仿宋" w:eastAsia="仿宋_GB2312;仿宋" w:hAnsi="仿宋_GB2312;仿宋"/>
          <w:sz w:val="28"/>
        </w:rPr>
        <w:t>/</w:t>
      </w:r>
      <w:r>
        <w:rPr>
          <w:rFonts w:ascii="仿宋_GB2312;仿宋" w:eastAsia="仿宋_GB2312;仿宋" w:hAnsi="仿宋_GB2312;仿宋"/>
          <w:color w:val="000000"/>
          <w:sz w:val="28"/>
        </w:rPr>
        <w:t>比较实例宗地交易情况指数</w:t>
      </w:r>
    </w:p>
    <w:p w14:paraId="339D0DF8"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t>B</w:t>
      </w:r>
      <w:r>
        <w:rPr>
          <w:rFonts w:ascii="仿宋_GB2312;仿宋" w:eastAsia="仿宋_GB2312;仿宋" w:hAnsi="仿宋_GB2312;仿宋"/>
          <w:color w:val="000000"/>
          <w:sz w:val="28"/>
        </w:rPr>
        <w:t>——待估宗地</w:t>
      </w:r>
      <w:r>
        <w:rPr>
          <w:rFonts w:ascii="仿宋_GB2312;仿宋" w:eastAsia="仿宋_GB2312;仿宋" w:hAnsi="仿宋_GB2312;仿宋" w:cs="Arial"/>
          <w:color w:val="000000"/>
          <w:sz w:val="28"/>
        </w:rPr>
        <w:t>咨询期日</w:t>
      </w:r>
      <w:r>
        <w:rPr>
          <w:rFonts w:ascii="仿宋_GB2312;仿宋" w:eastAsia="仿宋_GB2312;仿宋" w:hAnsi="仿宋_GB2312;仿宋"/>
          <w:color w:val="000000"/>
          <w:sz w:val="28"/>
        </w:rPr>
        <w:t>地价指数</w:t>
      </w:r>
      <w:r>
        <w:rPr>
          <w:rFonts w:ascii="仿宋_GB2312;仿宋" w:eastAsia="仿宋_GB2312;仿宋" w:hAnsi="仿宋_GB2312;仿宋"/>
          <w:sz w:val="28"/>
        </w:rPr>
        <w:t>/</w:t>
      </w:r>
      <w:r>
        <w:rPr>
          <w:rFonts w:ascii="仿宋_GB2312;仿宋" w:eastAsia="仿宋_GB2312;仿宋" w:hAnsi="仿宋_GB2312;仿宋"/>
          <w:color w:val="000000"/>
          <w:sz w:val="28"/>
        </w:rPr>
        <w:t>比较实例宗地</w:t>
      </w:r>
      <w:r>
        <w:rPr>
          <w:rFonts w:ascii="仿宋_GB2312;仿宋" w:eastAsia="仿宋_GB2312;仿宋" w:hAnsi="仿宋_GB2312;仿宋" w:cs="Arial"/>
          <w:color w:val="000000"/>
          <w:sz w:val="28"/>
        </w:rPr>
        <w:t>交易日期地价</w:t>
      </w:r>
      <w:r>
        <w:rPr>
          <w:rFonts w:ascii="仿宋_GB2312;仿宋" w:eastAsia="仿宋_GB2312;仿宋" w:hAnsi="仿宋_GB2312;仿宋"/>
          <w:color w:val="000000"/>
          <w:sz w:val="28"/>
        </w:rPr>
        <w:t>指数</w:t>
      </w:r>
    </w:p>
    <w:p w14:paraId="2B2D9FCA"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t>C</w:t>
      </w:r>
      <w:r>
        <w:rPr>
          <w:rFonts w:ascii="仿宋_GB2312;仿宋" w:eastAsia="仿宋_GB2312;仿宋" w:hAnsi="仿宋_GB2312;仿宋"/>
          <w:color w:val="000000"/>
          <w:sz w:val="28"/>
        </w:rPr>
        <w:t>——待估宗地区域因素条件指数</w:t>
      </w:r>
      <w:r>
        <w:rPr>
          <w:rFonts w:ascii="仿宋_GB2312;仿宋" w:eastAsia="仿宋_GB2312;仿宋" w:hAnsi="仿宋_GB2312;仿宋"/>
          <w:sz w:val="28"/>
        </w:rPr>
        <w:t>/</w:t>
      </w:r>
      <w:r>
        <w:rPr>
          <w:rFonts w:ascii="仿宋_GB2312;仿宋" w:eastAsia="仿宋_GB2312;仿宋" w:hAnsi="仿宋_GB2312;仿宋"/>
          <w:color w:val="000000"/>
          <w:sz w:val="28"/>
        </w:rPr>
        <w:t>比较实例宗地区域因素条件指数</w:t>
      </w:r>
    </w:p>
    <w:p w14:paraId="1057C0CF"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t>D</w:t>
      </w:r>
      <w:r>
        <w:rPr>
          <w:rFonts w:ascii="仿宋_GB2312;仿宋" w:eastAsia="仿宋_GB2312;仿宋" w:hAnsi="仿宋_GB2312;仿宋"/>
          <w:color w:val="000000"/>
          <w:sz w:val="28"/>
        </w:rPr>
        <w:t>——待估宗地个别因素条件指数</w:t>
      </w:r>
      <w:r>
        <w:rPr>
          <w:rFonts w:ascii="仿宋_GB2312;仿宋" w:eastAsia="仿宋_GB2312;仿宋" w:hAnsi="仿宋_GB2312;仿宋"/>
          <w:sz w:val="28"/>
        </w:rPr>
        <w:t>/</w:t>
      </w:r>
      <w:r>
        <w:rPr>
          <w:rFonts w:ascii="仿宋_GB2312;仿宋" w:eastAsia="仿宋_GB2312;仿宋" w:hAnsi="仿宋_GB2312;仿宋"/>
          <w:color w:val="000000"/>
          <w:sz w:val="28"/>
        </w:rPr>
        <w:t>比较实例宗地个别因素条件指数</w:t>
      </w:r>
    </w:p>
    <w:p w14:paraId="118C7010"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t>E</w:t>
      </w:r>
      <w:r>
        <w:rPr>
          <w:rFonts w:ascii="仿宋_GB2312;仿宋" w:eastAsia="仿宋_GB2312;仿宋" w:hAnsi="仿宋_GB2312;仿宋"/>
          <w:color w:val="000000"/>
          <w:sz w:val="28"/>
        </w:rPr>
        <w:t>——待估宗地使用年期修正指数</w:t>
      </w:r>
      <w:r>
        <w:rPr>
          <w:rFonts w:ascii="仿宋_GB2312;仿宋" w:eastAsia="仿宋_GB2312;仿宋" w:hAnsi="仿宋_GB2312;仿宋"/>
          <w:sz w:val="28"/>
        </w:rPr>
        <w:t>/</w:t>
      </w:r>
      <w:r>
        <w:rPr>
          <w:rFonts w:ascii="仿宋_GB2312;仿宋" w:eastAsia="仿宋_GB2312;仿宋" w:hAnsi="仿宋_GB2312;仿宋"/>
          <w:color w:val="000000"/>
          <w:sz w:val="28"/>
        </w:rPr>
        <w:t>比较实例宗地使用年期修正指数</w:t>
      </w:r>
    </w:p>
    <w:p w14:paraId="53B3C564" w14:textId="77777777" w:rsidR="00E70101" w:rsidRDefault="0060680B">
      <w:pPr>
        <w:pStyle w:val="23"/>
        <w:widowControl/>
        <w:tabs>
          <w:tab w:val="right" w:pos="8840"/>
        </w:tabs>
        <w:spacing w:line="360" w:lineRule="auto"/>
        <w:ind w:firstLine="560"/>
        <w:textAlignment w:val="bottom"/>
      </w:pPr>
      <w:r>
        <w:rPr>
          <w:rFonts w:ascii="Arial" w:eastAsia="仿宋_GB2312;仿宋" w:hAnsi="Arial" w:cs="Arial"/>
        </w:rPr>
        <w:t>（</w:t>
      </w:r>
      <w:r>
        <w:rPr>
          <w:rFonts w:ascii="Arial" w:eastAsia="仿宋_GB2312;仿宋" w:hAnsi="Arial" w:cs="Arial"/>
        </w:rPr>
        <w:t>2</w:t>
      </w:r>
      <w:r>
        <w:rPr>
          <w:rFonts w:ascii="Arial" w:eastAsia="仿宋_GB2312;仿宋" w:hAnsi="Arial" w:cs="Arial"/>
        </w:rPr>
        <w:t>）</w:t>
      </w:r>
      <w:r>
        <w:rPr>
          <w:rFonts w:eastAsia="仿宋_GB2312;仿宋" w:cs="Arial"/>
          <w:szCs w:val="28"/>
        </w:rPr>
        <w:t>成本逼近法</w:t>
      </w:r>
    </w:p>
    <w:p w14:paraId="32A87448" w14:textId="77777777" w:rsidR="00E70101" w:rsidRDefault="0060680B">
      <w:pPr>
        <w:pStyle w:val="LO-Normal"/>
        <w:autoSpaceDE w:val="0"/>
        <w:spacing w:line="360" w:lineRule="auto"/>
        <w:ind w:right="140" w:firstLine="570"/>
        <w:jc w:val="both"/>
        <w:textAlignment w:val="bottom"/>
      </w:pPr>
      <w:r>
        <w:rPr>
          <w:rFonts w:ascii="仿宋_GB2312;仿宋" w:eastAsia="仿宋_GB2312;仿宋" w:hAnsi="仿宋_GB2312;仿宋"/>
          <w:sz w:val="28"/>
        </w:rPr>
        <w:t>成本逼近法以取得和开发土地所耗费的各项客观费用之合为主要依据，加上客观的利润、利息、应缴纳的税金和土地增值收益等确定宗地价格的方法。</w:t>
      </w:r>
    </w:p>
    <w:p w14:paraId="0381B7AA"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sz w:val="28"/>
        </w:rPr>
      </w:pPr>
      <w:r>
        <w:rPr>
          <w:rFonts w:ascii="仿宋_GB2312;仿宋" w:eastAsia="仿宋_GB2312;仿宋" w:hAnsi="仿宋_GB2312;仿宋"/>
          <w:sz w:val="28"/>
        </w:rPr>
        <w:t>其基本计算公式为：</w:t>
      </w:r>
    </w:p>
    <w:p w14:paraId="226FAF81"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P</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w:t>
      </w:r>
      <w:r>
        <w:rPr>
          <w:rFonts w:ascii="Arial" w:eastAsia="仿宋_GB2312;仿宋" w:hAnsi="Arial" w:cs="Arial"/>
          <w:color w:val="000000"/>
          <w:sz w:val="28"/>
        </w:rPr>
        <w:t>E</w:t>
      </w:r>
      <w:r>
        <w:rPr>
          <w:rFonts w:ascii="Arial" w:eastAsia="仿宋_GB2312;仿宋" w:hAnsi="Arial" w:cs="Arial"/>
          <w:color w:val="000000"/>
          <w:sz w:val="28"/>
          <w:vertAlign w:val="subscript"/>
        </w:rPr>
        <w:t>a</w:t>
      </w:r>
      <w:r>
        <w:rPr>
          <w:rFonts w:cs="宋体;SimSun"/>
          <w:color w:val="000000"/>
          <w:sz w:val="28"/>
        </w:rPr>
        <w:t>+</w:t>
      </w:r>
      <w:r>
        <w:rPr>
          <w:rFonts w:ascii="Arial" w:eastAsia="仿宋_GB2312;仿宋" w:hAnsi="Arial" w:cs="Arial"/>
          <w:color w:val="000000"/>
          <w:sz w:val="28"/>
        </w:rPr>
        <w:t>E</w:t>
      </w:r>
      <w:r>
        <w:rPr>
          <w:rFonts w:ascii="Arial" w:eastAsia="仿宋_GB2312;仿宋" w:hAnsi="Arial" w:cs="Arial"/>
          <w:color w:val="000000"/>
          <w:sz w:val="28"/>
          <w:vertAlign w:val="subscript"/>
        </w:rPr>
        <w:t>d</w:t>
      </w:r>
      <w:r>
        <w:rPr>
          <w:rFonts w:cs="宋体;SimSun"/>
          <w:color w:val="000000"/>
          <w:sz w:val="28"/>
        </w:rPr>
        <w:t>+</w:t>
      </w:r>
      <w:r>
        <w:rPr>
          <w:rFonts w:ascii="Arial" w:eastAsia="仿宋_GB2312;仿宋" w:hAnsi="Arial" w:cs="Arial"/>
          <w:color w:val="000000"/>
          <w:sz w:val="28"/>
        </w:rPr>
        <w:t>T</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1</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2</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3</w:t>
      </w:r>
    </w:p>
    <w:p w14:paraId="31ACAAED" w14:textId="77777777" w:rsidR="00E70101" w:rsidRDefault="0060680B">
      <w:pPr>
        <w:pStyle w:val="LO-Normal"/>
        <w:autoSpaceDE w:val="0"/>
        <w:spacing w:line="360" w:lineRule="auto"/>
        <w:ind w:right="140" w:firstLine="700"/>
        <w:jc w:val="both"/>
        <w:textAlignment w:val="bottom"/>
        <w:rPr>
          <w:rFonts w:ascii="仿宋_GB2312;仿宋" w:eastAsia="仿宋_GB2312;仿宋" w:hAnsi="仿宋_GB2312;仿宋"/>
          <w:color w:val="000000"/>
          <w:sz w:val="28"/>
        </w:rPr>
      </w:pPr>
      <w:r>
        <w:rPr>
          <w:rFonts w:ascii="仿宋_GB2312;仿宋" w:eastAsia="仿宋_GB2312;仿宋" w:hAnsi="仿宋_GB2312;仿宋"/>
          <w:color w:val="000000"/>
          <w:sz w:val="28"/>
        </w:rPr>
        <w:t xml:space="preserve">= </w:t>
      </w:r>
      <w:r>
        <w:rPr>
          <w:rFonts w:ascii="Arial" w:eastAsia="仿宋_GB2312;仿宋" w:hAnsi="Arial" w:cs="Arial"/>
          <w:color w:val="000000"/>
          <w:sz w:val="28"/>
        </w:rPr>
        <w:t>P</w:t>
      </w:r>
      <w:r>
        <w:rPr>
          <w:rFonts w:ascii="Arial" w:eastAsia="仿宋_GB2312;仿宋" w:hAnsi="Arial" w:cs="Arial"/>
          <w:color w:val="000000"/>
          <w:sz w:val="28"/>
          <w:vertAlign w:val="subscript"/>
        </w:rPr>
        <w:t>E</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3</w:t>
      </w:r>
    </w:p>
    <w:p w14:paraId="48260F61"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rPr>
      </w:pPr>
      <w:r>
        <w:rPr>
          <w:rFonts w:ascii="仿宋_GB2312;仿宋" w:eastAsia="仿宋_GB2312;仿宋" w:hAnsi="仿宋_GB2312;仿宋"/>
          <w:color w:val="000000"/>
          <w:sz w:val="28"/>
        </w:rPr>
        <w:t>式中：</w:t>
      </w:r>
    </w:p>
    <w:p w14:paraId="7728C870"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t>P</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——待估宗地价格</w:t>
      </w:r>
    </w:p>
    <w:p w14:paraId="729E6679"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E</w:t>
      </w:r>
      <w:r>
        <w:rPr>
          <w:rFonts w:ascii="Arial" w:eastAsia="仿宋_GB2312;仿宋" w:hAnsi="Arial" w:cs="Arial"/>
          <w:color w:val="000000"/>
          <w:sz w:val="28"/>
          <w:vertAlign w:val="subscript"/>
        </w:rPr>
        <w:t>a</w:t>
      </w:r>
      <w:r>
        <w:rPr>
          <w:rFonts w:ascii="仿宋_GB2312;仿宋" w:eastAsia="仿宋_GB2312;仿宋" w:hAnsi="仿宋_GB2312;仿宋"/>
          <w:color w:val="000000"/>
          <w:sz w:val="28"/>
        </w:rPr>
        <w:t>——土地取得费</w:t>
      </w:r>
    </w:p>
    <w:p w14:paraId="41CE1E7A"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E</w:t>
      </w:r>
      <w:r>
        <w:rPr>
          <w:rFonts w:ascii="Arial" w:eastAsia="仿宋_GB2312;仿宋" w:hAnsi="Arial" w:cs="Arial"/>
          <w:color w:val="000000"/>
          <w:sz w:val="28"/>
          <w:vertAlign w:val="subscript"/>
        </w:rPr>
        <w:t>d</w:t>
      </w:r>
      <w:r>
        <w:rPr>
          <w:rFonts w:ascii="仿宋_GB2312;仿宋" w:eastAsia="仿宋_GB2312;仿宋" w:hAnsi="仿宋_GB2312;仿宋"/>
          <w:color w:val="000000"/>
          <w:sz w:val="28"/>
        </w:rPr>
        <w:t>——土地开发费</w:t>
      </w:r>
    </w:p>
    <w:p w14:paraId="1B74052A"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t>T</w:t>
      </w:r>
      <w:r>
        <w:rPr>
          <w:rFonts w:ascii="仿宋_GB2312;仿宋" w:eastAsia="仿宋_GB2312;仿宋" w:hAnsi="仿宋_GB2312;仿宋"/>
          <w:color w:val="000000"/>
          <w:sz w:val="28"/>
        </w:rPr>
        <w:t>——税费</w:t>
      </w:r>
    </w:p>
    <w:p w14:paraId="4CF6E3BD"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——利息</w:t>
      </w:r>
    </w:p>
    <w:p w14:paraId="368BAE71"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2</w:t>
      </w:r>
      <w:r>
        <w:rPr>
          <w:rFonts w:ascii="仿宋_GB2312;仿宋" w:eastAsia="仿宋_GB2312;仿宋" w:hAnsi="仿宋_GB2312;仿宋"/>
          <w:color w:val="000000"/>
          <w:sz w:val="28"/>
        </w:rPr>
        <w:t>——利润</w:t>
      </w:r>
    </w:p>
    <w:p w14:paraId="27AFE44B"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3</w:t>
      </w:r>
      <w:r>
        <w:rPr>
          <w:rFonts w:ascii="仿宋_GB2312;仿宋" w:eastAsia="仿宋_GB2312;仿宋" w:hAnsi="仿宋_GB2312;仿宋"/>
          <w:color w:val="000000"/>
          <w:sz w:val="28"/>
        </w:rPr>
        <w:t>——土地增值</w:t>
      </w:r>
    </w:p>
    <w:p w14:paraId="21D5D06A"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rPr>
      </w:pPr>
      <w:r>
        <w:rPr>
          <w:rFonts w:ascii="Arial" w:eastAsia="仿宋_GB2312;仿宋" w:hAnsi="Arial" w:cs="Arial"/>
          <w:color w:val="000000"/>
          <w:sz w:val="28"/>
        </w:rPr>
        <w:t>P</w:t>
      </w:r>
      <w:r>
        <w:rPr>
          <w:rFonts w:ascii="Arial" w:eastAsia="仿宋_GB2312;仿宋" w:hAnsi="Arial" w:cs="Arial"/>
          <w:color w:val="000000"/>
          <w:sz w:val="28"/>
          <w:vertAlign w:val="subscript"/>
        </w:rPr>
        <w:t>E</w:t>
      </w:r>
      <w:r>
        <w:rPr>
          <w:rFonts w:ascii="仿宋_GB2312;仿宋" w:eastAsia="仿宋_GB2312;仿宋" w:hAnsi="仿宋_GB2312;仿宋"/>
          <w:color w:val="000000"/>
          <w:sz w:val="28"/>
        </w:rPr>
        <w:t>——土地成本价格</w:t>
      </w:r>
      <w:r>
        <w:br w:type="page"/>
      </w:r>
    </w:p>
    <w:p w14:paraId="22A92AB5"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（三）咨询结果</w:t>
      </w:r>
    </w:p>
    <w:p w14:paraId="4ED81E12" w14:textId="77777777" w:rsidR="00E70101" w:rsidRDefault="0060680B">
      <w:pPr>
        <w:spacing w:line="360" w:lineRule="auto"/>
        <w:ind w:firstLine="560"/>
        <w:jc w:val="both"/>
        <w:rPr>
          <w:rFonts w:ascii="Arial" w:eastAsia="仿宋_GB2312;仿宋" w:hAnsi="Arial" w:cs="Arial"/>
          <w:kern w:val="2"/>
          <w:sz w:val="28"/>
        </w:rPr>
      </w:pPr>
      <w:r>
        <w:rPr>
          <w:rFonts w:ascii="Arial" w:eastAsia="仿宋_GB2312;仿宋" w:hAnsi="Arial" w:cs="Arial"/>
          <w:kern w:val="2"/>
          <w:sz w:val="28"/>
        </w:rPr>
        <w:t>评估专业人员根据咨询的目的，按照估算的程序，采用科学的咨询方法（市场比较法和成本逼近法），在认真分析现有资料的基础上，通过仔细测算和认真分析各种影响</w:t>
      </w:r>
      <w:r>
        <w:rPr>
          <w:rFonts w:ascii="Arial" w:eastAsia="仿宋_GB2312;仿宋" w:hAnsi="Arial" w:cs="Arial"/>
          <w:sz w:val="28"/>
        </w:rPr>
        <w:t>土地</w:t>
      </w:r>
      <w:r>
        <w:rPr>
          <w:rFonts w:ascii="Arial" w:eastAsia="仿宋_GB2312;仿宋" w:hAnsi="Arial" w:cs="Arial"/>
          <w:kern w:val="2"/>
          <w:sz w:val="28"/>
        </w:rPr>
        <w:t>价格的因素，</w:t>
      </w:r>
      <w:r>
        <w:rPr>
          <w:rFonts w:ascii="Arial" w:eastAsia="仿宋_GB2312;仿宋" w:hAnsi="Arial" w:cs="Arial"/>
          <w:sz w:val="28"/>
          <w:szCs w:val="28"/>
        </w:rPr>
        <w:t>确定咨询对象</w:t>
      </w:r>
      <w:r>
        <w:rPr>
          <w:rFonts w:ascii="Arial" w:eastAsia="仿宋_GB2312;仿宋" w:hAnsi="Arial" w:cs="Arial"/>
          <w:kern w:val="2"/>
          <w:sz w:val="28"/>
        </w:rPr>
        <w:t>在咨询期日</w:t>
      </w:r>
      <w:r>
        <w:rPr>
          <w:rFonts w:ascii="Arial" w:eastAsia="仿宋_GB2312;仿宋" w:hAnsi="Arial" w:cs="Arial"/>
          <w:kern w:val="2"/>
          <w:sz w:val="28"/>
        </w:rPr>
        <w:t>2024</w:t>
      </w:r>
      <w:r>
        <w:rPr>
          <w:rFonts w:ascii="Arial" w:eastAsia="仿宋_GB2312;仿宋" w:hAnsi="Arial" w:cs="Arial"/>
          <w:kern w:val="2"/>
          <w:sz w:val="28"/>
        </w:rPr>
        <w:t>年</w:t>
      </w:r>
      <w:r>
        <w:rPr>
          <w:rFonts w:ascii="Arial" w:eastAsia="仿宋_GB2312;仿宋" w:hAnsi="Arial" w:cs="Arial"/>
          <w:kern w:val="2"/>
          <w:sz w:val="28"/>
        </w:rPr>
        <w:t>3</w:t>
      </w:r>
      <w:r>
        <w:rPr>
          <w:rFonts w:ascii="Arial" w:eastAsia="仿宋_GB2312;仿宋" w:hAnsi="Arial" w:cs="Arial"/>
          <w:kern w:val="2"/>
          <w:sz w:val="28"/>
        </w:rPr>
        <w:t>月</w:t>
      </w:r>
      <w:r>
        <w:rPr>
          <w:rFonts w:ascii="Arial" w:eastAsia="仿宋_GB2312;仿宋" w:hAnsi="Arial" w:cs="Arial"/>
          <w:kern w:val="2"/>
          <w:sz w:val="28"/>
        </w:rPr>
        <w:t>31</w:t>
      </w:r>
      <w:r>
        <w:rPr>
          <w:rFonts w:ascii="Arial" w:eastAsia="仿宋_GB2312;仿宋" w:hAnsi="Arial" w:cs="Arial"/>
          <w:kern w:val="2"/>
          <w:sz w:val="28"/>
        </w:rPr>
        <w:t>的土地使用权收购补偿价格约为</w:t>
      </w:r>
      <w:r>
        <w:rPr>
          <w:rFonts w:ascii="Arial" w:eastAsia="仿宋_GB2312;仿宋" w:hAnsi="Arial" w:cs="Arial"/>
          <w:b/>
          <w:kern w:val="2"/>
          <w:sz w:val="28"/>
        </w:rPr>
        <w:t>人民币</w:t>
      </w:r>
      <w:r>
        <w:rPr>
          <w:rFonts w:ascii="Arial" w:eastAsia="仿宋_GB2312;仿宋" w:hAnsi="Arial" w:cs="Arial"/>
          <w:b/>
          <w:kern w:val="2"/>
          <w:sz w:val="28"/>
        </w:rPr>
        <w:t>156654</w:t>
      </w:r>
      <w:r>
        <w:rPr>
          <w:rFonts w:ascii="Arial" w:eastAsia="仿宋_GB2312;仿宋" w:hAnsi="Arial" w:cs="Arial"/>
          <w:b/>
          <w:kern w:val="2"/>
          <w:sz w:val="28"/>
        </w:rPr>
        <w:t>万元，大写壹拾伍亿陆仟陆佰伍拾肆万元整</w:t>
      </w:r>
      <w:r>
        <w:rPr>
          <w:rFonts w:ascii="Arial" w:eastAsia="仿宋_GB2312;仿宋" w:hAnsi="Arial" w:cs="Arial"/>
          <w:kern w:val="2"/>
          <w:sz w:val="28"/>
        </w:rPr>
        <w:t>。</w:t>
      </w:r>
      <w:r>
        <w:rPr>
          <w:rFonts w:ascii="Arial" w:eastAsia="仿宋_GB2312;仿宋" w:hAnsi="Arial" w:cs="Arial"/>
          <w:sz w:val="28"/>
        </w:rPr>
        <w:t>咨询结果明细如下：</w:t>
      </w:r>
    </w:p>
    <w:p w14:paraId="54067AD8" w14:textId="77777777" w:rsidR="00E70101" w:rsidRDefault="00E70101">
      <w:pPr>
        <w:snapToGrid w:val="0"/>
        <w:spacing w:line="360" w:lineRule="auto"/>
        <w:jc w:val="center"/>
        <w:rPr>
          <w:rFonts w:ascii="Arial" w:eastAsia="仿宋_GB2312;仿宋" w:hAnsi="Arial" w:cs="Arial"/>
          <w:b/>
          <w:bCs/>
          <w:kern w:val="2"/>
          <w:sz w:val="28"/>
          <w:szCs w:val="28"/>
        </w:rPr>
      </w:pPr>
    </w:p>
    <w:p w14:paraId="17A3964D" w14:textId="77777777" w:rsidR="00E70101" w:rsidRDefault="0060680B">
      <w:pPr>
        <w:snapToGrid w:val="0"/>
        <w:spacing w:line="360" w:lineRule="auto"/>
        <w:jc w:val="center"/>
        <w:rPr>
          <w:rFonts w:cs="Arial"/>
        </w:rPr>
      </w:pPr>
      <w:r>
        <w:rPr>
          <w:rFonts w:ascii="Arial" w:eastAsia="仿宋_GB2312;仿宋" w:hAnsi="Arial" w:cs="Arial"/>
          <w:b/>
          <w:bCs/>
          <w:sz w:val="28"/>
          <w:szCs w:val="28"/>
        </w:rPr>
        <w:t>收购补偿价格咨询结果</w:t>
      </w:r>
    </w:p>
    <w:tbl>
      <w:tblPr>
        <w:tblW w:w="5000" w:type="pct"/>
        <w:jc w:val="center"/>
        <w:tblLook w:val="0000" w:firstRow="0" w:lastRow="0" w:firstColumn="0" w:lastColumn="0" w:noHBand="0" w:noVBand="0"/>
      </w:tblPr>
      <w:tblGrid>
        <w:gridCol w:w="889"/>
        <w:gridCol w:w="3069"/>
        <w:gridCol w:w="2106"/>
        <w:gridCol w:w="3224"/>
      </w:tblGrid>
      <w:tr w:rsidR="00E70101" w14:paraId="1A7B22E1" w14:textId="77777777">
        <w:trPr>
          <w:trHeight w:val="454"/>
          <w:jc w:val="center"/>
        </w:trPr>
        <w:tc>
          <w:tcPr>
            <w:tcW w:w="890" w:type="dxa"/>
            <w:tcBorders>
              <w:top w:val="single" w:sz="4" w:space="0" w:color="000000"/>
              <w:left w:val="single" w:sz="4" w:space="0" w:color="000000"/>
              <w:bottom w:val="single" w:sz="4" w:space="0" w:color="000000"/>
            </w:tcBorders>
            <w:shd w:val="clear" w:color="auto" w:fill="auto"/>
            <w:vAlign w:val="center"/>
          </w:tcPr>
          <w:p w14:paraId="79C9B5AD"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4" w:type="dxa"/>
            <w:tcBorders>
              <w:top w:val="single" w:sz="4" w:space="0" w:color="000000"/>
              <w:left w:val="single" w:sz="4" w:space="0" w:color="000000"/>
              <w:bottom w:val="single" w:sz="4" w:space="0" w:color="000000"/>
            </w:tcBorders>
            <w:shd w:val="clear" w:color="auto" w:fill="auto"/>
            <w:vAlign w:val="center"/>
          </w:tcPr>
          <w:p w14:paraId="4A4BA668"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2108" w:type="dxa"/>
            <w:tcBorders>
              <w:top w:val="single" w:sz="4" w:space="0" w:color="000000"/>
              <w:left w:val="single" w:sz="4" w:space="0" w:color="000000"/>
              <w:bottom w:val="single" w:sz="4" w:space="0" w:color="000000"/>
            </w:tcBorders>
            <w:shd w:val="clear" w:color="auto" w:fill="auto"/>
            <w:vAlign w:val="center"/>
          </w:tcPr>
          <w:p w14:paraId="533BC7A9"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咨询价格</w:t>
            </w:r>
          </w:p>
          <w:p w14:paraId="37677D1B"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73F11"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E70101" w14:paraId="1E40025C" w14:textId="77777777">
        <w:trPr>
          <w:trHeight w:val="454"/>
          <w:jc w:val="center"/>
        </w:trPr>
        <w:tc>
          <w:tcPr>
            <w:tcW w:w="890" w:type="dxa"/>
            <w:tcBorders>
              <w:left w:val="single" w:sz="4" w:space="0" w:color="000000"/>
              <w:bottom w:val="single" w:sz="4" w:space="0" w:color="000000"/>
            </w:tcBorders>
            <w:shd w:val="clear" w:color="auto" w:fill="auto"/>
            <w:vAlign w:val="center"/>
          </w:tcPr>
          <w:p w14:paraId="00F5D1F5"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4" w:type="dxa"/>
            <w:tcBorders>
              <w:left w:val="single" w:sz="4" w:space="0" w:color="000000"/>
              <w:bottom w:val="single" w:sz="4" w:space="0" w:color="000000"/>
            </w:tcBorders>
            <w:shd w:val="clear" w:color="auto" w:fill="auto"/>
            <w:vAlign w:val="center"/>
          </w:tcPr>
          <w:p w14:paraId="71844AAA"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2108" w:type="dxa"/>
            <w:tcBorders>
              <w:left w:val="single" w:sz="4" w:space="0" w:color="000000"/>
              <w:bottom w:val="single" w:sz="4" w:space="0" w:color="000000"/>
            </w:tcBorders>
            <w:shd w:val="clear" w:color="auto" w:fill="auto"/>
            <w:vAlign w:val="center"/>
          </w:tcPr>
          <w:p w14:paraId="7B315178"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156654</w:t>
            </w:r>
          </w:p>
        </w:tc>
        <w:tc>
          <w:tcPr>
            <w:tcW w:w="3226" w:type="dxa"/>
            <w:tcBorders>
              <w:left w:val="single" w:sz="4" w:space="0" w:color="000000"/>
              <w:bottom w:val="single" w:sz="4" w:space="0" w:color="000000"/>
              <w:right w:val="single" w:sz="4" w:space="0" w:color="000000"/>
            </w:tcBorders>
            <w:shd w:val="clear" w:color="auto" w:fill="auto"/>
            <w:vAlign w:val="center"/>
          </w:tcPr>
          <w:p w14:paraId="2E0F5BC3" w14:textId="77777777" w:rsidR="00E70101" w:rsidRDefault="0060680B">
            <w:pPr>
              <w:spacing w:line="240" w:lineRule="auto"/>
              <w:jc w:val="center"/>
            </w:pPr>
            <w:r>
              <w:rPr>
                <w:rFonts w:ascii="Arial" w:eastAsia="仿宋_GB2312;仿宋" w:hAnsi="Arial" w:cs="Arial"/>
                <w:sz w:val="28"/>
                <w:szCs w:val="28"/>
              </w:rPr>
              <w:t>采用</w:t>
            </w:r>
            <w:r>
              <w:rPr>
                <w:rFonts w:ascii="Arial" w:eastAsia="仿宋_GB2312;仿宋" w:hAnsi="Arial" w:cs="Arial"/>
                <w:kern w:val="2"/>
                <w:sz w:val="28"/>
              </w:rPr>
              <w:t>市场比较法和成本逼近法</w:t>
            </w:r>
            <w:r>
              <w:rPr>
                <w:rFonts w:ascii="Arial" w:eastAsia="仿宋_GB2312;仿宋" w:hAnsi="Arial" w:cs="Arial"/>
                <w:sz w:val="28"/>
                <w:szCs w:val="28"/>
              </w:rPr>
              <w:t>评估测算</w:t>
            </w:r>
          </w:p>
        </w:tc>
      </w:tr>
      <w:tr w:rsidR="00E70101" w14:paraId="52C1AC33" w14:textId="77777777">
        <w:trPr>
          <w:trHeight w:val="454"/>
          <w:jc w:val="center"/>
        </w:trPr>
        <w:tc>
          <w:tcPr>
            <w:tcW w:w="890" w:type="dxa"/>
            <w:tcBorders>
              <w:left w:val="single" w:sz="4" w:space="0" w:color="000000"/>
              <w:bottom w:val="single" w:sz="4" w:space="0" w:color="000000"/>
            </w:tcBorders>
            <w:shd w:val="clear" w:color="auto" w:fill="auto"/>
            <w:vAlign w:val="center"/>
          </w:tcPr>
          <w:p w14:paraId="18A757F2"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4" w:type="dxa"/>
            <w:tcBorders>
              <w:left w:val="single" w:sz="4" w:space="0" w:color="000000"/>
              <w:bottom w:val="single" w:sz="4" w:space="0" w:color="000000"/>
            </w:tcBorders>
            <w:shd w:val="clear" w:color="auto" w:fill="auto"/>
            <w:vAlign w:val="center"/>
          </w:tcPr>
          <w:p w14:paraId="66E58E31"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2108" w:type="dxa"/>
            <w:tcBorders>
              <w:left w:val="single" w:sz="4" w:space="0" w:color="000000"/>
              <w:bottom w:val="single" w:sz="4" w:space="0" w:color="000000"/>
            </w:tcBorders>
            <w:shd w:val="clear" w:color="auto" w:fill="auto"/>
            <w:vAlign w:val="center"/>
          </w:tcPr>
          <w:p w14:paraId="0F8CDF3F"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2A5D2784"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60EEC46B" w14:textId="77777777">
        <w:trPr>
          <w:trHeight w:val="454"/>
          <w:jc w:val="center"/>
        </w:trPr>
        <w:tc>
          <w:tcPr>
            <w:tcW w:w="890" w:type="dxa"/>
            <w:tcBorders>
              <w:left w:val="single" w:sz="4" w:space="0" w:color="000000"/>
              <w:bottom w:val="single" w:sz="4" w:space="0" w:color="000000"/>
            </w:tcBorders>
            <w:shd w:val="clear" w:color="auto" w:fill="auto"/>
            <w:vAlign w:val="center"/>
          </w:tcPr>
          <w:p w14:paraId="6AF7F1AC"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4" w:type="dxa"/>
            <w:tcBorders>
              <w:left w:val="single" w:sz="4" w:space="0" w:color="000000"/>
              <w:bottom w:val="single" w:sz="4" w:space="0" w:color="000000"/>
            </w:tcBorders>
            <w:shd w:val="clear" w:color="auto" w:fill="auto"/>
            <w:vAlign w:val="center"/>
          </w:tcPr>
          <w:p w14:paraId="44FF48D2"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2108" w:type="dxa"/>
            <w:tcBorders>
              <w:left w:val="single" w:sz="4" w:space="0" w:color="000000"/>
              <w:bottom w:val="single" w:sz="4" w:space="0" w:color="000000"/>
            </w:tcBorders>
            <w:shd w:val="clear" w:color="auto" w:fill="auto"/>
            <w:vAlign w:val="center"/>
          </w:tcPr>
          <w:p w14:paraId="10998B84"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6D89F7A7"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798CEEA3" w14:textId="77777777">
        <w:trPr>
          <w:trHeight w:val="454"/>
          <w:jc w:val="center"/>
        </w:trPr>
        <w:tc>
          <w:tcPr>
            <w:tcW w:w="890" w:type="dxa"/>
            <w:tcBorders>
              <w:left w:val="single" w:sz="4" w:space="0" w:color="000000"/>
              <w:bottom w:val="single" w:sz="4" w:space="0" w:color="000000"/>
            </w:tcBorders>
            <w:shd w:val="clear" w:color="auto" w:fill="auto"/>
            <w:vAlign w:val="center"/>
          </w:tcPr>
          <w:p w14:paraId="42F2155D"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4" w:type="dxa"/>
            <w:tcBorders>
              <w:left w:val="single" w:sz="4" w:space="0" w:color="000000"/>
              <w:bottom w:val="single" w:sz="4" w:space="0" w:color="000000"/>
            </w:tcBorders>
            <w:shd w:val="clear" w:color="auto" w:fill="auto"/>
            <w:vAlign w:val="center"/>
          </w:tcPr>
          <w:p w14:paraId="5C2A581E"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2108" w:type="dxa"/>
            <w:tcBorders>
              <w:left w:val="single" w:sz="4" w:space="0" w:color="000000"/>
              <w:bottom w:val="single" w:sz="4" w:space="0" w:color="000000"/>
            </w:tcBorders>
            <w:shd w:val="clear" w:color="auto" w:fill="auto"/>
            <w:vAlign w:val="center"/>
          </w:tcPr>
          <w:p w14:paraId="5F834DBD"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4B4A3981"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1EAD1AFD" w14:textId="77777777">
        <w:trPr>
          <w:trHeight w:val="454"/>
          <w:jc w:val="center"/>
        </w:trPr>
        <w:tc>
          <w:tcPr>
            <w:tcW w:w="890" w:type="dxa"/>
            <w:tcBorders>
              <w:left w:val="single" w:sz="4" w:space="0" w:color="000000"/>
              <w:bottom w:val="single" w:sz="4" w:space="0" w:color="000000"/>
            </w:tcBorders>
            <w:shd w:val="clear" w:color="auto" w:fill="auto"/>
            <w:vAlign w:val="center"/>
          </w:tcPr>
          <w:p w14:paraId="2EABEF2F"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4" w:type="dxa"/>
            <w:tcBorders>
              <w:left w:val="single" w:sz="4" w:space="0" w:color="000000"/>
              <w:bottom w:val="single" w:sz="4" w:space="0" w:color="000000"/>
            </w:tcBorders>
            <w:shd w:val="clear" w:color="auto" w:fill="auto"/>
            <w:vAlign w:val="center"/>
          </w:tcPr>
          <w:p w14:paraId="15039D3E"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2108" w:type="dxa"/>
            <w:tcBorders>
              <w:left w:val="single" w:sz="4" w:space="0" w:color="000000"/>
              <w:bottom w:val="single" w:sz="4" w:space="0" w:color="000000"/>
            </w:tcBorders>
            <w:shd w:val="clear" w:color="auto" w:fill="auto"/>
            <w:vAlign w:val="center"/>
          </w:tcPr>
          <w:p w14:paraId="46B40BB8"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04327487"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0A462259" w14:textId="77777777">
        <w:trPr>
          <w:trHeight w:val="454"/>
          <w:jc w:val="center"/>
        </w:trPr>
        <w:tc>
          <w:tcPr>
            <w:tcW w:w="890" w:type="dxa"/>
            <w:tcBorders>
              <w:left w:val="single" w:sz="4" w:space="0" w:color="000000"/>
              <w:bottom w:val="single" w:sz="4" w:space="0" w:color="000000"/>
            </w:tcBorders>
            <w:shd w:val="clear" w:color="auto" w:fill="auto"/>
            <w:vAlign w:val="center"/>
          </w:tcPr>
          <w:p w14:paraId="71F11B5F"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4" w:type="dxa"/>
            <w:tcBorders>
              <w:left w:val="single" w:sz="4" w:space="0" w:color="000000"/>
              <w:bottom w:val="single" w:sz="4" w:space="0" w:color="000000"/>
            </w:tcBorders>
            <w:shd w:val="clear" w:color="auto" w:fill="auto"/>
            <w:vAlign w:val="center"/>
          </w:tcPr>
          <w:p w14:paraId="49B405F2"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2108" w:type="dxa"/>
            <w:tcBorders>
              <w:left w:val="single" w:sz="4" w:space="0" w:color="000000"/>
              <w:bottom w:val="single" w:sz="4" w:space="0" w:color="000000"/>
            </w:tcBorders>
            <w:shd w:val="clear" w:color="auto" w:fill="auto"/>
            <w:vAlign w:val="center"/>
          </w:tcPr>
          <w:p w14:paraId="1A54E743"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4638C0B8" w14:textId="77777777" w:rsidR="00E70101" w:rsidRDefault="0060680B">
            <w:pPr>
              <w:spacing w:line="240" w:lineRule="auto"/>
              <w:jc w:val="center"/>
              <w:rPr>
                <w:rFonts w:ascii="Arial" w:eastAsia="仿宋_GB2312;仿宋" w:hAnsi="Arial" w:cs="Arial"/>
                <w:sz w:val="28"/>
                <w:szCs w:val="28"/>
              </w:rPr>
            </w:pPr>
            <w:r>
              <w:rPr>
                <w:rFonts w:ascii="Arial" w:eastAsia="Arial" w:hAnsi="Arial" w:cs="Arial"/>
                <w:sz w:val="28"/>
                <w:szCs w:val="28"/>
              </w:rPr>
              <w:t xml:space="preserve"> </w:t>
            </w:r>
            <w:r>
              <w:rPr>
                <w:rFonts w:ascii="Arial" w:eastAsia="仿宋_GB2312;仿宋" w:hAnsi="Arial" w:cs="Arial"/>
                <w:sz w:val="28"/>
                <w:szCs w:val="28"/>
              </w:rPr>
              <w:t>——</w:t>
            </w:r>
          </w:p>
        </w:tc>
      </w:tr>
      <w:tr w:rsidR="00E70101" w14:paraId="2FF5C5EE" w14:textId="77777777">
        <w:trPr>
          <w:trHeight w:val="454"/>
          <w:jc w:val="center"/>
        </w:trPr>
        <w:tc>
          <w:tcPr>
            <w:tcW w:w="890" w:type="dxa"/>
            <w:tcBorders>
              <w:left w:val="single" w:sz="4" w:space="0" w:color="000000"/>
              <w:bottom w:val="single" w:sz="4" w:space="0" w:color="000000"/>
            </w:tcBorders>
            <w:shd w:val="clear" w:color="auto" w:fill="auto"/>
            <w:vAlign w:val="center"/>
          </w:tcPr>
          <w:p w14:paraId="3FA05918"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4" w:type="dxa"/>
            <w:tcBorders>
              <w:left w:val="single" w:sz="4" w:space="0" w:color="000000"/>
              <w:bottom w:val="single" w:sz="4" w:space="0" w:color="000000"/>
            </w:tcBorders>
            <w:shd w:val="clear" w:color="auto" w:fill="auto"/>
            <w:vAlign w:val="center"/>
          </w:tcPr>
          <w:p w14:paraId="0586C05E"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2108" w:type="dxa"/>
            <w:tcBorders>
              <w:left w:val="single" w:sz="4" w:space="0" w:color="000000"/>
              <w:bottom w:val="single" w:sz="4" w:space="0" w:color="000000"/>
            </w:tcBorders>
            <w:shd w:val="clear" w:color="auto" w:fill="auto"/>
            <w:vAlign w:val="center"/>
          </w:tcPr>
          <w:p w14:paraId="1D8E970A"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156654</w:t>
            </w:r>
          </w:p>
        </w:tc>
        <w:tc>
          <w:tcPr>
            <w:tcW w:w="3226" w:type="dxa"/>
            <w:tcBorders>
              <w:left w:val="single" w:sz="4" w:space="0" w:color="000000"/>
              <w:bottom w:val="single" w:sz="4" w:space="0" w:color="000000"/>
              <w:right w:val="single" w:sz="4" w:space="0" w:color="000000"/>
            </w:tcBorders>
            <w:shd w:val="clear" w:color="auto" w:fill="auto"/>
            <w:vAlign w:val="center"/>
          </w:tcPr>
          <w:p w14:paraId="024519A7"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02B70007" w14:textId="77777777" w:rsidR="00E70101" w:rsidRDefault="0060680B">
      <w:pPr>
        <w:spacing w:before="120" w:line="360" w:lineRule="auto"/>
        <w:ind w:firstLine="700"/>
        <w:jc w:val="both"/>
        <w:rPr>
          <w:rFonts w:ascii="Arial" w:eastAsia="仿宋_GB2312;仿宋" w:hAnsi="Arial" w:cs="Arial"/>
          <w:sz w:val="28"/>
        </w:rPr>
      </w:pPr>
      <w:r>
        <w:rPr>
          <w:rFonts w:ascii="Arial" w:eastAsia="仿宋_GB2312;仿宋" w:hAnsi="Arial" w:cs="Arial"/>
          <w:kern w:val="2"/>
          <w:sz w:val="28"/>
        </w:rPr>
        <w:t>详见《土地咨询结果一览表》</w:t>
      </w:r>
    </w:p>
    <w:p w14:paraId="4188B860"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注：其中土地使用权价格测算各方法权重的确定详见《土地咨询技术报告》中咨询方法与估算过程一节。</w:t>
      </w:r>
    </w:p>
    <w:p w14:paraId="35161EAF" w14:textId="77777777" w:rsidR="00E70101" w:rsidRDefault="00E70101">
      <w:pPr>
        <w:spacing w:line="360" w:lineRule="auto"/>
        <w:ind w:firstLine="560"/>
        <w:jc w:val="both"/>
        <w:rPr>
          <w:rFonts w:ascii="Arial" w:eastAsia="仿宋_GB2312;仿宋" w:hAnsi="Arial" w:cs="Arial"/>
          <w:sz w:val="28"/>
        </w:rPr>
      </w:pPr>
    </w:p>
    <w:p w14:paraId="2CA3E7F5" w14:textId="77777777" w:rsidR="00E70101" w:rsidRDefault="0060680B">
      <w:pPr>
        <w:spacing w:line="360" w:lineRule="auto"/>
        <w:outlineLvl w:val="1"/>
      </w:pPr>
      <w:bookmarkStart w:id="23" w:name="__RefHeading___Toc469066147"/>
      <w:bookmarkEnd w:id="23"/>
      <w:r>
        <w:rPr>
          <w:rFonts w:ascii="Arial" w:eastAsia="仿宋_GB2312;仿宋" w:hAnsi="Arial" w:cs="Arial"/>
          <w:b/>
          <w:sz w:val="28"/>
        </w:rPr>
        <w:t>三、咨询结果和咨询报告的使用</w:t>
      </w:r>
    </w:p>
    <w:p w14:paraId="27066750" w14:textId="77777777" w:rsidR="00E70101" w:rsidRDefault="0060680B">
      <w:pPr>
        <w:snapToGrid w:val="0"/>
        <w:spacing w:line="360" w:lineRule="auto"/>
        <w:jc w:val="both"/>
        <w:textAlignment w:val="bottom"/>
      </w:pPr>
      <w:r>
        <w:rPr>
          <w:rFonts w:ascii="Arial" w:eastAsia="仿宋_GB2312;仿宋" w:hAnsi="Arial" w:cs="Arial"/>
          <w:sz w:val="28"/>
        </w:rPr>
        <w:t>（一）咨询的前提条件和假设条件</w:t>
      </w:r>
    </w:p>
    <w:p w14:paraId="3BB64294" w14:textId="77777777" w:rsidR="00E70101" w:rsidRDefault="0060680B">
      <w:pPr>
        <w:snapToGrid w:val="0"/>
        <w:spacing w:line="360" w:lineRule="auto"/>
        <w:ind w:firstLine="555"/>
        <w:jc w:val="both"/>
        <w:textAlignment w:val="bottom"/>
      </w:pPr>
      <w:r>
        <w:rPr>
          <w:rFonts w:ascii="Arial" w:eastAsia="仿宋_GB2312;仿宋" w:hAnsi="Arial" w:cs="Arial"/>
          <w:sz w:val="28"/>
        </w:rPr>
        <w:t>1.</w:t>
      </w:r>
      <w:r>
        <w:rPr>
          <w:rFonts w:ascii="Arial" w:eastAsia="仿宋_GB2312;仿宋" w:hAnsi="Arial" w:cs="Arial"/>
          <w:sz w:val="28"/>
        </w:rPr>
        <w:t>委托方提供的资料属实，没有保留及隐瞒。</w:t>
      </w:r>
    </w:p>
    <w:p w14:paraId="5A24EB6D" w14:textId="77777777" w:rsidR="00E70101" w:rsidRDefault="0060680B">
      <w:pPr>
        <w:snapToGrid w:val="0"/>
        <w:spacing w:line="360" w:lineRule="auto"/>
        <w:jc w:val="both"/>
        <w:textAlignment w:val="bottom"/>
      </w:pPr>
      <w:r>
        <w:rPr>
          <w:rFonts w:ascii="Arial" w:eastAsia="Arial" w:hAnsi="Arial" w:cs="Arial"/>
          <w:sz w:val="28"/>
        </w:rPr>
        <w:t xml:space="preserve">    </w:t>
      </w:r>
      <w:r>
        <w:rPr>
          <w:rFonts w:ascii="Arial" w:eastAsia="仿宋_GB2312;仿宋" w:hAnsi="Arial" w:cs="Arial"/>
          <w:sz w:val="28"/>
        </w:rPr>
        <w:t>2.</w:t>
      </w:r>
      <w:r>
        <w:rPr>
          <w:rFonts w:ascii="Arial" w:eastAsia="仿宋_GB2312;仿宋" w:hAnsi="Arial" w:cs="Arial"/>
          <w:sz w:val="28"/>
        </w:rPr>
        <w:t>任何有关咨询对象的运作方式、程序符合国家、地方的有关法律、法规。</w:t>
      </w:r>
    </w:p>
    <w:p w14:paraId="55688F43" w14:textId="77777777" w:rsidR="00E70101" w:rsidRDefault="0060680B">
      <w:pPr>
        <w:spacing w:line="360" w:lineRule="auto"/>
        <w:ind w:right="17"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委托方合法取得咨询对象划拨国有建设用地使用权。</w:t>
      </w:r>
    </w:p>
    <w:p w14:paraId="274CCEF0"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根据委托方介绍，本次评估咨询对象用途为仓储用地，故本次评估设定用途为仓储用地。</w:t>
      </w:r>
    </w:p>
    <w:p w14:paraId="48AB9F9C"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根据委托方介绍及评估专业人员调查，本次评估咨询对象实际土地开发程度为宗地红线外</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（通路、通电、通讯、通上水、通下水、通燃气、通热）、宗地红线内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。根据本次咨询目的，本次估算设定土地开发程度即为实际开发程度红线外市政基础设施达</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（通路、通电、通讯、通上水、通下水、通燃气、通热）、宗地红线内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w:t>
      </w:r>
    </w:p>
    <w:p w14:paraId="7B16F604"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根据委托方介绍，截至咨询期日，咨询对象未设定抵押、租赁等他项权利。</w:t>
      </w:r>
    </w:p>
    <w:p w14:paraId="3AE8E932" w14:textId="77777777" w:rsidR="00E70101" w:rsidRDefault="0060680B">
      <w:pPr>
        <w:snapToGrid w:val="0"/>
        <w:spacing w:line="360" w:lineRule="auto"/>
        <w:jc w:val="both"/>
        <w:textAlignment w:val="bottom"/>
      </w:pPr>
      <w:r>
        <w:rPr>
          <w:rFonts w:ascii="Arial" w:eastAsia="仿宋_GB2312;仿宋" w:hAnsi="Arial" w:cs="Arial"/>
          <w:sz w:val="28"/>
        </w:rPr>
        <w:t>（二）咨询结果和咨询报告的使用</w:t>
      </w:r>
    </w:p>
    <w:p w14:paraId="1446F2D1" w14:textId="77777777" w:rsidR="00E70101" w:rsidRDefault="0060680B">
      <w:pPr>
        <w:snapToGrid w:val="0"/>
        <w:spacing w:line="360" w:lineRule="auto"/>
        <w:ind w:firstLine="585"/>
        <w:jc w:val="both"/>
        <w:textAlignment w:val="auto"/>
      </w:pPr>
      <w:r>
        <w:rPr>
          <w:rFonts w:ascii="Arial" w:eastAsia="仿宋_GB2312;仿宋" w:hAnsi="Arial" w:cs="Arial"/>
          <w:sz w:val="28"/>
        </w:rPr>
        <w:t>1.</w:t>
      </w:r>
      <w:r>
        <w:rPr>
          <w:rFonts w:ascii="Arial" w:eastAsia="仿宋_GB2312;仿宋" w:hAnsi="Arial" w:cs="Arial"/>
          <w:sz w:val="28"/>
        </w:rPr>
        <w:t>本咨询报告的依据为国务院、国土资源部、住建部、北京市人民政府及有关部门颁布的有关法律、法规、政策文件、委托方提供的资料、受托咨询方掌握的有关资料以及评估专业人员实地勘察所获取的资料。</w:t>
      </w:r>
    </w:p>
    <w:p w14:paraId="00DDF2A1" w14:textId="77777777" w:rsidR="00E70101" w:rsidRDefault="0060680B">
      <w:pPr>
        <w:snapToGrid w:val="0"/>
        <w:spacing w:line="360" w:lineRule="auto"/>
        <w:ind w:firstLine="585"/>
        <w:jc w:val="both"/>
        <w:textAlignment w:val="auto"/>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委托方</w:t>
      </w:r>
      <w:r>
        <w:rPr>
          <w:rFonts w:ascii="Arial" w:eastAsia="仿宋_GB2312;仿宋" w:hAnsi="Arial" w:cs="Arial"/>
          <w:kern w:val="2"/>
          <w:sz w:val="28"/>
        </w:rPr>
        <w:t>应对其提供的权属证明以及其他资料的真实性、完整性和合法性负责。如因资料失实或资料提供人有所隐匿而导致咨询结果失真，受托单位不承担相应的责任。</w:t>
      </w:r>
    </w:p>
    <w:p w14:paraId="5DB1AE87" w14:textId="77777777" w:rsidR="00E70101" w:rsidRDefault="0060680B">
      <w:pPr>
        <w:snapToGrid w:val="0"/>
        <w:spacing w:line="360" w:lineRule="auto"/>
        <w:ind w:firstLine="585"/>
        <w:jc w:val="both"/>
        <w:textAlignment w:val="auto"/>
      </w:pPr>
      <w:r>
        <w:rPr>
          <w:rFonts w:ascii="Arial" w:eastAsia="仿宋_GB2312;仿宋" w:hAnsi="Arial" w:cs="Arial"/>
          <w:sz w:val="28"/>
        </w:rPr>
        <w:t>3.</w:t>
      </w:r>
      <w:r>
        <w:rPr>
          <w:rFonts w:ascii="Arial" w:eastAsia="仿宋_GB2312;仿宋" w:hAnsi="Arial" w:cs="Arial"/>
          <w:sz w:val="28"/>
        </w:rPr>
        <w:t>本报告咨询结果为咨询期日下的土地收购补偿价格，随着时间的推移，该价格需要做相应的调整直至重新评估。</w:t>
      </w:r>
    </w:p>
    <w:p w14:paraId="0481590C" w14:textId="77777777" w:rsidR="00E70101" w:rsidRDefault="0060680B">
      <w:pPr>
        <w:snapToGrid w:val="0"/>
        <w:spacing w:line="360" w:lineRule="auto"/>
        <w:ind w:firstLine="585"/>
        <w:jc w:val="both"/>
        <w:textAlignment w:val="auto"/>
      </w:pPr>
      <w:r>
        <w:rPr>
          <w:rFonts w:ascii="Arial" w:eastAsia="仿宋_GB2312;仿宋" w:hAnsi="Arial" w:cs="Arial"/>
          <w:sz w:val="28"/>
        </w:rPr>
        <w:t>4.</w:t>
      </w:r>
      <w:r>
        <w:rPr>
          <w:rFonts w:ascii="Arial" w:eastAsia="仿宋_GB2312;仿宋" w:hAnsi="Arial" w:cs="Arial"/>
          <w:sz w:val="28"/>
        </w:rPr>
        <w:t>本次评估咨询报告分为</w:t>
      </w:r>
      <w:r>
        <w:rPr>
          <w:rFonts w:ascii="Arial" w:eastAsia="仿宋_GB2312;仿宋" w:hAnsi="Arial" w:cs="Arial"/>
          <w:sz w:val="28"/>
        </w:rPr>
        <w:t>“</w:t>
      </w:r>
      <w:r>
        <w:rPr>
          <w:rFonts w:ascii="Arial" w:eastAsia="仿宋_GB2312;仿宋" w:hAnsi="Arial" w:cs="Arial"/>
          <w:sz w:val="28"/>
        </w:rPr>
        <w:t>土地咨询报告</w:t>
      </w:r>
      <w:r>
        <w:rPr>
          <w:rFonts w:ascii="Arial" w:eastAsia="仿宋_GB2312;仿宋" w:hAnsi="Arial" w:cs="Arial"/>
          <w:sz w:val="28"/>
        </w:rPr>
        <w:t>”</w:t>
      </w:r>
      <w:r>
        <w:rPr>
          <w:rFonts w:ascii="Arial" w:eastAsia="仿宋_GB2312;仿宋" w:hAnsi="Arial" w:cs="Arial"/>
          <w:sz w:val="28"/>
        </w:rPr>
        <w:t>和</w:t>
      </w:r>
      <w:r>
        <w:rPr>
          <w:rFonts w:ascii="Arial" w:eastAsia="仿宋_GB2312;仿宋" w:hAnsi="Arial" w:cs="Arial"/>
          <w:sz w:val="28"/>
        </w:rPr>
        <w:t>“</w:t>
      </w:r>
      <w:r>
        <w:rPr>
          <w:rFonts w:ascii="Arial" w:eastAsia="仿宋_GB2312;仿宋" w:hAnsi="Arial" w:cs="Arial"/>
          <w:sz w:val="28"/>
        </w:rPr>
        <w:t>土地咨询技术报告</w:t>
      </w:r>
      <w:r>
        <w:rPr>
          <w:rFonts w:ascii="Arial" w:eastAsia="仿宋_GB2312;仿宋" w:hAnsi="Arial" w:cs="Arial"/>
          <w:sz w:val="28"/>
        </w:rPr>
        <w:t>”</w:t>
      </w:r>
      <w:r>
        <w:rPr>
          <w:rFonts w:ascii="Arial" w:eastAsia="仿宋_GB2312;仿宋" w:hAnsi="Arial" w:cs="Arial"/>
          <w:sz w:val="28"/>
        </w:rPr>
        <w:t>两部分，</w:t>
      </w:r>
      <w:r>
        <w:rPr>
          <w:rFonts w:ascii="Arial" w:eastAsia="仿宋_GB2312;仿宋" w:hAnsi="Arial" w:cs="Arial"/>
          <w:sz w:val="28"/>
        </w:rPr>
        <w:t>“</w:t>
      </w:r>
      <w:r>
        <w:rPr>
          <w:rFonts w:ascii="Arial" w:eastAsia="仿宋_GB2312;仿宋" w:hAnsi="Arial" w:cs="Arial"/>
          <w:sz w:val="28"/>
        </w:rPr>
        <w:t>土地咨询报告</w:t>
      </w:r>
      <w:r>
        <w:rPr>
          <w:rFonts w:ascii="Arial" w:eastAsia="仿宋_GB2312;仿宋" w:hAnsi="Arial" w:cs="Arial"/>
          <w:sz w:val="28"/>
        </w:rPr>
        <w:t>”</w:t>
      </w:r>
      <w:r>
        <w:rPr>
          <w:rFonts w:ascii="Arial" w:eastAsia="仿宋_GB2312;仿宋" w:hAnsi="Arial" w:cs="Arial"/>
          <w:sz w:val="28"/>
        </w:rPr>
        <w:t>供委托方使用，</w:t>
      </w:r>
      <w:r>
        <w:rPr>
          <w:rFonts w:ascii="Arial" w:eastAsia="仿宋_GB2312;仿宋" w:hAnsi="Arial" w:cs="Arial"/>
          <w:sz w:val="28"/>
        </w:rPr>
        <w:t>“</w:t>
      </w:r>
      <w:r>
        <w:rPr>
          <w:rFonts w:ascii="Arial" w:eastAsia="仿宋_GB2312;仿宋" w:hAnsi="Arial" w:cs="Arial"/>
          <w:sz w:val="28"/>
        </w:rPr>
        <w:t>土地咨询技术报告</w:t>
      </w:r>
      <w:r>
        <w:rPr>
          <w:rFonts w:ascii="Arial" w:eastAsia="仿宋_GB2312;仿宋" w:hAnsi="Arial" w:cs="Arial"/>
          <w:sz w:val="28"/>
        </w:rPr>
        <w:t>”</w:t>
      </w:r>
      <w:r>
        <w:rPr>
          <w:rFonts w:ascii="Arial" w:eastAsia="仿宋_GB2312;仿宋" w:hAnsi="Arial" w:cs="Arial"/>
          <w:sz w:val="28"/>
        </w:rPr>
        <w:t>仅供受托单位存档。</w:t>
      </w:r>
    </w:p>
    <w:p w14:paraId="7141E4CB" w14:textId="77777777" w:rsidR="00E70101" w:rsidRDefault="0060680B">
      <w:pPr>
        <w:snapToGrid w:val="0"/>
        <w:spacing w:line="360" w:lineRule="auto"/>
        <w:ind w:firstLine="570"/>
        <w:jc w:val="both"/>
      </w:pPr>
      <w:r>
        <w:rPr>
          <w:rFonts w:ascii="Arial" w:eastAsia="仿宋_GB2312;仿宋" w:hAnsi="Arial" w:cs="Arial"/>
          <w:sz w:val="28"/>
        </w:rPr>
        <w:t>5.</w:t>
      </w:r>
      <w:r>
        <w:rPr>
          <w:rFonts w:ascii="Arial" w:eastAsia="仿宋_GB2312;仿宋" w:hAnsi="Arial" w:cs="Arial"/>
          <w:sz w:val="28"/>
        </w:rPr>
        <w:t>本咨询报告只能由咨询报告载明的报告使用者使用，且只能用于本报告载明的唯一咨询目的和用途。</w:t>
      </w:r>
    </w:p>
    <w:p w14:paraId="07F32BDF" w14:textId="77777777" w:rsidR="00E70101" w:rsidRDefault="0060680B">
      <w:pPr>
        <w:snapToGrid w:val="0"/>
        <w:spacing w:line="360" w:lineRule="auto"/>
        <w:ind w:firstLine="570"/>
        <w:jc w:val="both"/>
      </w:pPr>
      <w:r>
        <w:rPr>
          <w:rFonts w:ascii="Arial" w:eastAsia="仿宋_GB2312;仿宋" w:hAnsi="Arial" w:cs="Arial"/>
          <w:sz w:val="28"/>
        </w:rPr>
        <w:t>6.</w:t>
      </w:r>
      <w:r>
        <w:rPr>
          <w:rFonts w:ascii="Arial" w:eastAsia="仿宋_GB2312;仿宋" w:hAnsi="Arial" w:cs="Arial"/>
          <w:sz w:val="28"/>
        </w:rPr>
        <w:t>委托方或者本咨询报告使用人应按照法律规定和咨询报告载明的使用范围使用本咨询报告。委托方或者咨询报告使用人违反前述规定使用本咨询报告的，受托单位和评估专业人员不承担责任。</w:t>
      </w:r>
    </w:p>
    <w:p w14:paraId="16E6C1B0" w14:textId="77777777" w:rsidR="00E70101" w:rsidRDefault="0060680B">
      <w:pPr>
        <w:snapToGrid w:val="0"/>
        <w:spacing w:line="360" w:lineRule="auto"/>
        <w:ind w:firstLine="570"/>
        <w:jc w:val="both"/>
      </w:pPr>
      <w:r>
        <w:rPr>
          <w:rFonts w:ascii="Arial" w:eastAsia="仿宋_GB2312;仿宋" w:hAnsi="Arial" w:cs="Arial"/>
          <w:sz w:val="28"/>
        </w:rPr>
        <w:t>7.</w:t>
      </w:r>
      <w:r>
        <w:rPr>
          <w:rFonts w:ascii="Arial" w:eastAsia="仿宋_GB2312;仿宋" w:hAnsi="Arial" w:cs="Arial"/>
          <w:sz w:val="28"/>
        </w:rPr>
        <w:t>除委托方、咨询委托合同中约定的其他咨询报告使用人和法律、行政法规规定的咨询报告使用人之外，其他任何机构和个人不能成为咨询报告的使用人。</w:t>
      </w:r>
    </w:p>
    <w:p w14:paraId="2DA12ED7" w14:textId="77777777" w:rsidR="00E70101" w:rsidRDefault="0060680B">
      <w:pPr>
        <w:snapToGrid w:val="0"/>
        <w:spacing w:line="360" w:lineRule="auto"/>
        <w:ind w:firstLine="570"/>
        <w:jc w:val="both"/>
        <w:rPr>
          <w:rFonts w:ascii="Arial" w:eastAsia="仿宋_GB2312;仿宋" w:hAnsi="Arial" w:cs="Arial"/>
          <w:sz w:val="28"/>
        </w:rPr>
      </w:pPr>
      <w:r>
        <w:rPr>
          <w:rFonts w:ascii="Arial" w:eastAsia="仿宋_GB2312;仿宋" w:hAnsi="Arial" w:cs="Arial"/>
          <w:sz w:val="28"/>
        </w:rPr>
        <w:t>8.</w:t>
      </w:r>
      <w:r>
        <w:rPr>
          <w:rFonts w:ascii="Arial" w:eastAsia="仿宋_GB2312;仿宋" w:hAnsi="Arial" w:cs="Arial"/>
          <w:sz w:val="28"/>
        </w:rPr>
        <w:t>咨询报告使用人应当正确理解咨询结论。咨询结论不等同于咨询对象可实现价格，咨询结论不应当被认为是对咨询对象可实现价格的保证。</w:t>
      </w:r>
    </w:p>
    <w:p w14:paraId="1B8EC6E6" w14:textId="77777777" w:rsidR="00E70101" w:rsidRDefault="0060680B">
      <w:pPr>
        <w:snapToGrid w:val="0"/>
        <w:spacing w:line="360" w:lineRule="auto"/>
        <w:ind w:firstLine="570"/>
        <w:jc w:val="both"/>
        <w:rPr>
          <w:rFonts w:ascii="Arial" w:eastAsia="仿宋_GB2312;仿宋" w:hAnsi="Arial" w:cs="Arial"/>
          <w:sz w:val="28"/>
        </w:rPr>
      </w:pPr>
      <w:r>
        <w:rPr>
          <w:rFonts w:ascii="Arial" w:eastAsia="仿宋_GB2312;仿宋" w:hAnsi="Arial" w:cs="Arial"/>
          <w:sz w:val="28"/>
        </w:rPr>
        <w:t>9.</w:t>
      </w:r>
      <w:r>
        <w:rPr>
          <w:rFonts w:ascii="Arial" w:eastAsia="仿宋_GB2312;仿宋" w:hAnsi="Arial" w:cs="Arial"/>
          <w:sz w:val="28"/>
        </w:rPr>
        <w:t>本报告所确定的土地价格仅为收购的国有建设用地使用权的补偿可能形成的价格，若违反特定用途使用本土地咨询报告和咨询结果，由此引出的一切法律责任由使用者自负。</w:t>
      </w:r>
    </w:p>
    <w:p w14:paraId="4F712265" w14:textId="77777777" w:rsidR="00E70101" w:rsidRDefault="0060680B">
      <w:pPr>
        <w:snapToGrid w:val="0"/>
        <w:spacing w:line="360" w:lineRule="auto"/>
        <w:ind w:firstLine="570"/>
        <w:jc w:val="both"/>
        <w:rPr>
          <w:rFonts w:ascii="Arial" w:eastAsia="仿宋_GB2312;仿宋" w:hAnsi="Arial" w:cs="Arial"/>
          <w:sz w:val="28"/>
        </w:rPr>
      </w:pPr>
      <w:r>
        <w:rPr>
          <w:rFonts w:ascii="Arial" w:eastAsia="仿宋_GB2312;仿宋" w:hAnsi="Arial" w:cs="Arial"/>
          <w:sz w:val="28"/>
        </w:rPr>
        <w:t>10.</w:t>
      </w:r>
      <w:r>
        <w:rPr>
          <w:rFonts w:ascii="Arial" w:eastAsia="仿宋_GB2312;仿宋" w:hAnsi="Arial" w:cs="Arial"/>
          <w:sz w:val="28"/>
        </w:rPr>
        <w:t>报告有效期限为报告出具之日起壹年内有效。有效期自</w:t>
      </w:r>
      <w:r>
        <w:rPr>
          <w:rFonts w:ascii="Arial" w:eastAsia="仿宋_GB2312;仿宋" w:hAnsi="Arial" w:cs="Arial"/>
          <w:sz w:val="28"/>
        </w:rPr>
        <w:t>2024</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日起至</w:t>
      </w: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日止</w:t>
      </w:r>
      <w:r>
        <w:rPr>
          <w:rFonts w:ascii="Arial" w:eastAsia="仿宋_GB2312;仿宋" w:hAnsi="Arial" w:cs="Arial"/>
          <w:kern w:val="2"/>
          <w:sz w:val="28"/>
        </w:rPr>
        <w:t>。</w:t>
      </w:r>
    </w:p>
    <w:p w14:paraId="4241696A" w14:textId="73E67531" w:rsidR="00E70101" w:rsidRDefault="0060680B">
      <w:pPr>
        <w:snapToGrid w:val="0"/>
        <w:spacing w:line="360" w:lineRule="auto"/>
        <w:ind w:firstLine="570"/>
        <w:jc w:val="both"/>
        <w:rPr>
          <w:rFonts w:ascii="Arial" w:eastAsia="仿宋_GB2312;仿宋" w:hAnsi="Arial" w:cs="Arial"/>
          <w:sz w:val="28"/>
        </w:rPr>
      </w:pPr>
      <w:r>
        <w:rPr>
          <w:rFonts w:ascii="Arial" w:eastAsia="楷体_GB2312;楷体" w:hAnsi="Arial" w:cs="Arial"/>
          <w:kern w:val="2"/>
          <w:sz w:val="28"/>
        </w:rPr>
        <w:t>11</w:t>
      </w:r>
      <w:r>
        <w:rPr>
          <w:rFonts w:ascii="Arial" w:eastAsia="仿宋_GB2312;仿宋" w:hAnsi="Arial" w:cs="Arial"/>
          <w:sz w:val="28"/>
        </w:rPr>
        <w:t>.</w:t>
      </w:r>
      <w:r>
        <w:rPr>
          <w:rFonts w:ascii="Arial" w:eastAsia="仿宋_GB2312;仿宋" w:hAnsi="Arial" w:cs="Arial"/>
          <w:sz w:val="28"/>
        </w:rPr>
        <w:t>本次土地咨询报告的使用权归</w:t>
      </w:r>
      <w:r w:rsidR="00693E9D" w:rsidRPr="00693E9D">
        <w:rPr>
          <w:rFonts w:ascii="Arial" w:eastAsia="仿宋_GB2312;仿宋" w:hAnsi="Arial" w:cs="Arial" w:hint="eastAsia"/>
          <w:sz w:val="28"/>
        </w:rPr>
        <w:t>北京保障房中心有限公司</w:t>
      </w:r>
      <w:r>
        <w:rPr>
          <w:rFonts w:ascii="Arial" w:eastAsia="仿宋_GB2312;仿宋" w:hAnsi="Arial" w:cs="Arial"/>
          <w:sz w:val="28"/>
        </w:rPr>
        <w:t>，土地咨询报告由北京康正宏基房地产评估有限公司负责解释。</w:t>
      </w:r>
    </w:p>
    <w:p w14:paraId="6275D07C" w14:textId="77777777" w:rsidR="00E70101" w:rsidRDefault="0060680B">
      <w:pPr>
        <w:snapToGrid w:val="0"/>
        <w:spacing w:line="360" w:lineRule="auto"/>
        <w:jc w:val="both"/>
        <w:textAlignment w:val="bottom"/>
        <w:rPr>
          <w:rFonts w:ascii="Arial" w:eastAsia="仿宋_GB2312;仿宋" w:hAnsi="Arial" w:cs="Arial"/>
          <w:sz w:val="28"/>
        </w:rPr>
      </w:pPr>
      <w:r>
        <w:rPr>
          <w:rFonts w:ascii="Arial" w:eastAsia="仿宋_GB2312;仿宋" w:hAnsi="Arial" w:cs="Arial"/>
          <w:sz w:val="28"/>
        </w:rPr>
        <w:t>（三）需要特殊说明的事项</w:t>
      </w:r>
    </w:p>
    <w:p w14:paraId="5CCC221A" w14:textId="77777777" w:rsidR="00E70101" w:rsidRDefault="0060680B">
      <w:pPr>
        <w:snapToGrid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资料来源说明</w:t>
      </w:r>
    </w:p>
    <w:p w14:paraId="1E451F5B" w14:textId="77777777" w:rsidR="00E70101" w:rsidRDefault="0060680B">
      <w:pPr>
        <w:snapToGrid w:val="0"/>
        <w:spacing w:line="360" w:lineRule="auto"/>
        <w:ind w:firstLine="560"/>
        <w:jc w:val="both"/>
        <w:textAlignment w:val="bottom"/>
      </w:pPr>
      <w:r>
        <w:rPr>
          <w:rFonts w:ascii="Arial" w:eastAsia="仿宋_GB2312;仿宋" w:hAnsi="Arial" w:cs="Arial"/>
          <w:sz w:val="28"/>
        </w:rPr>
        <w:t>（</w:t>
      </w:r>
      <w:r>
        <w:rPr>
          <w:rFonts w:ascii="Arial" w:eastAsia="仿宋_GB2312;仿宋" w:hAnsi="Arial" w:cs="Arial"/>
          <w:sz w:val="28"/>
        </w:rPr>
        <w:t>1</w:t>
      </w:r>
      <w:r>
        <w:rPr>
          <w:rFonts w:ascii="Arial" w:eastAsia="仿宋_GB2312;仿宋" w:hAnsi="Arial" w:cs="Arial"/>
          <w:sz w:val="28"/>
        </w:rPr>
        <w:t>）咨询对象的土地、房屋权属资料、土地利用状况、评估项目相关资料由委托方提供。</w:t>
      </w:r>
    </w:p>
    <w:p w14:paraId="5CD0ACB7" w14:textId="77777777" w:rsidR="00E70101" w:rsidRDefault="0060680B">
      <w:pPr>
        <w:snapToGrid w:val="0"/>
        <w:spacing w:line="360" w:lineRule="auto"/>
        <w:ind w:firstLine="560"/>
        <w:jc w:val="both"/>
        <w:textAlignment w:val="bottom"/>
      </w:pPr>
      <w:r>
        <w:rPr>
          <w:rFonts w:ascii="Arial" w:eastAsia="仿宋_GB2312;仿宋" w:hAnsi="Arial" w:cs="Arial"/>
          <w:sz w:val="28"/>
        </w:rPr>
        <w:t>（</w:t>
      </w:r>
      <w:r>
        <w:rPr>
          <w:rFonts w:ascii="Arial" w:eastAsia="仿宋_GB2312;仿宋" w:hAnsi="Arial" w:cs="Arial"/>
          <w:sz w:val="28"/>
        </w:rPr>
        <w:t>2</w:t>
      </w:r>
      <w:r>
        <w:rPr>
          <w:rFonts w:ascii="Arial" w:eastAsia="仿宋_GB2312;仿宋" w:hAnsi="Arial" w:cs="Arial"/>
          <w:sz w:val="28"/>
        </w:rPr>
        <w:t>）土地区位条件、地产市场交易资料、土地利用现状照片等相关资料由评估专业人员实地调查取得。</w:t>
      </w:r>
    </w:p>
    <w:p w14:paraId="4C7ECD55" w14:textId="77777777" w:rsidR="00E70101" w:rsidRDefault="0060680B">
      <w:pPr>
        <w:snapToGrid w:val="0"/>
        <w:spacing w:line="360" w:lineRule="auto"/>
        <w:ind w:firstLine="560"/>
        <w:jc w:val="both"/>
        <w:textAlignment w:val="bottom"/>
      </w:pPr>
      <w:r>
        <w:rPr>
          <w:rFonts w:ascii="Arial" w:eastAsia="仿宋_GB2312;仿宋" w:hAnsi="Arial" w:cs="Arial"/>
          <w:sz w:val="28"/>
        </w:rPr>
        <w:t>（</w:t>
      </w:r>
      <w:r>
        <w:rPr>
          <w:rFonts w:ascii="Arial" w:eastAsia="仿宋_GB2312;仿宋" w:hAnsi="Arial" w:cs="Arial"/>
          <w:sz w:val="28"/>
        </w:rPr>
        <w:t>3</w:t>
      </w:r>
      <w:r>
        <w:rPr>
          <w:rFonts w:ascii="Arial" w:eastAsia="仿宋_GB2312;仿宋" w:hAnsi="Arial" w:cs="Arial"/>
          <w:sz w:val="28"/>
        </w:rPr>
        <w:t>）区域经济发展状况、统计数据、城市规划资料、基准地价资料等由评估专业人员通过政府相关部门获取。</w:t>
      </w:r>
    </w:p>
    <w:p w14:paraId="37982273" w14:textId="77777777" w:rsidR="00E70101" w:rsidRDefault="0060680B">
      <w:pPr>
        <w:snapToGrid w:val="0"/>
        <w:spacing w:line="360" w:lineRule="auto"/>
        <w:ind w:firstLine="560"/>
        <w:jc w:val="both"/>
        <w:textAlignment w:val="bottom"/>
      </w:pPr>
      <w:r>
        <w:rPr>
          <w:rFonts w:ascii="Arial" w:eastAsia="仿宋_GB2312;仿宋" w:hAnsi="Arial" w:cs="Arial"/>
          <w:sz w:val="28"/>
        </w:rPr>
        <w:t>（</w:t>
      </w:r>
      <w:r>
        <w:rPr>
          <w:rFonts w:ascii="Arial" w:eastAsia="仿宋_GB2312;仿宋" w:hAnsi="Arial" w:cs="Arial"/>
          <w:sz w:val="28"/>
        </w:rPr>
        <w:t>4</w:t>
      </w:r>
      <w:r>
        <w:rPr>
          <w:rFonts w:ascii="Arial" w:eastAsia="仿宋_GB2312;仿宋" w:hAnsi="Arial" w:cs="Arial"/>
          <w:sz w:val="28"/>
        </w:rPr>
        <w:t>）咨询中的相关参数资料由评估专业人员通过政府部门相关文件规定、公开媒体等多种途径获取。</w:t>
      </w:r>
    </w:p>
    <w:p w14:paraId="626E772F" w14:textId="77777777" w:rsidR="00E70101" w:rsidRDefault="0060680B">
      <w:pPr>
        <w:snapToGrid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5</w:t>
      </w:r>
      <w:r>
        <w:rPr>
          <w:rFonts w:ascii="Arial" w:eastAsia="仿宋_GB2312;仿宋" w:hAnsi="Arial" w:cs="Arial"/>
          <w:sz w:val="28"/>
        </w:rPr>
        <w:t>）评估专业人员结合执业经验，对上述相关评估资料的真实性、合法性、有效性、适用性进行了尽职核实、专业判断。委托方对所提供资料的真实性负责，受托单位对所收集资料的真实性、准确性负责。</w:t>
      </w:r>
    </w:p>
    <w:p w14:paraId="42DF2502" w14:textId="77777777" w:rsidR="00E70101" w:rsidRDefault="0060680B">
      <w:pPr>
        <w:snapToGrid w:val="0"/>
        <w:spacing w:line="360" w:lineRule="auto"/>
        <w:ind w:firstLine="560"/>
        <w:jc w:val="both"/>
      </w:pPr>
      <w:r>
        <w:rPr>
          <w:rFonts w:ascii="Arial" w:eastAsia="仿宋_GB2312;仿宋" w:hAnsi="Arial" w:cs="Arial"/>
          <w:sz w:val="28"/>
          <w:szCs w:val="28"/>
        </w:rPr>
        <w:t>2.</w:t>
      </w:r>
      <w:r>
        <w:rPr>
          <w:rFonts w:ascii="Arial" w:eastAsia="仿宋_GB2312;仿宋" w:hAnsi="Arial" w:cs="Arial"/>
          <w:sz w:val="28"/>
          <w:szCs w:val="28"/>
        </w:rPr>
        <w:t>本报告咨询结果是在满足地价定义所设定条件下的土地使用权价格，若咨询对象的土地利用方式、咨询期日、土地使用年期、土地用途、土地面积、建筑面积等影响地价的因素发生变化，该咨询价格应作相应调整。</w:t>
      </w:r>
    </w:p>
    <w:p w14:paraId="059B9CE4" w14:textId="77777777" w:rsidR="00E70101" w:rsidRDefault="0060680B">
      <w:pPr>
        <w:snapToGrid w:val="0"/>
        <w:spacing w:line="360" w:lineRule="auto"/>
        <w:ind w:firstLine="560"/>
        <w:jc w:val="both"/>
      </w:pPr>
      <w:r>
        <w:rPr>
          <w:rFonts w:ascii="Arial" w:eastAsia="仿宋_GB2312;仿宋" w:hAnsi="Arial" w:cs="Arial"/>
          <w:sz w:val="28"/>
          <w:szCs w:val="28"/>
        </w:rPr>
        <w:t>3.</w:t>
      </w:r>
      <w:r>
        <w:rPr>
          <w:rFonts w:ascii="Arial" w:eastAsia="仿宋_GB2312;仿宋" w:hAnsi="Arial" w:cs="Arial"/>
          <w:sz w:val="28"/>
          <w:szCs w:val="28"/>
        </w:rPr>
        <w:t>本机构参与本次评估的评估专业人员与委托方无足以影响评估报告及咨询结果公正性的关系。</w:t>
      </w:r>
    </w:p>
    <w:p w14:paraId="3DDE7E2A" w14:textId="77777777" w:rsidR="00E70101" w:rsidRDefault="0060680B">
      <w:pPr>
        <w:snapToGrid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szCs w:val="28"/>
        </w:rPr>
        <w:t>经国务院批准，自</w:t>
      </w:r>
      <w:r>
        <w:rPr>
          <w:rFonts w:ascii="Arial" w:eastAsia="仿宋_GB2312;仿宋" w:hAnsi="Arial" w:cs="Arial"/>
          <w:sz w:val="28"/>
          <w:szCs w:val="28"/>
        </w:rPr>
        <w:t>2016</w:t>
      </w:r>
      <w:r>
        <w:rPr>
          <w:rFonts w:ascii="Arial" w:eastAsia="仿宋_GB2312;仿宋" w:hAnsi="Arial" w:cs="Arial"/>
          <w:sz w:val="28"/>
          <w:szCs w:val="28"/>
        </w:rPr>
        <w:t>年</w:t>
      </w:r>
      <w:r>
        <w:rPr>
          <w:rFonts w:ascii="Arial" w:eastAsia="仿宋_GB2312;仿宋" w:hAnsi="Arial" w:cs="Arial"/>
          <w:sz w:val="28"/>
          <w:szCs w:val="28"/>
        </w:rPr>
        <w:t>5</w:t>
      </w:r>
      <w:r>
        <w:rPr>
          <w:rFonts w:ascii="Arial" w:eastAsia="仿宋_GB2312;仿宋" w:hAnsi="Arial" w:cs="Arial"/>
          <w:sz w:val="28"/>
          <w:szCs w:val="28"/>
        </w:rPr>
        <w:t>月</w:t>
      </w:r>
      <w:r>
        <w:rPr>
          <w:rFonts w:ascii="Arial" w:eastAsia="仿宋_GB2312;仿宋" w:hAnsi="Arial" w:cs="Arial"/>
          <w:sz w:val="28"/>
          <w:szCs w:val="28"/>
        </w:rPr>
        <w:t>1</w:t>
      </w:r>
      <w:r>
        <w:rPr>
          <w:rFonts w:ascii="Arial" w:eastAsia="仿宋_GB2312;仿宋" w:hAnsi="Arial" w:cs="Arial"/>
          <w:sz w:val="28"/>
          <w:szCs w:val="28"/>
        </w:rPr>
        <w:t>日起，在全国范围内全面推开营业税改征增值税试点，建筑业、房地产业、金融业、生活服务业等全部营业税纳税人，纳入试点范围，由缴纳营业税改为缴纳增值税。根据咨询目的、报告使用用途及必要性原则要求，本报告采纳简易计税方法记取增值税进行测算。</w:t>
      </w:r>
    </w:p>
    <w:p w14:paraId="1B9AF8F6" w14:textId="77777777" w:rsidR="00E70101" w:rsidRDefault="0060680B">
      <w:pPr>
        <w:snapToGrid w:val="0"/>
        <w:spacing w:line="360" w:lineRule="auto"/>
        <w:ind w:firstLine="560"/>
        <w:jc w:val="both"/>
        <w:rPr>
          <w:rFonts w:ascii="Arial" w:eastAsia="仿宋_GB2312;仿宋" w:hAnsi="Arial" w:cs="Arial"/>
          <w:sz w:val="28"/>
          <w:szCs w:val="28"/>
        </w:rPr>
      </w:pPr>
      <w:r>
        <w:rPr>
          <w:rFonts w:ascii="Arial" w:eastAsia="仿宋_GB2312;仿宋" w:hAnsi="Arial" w:cs="Arial"/>
          <w:sz w:val="28"/>
        </w:rPr>
        <w:t>5.</w:t>
      </w:r>
      <w:r>
        <w:rPr>
          <w:rFonts w:ascii="Arial" w:eastAsia="仿宋_GB2312;仿宋" w:hAnsi="Arial" w:cs="Arial"/>
          <w:sz w:val="28"/>
        </w:rPr>
        <w:t>本咨询报告中数据全部采用电算化连续计算得出，由于在报告中计算的数据均按四舍五入保留两位小数或取整，故可能出现个别等式左右不完全相等的情况，但不影响计算结果及最终评估结论的准确性。</w:t>
      </w:r>
    </w:p>
    <w:p w14:paraId="234DB7D5" w14:textId="77777777" w:rsidR="00E70101" w:rsidRDefault="0060680B">
      <w:pPr>
        <w:snapToGrid w:val="0"/>
        <w:spacing w:line="360" w:lineRule="auto"/>
        <w:ind w:firstLine="560"/>
        <w:jc w:val="both"/>
        <w:textAlignment w:val="bottom"/>
        <w:rPr>
          <w:rFonts w:ascii="Arial" w:eastAsia="仿宋_GB2312;仿宋" w:hAnsi="Arial" w:cs="Arial"/>
          <w:sz w:val="28"/>
        </w:rPr>
        <w:sectPr w:rsidR="00E70101">
          <w:headerReference w:type="default" r:id="rId37"/>
          <w:footerReference w:type="default" r:id="rId38"/>
          <w:pgSz w:w="11906" w:h="16838"/>
          <w:pgMar w:top="1843" w:right="1134" w:bottom="1134" w:left="1474" w:header="1134" w:footer="907" w:gutter="0"/>
          <w:cols w:space="720"/>
          <w:formProt w:val="0"/>
          <w:docGrid w:linePitch="326"/>
        </w:sectPr>
      </w:pPr>
      <w:r>
        <w:rPr>
          <w:rFonts w:ascii="Arial" w:eastAsia="仿宋_GB2312;仿宋" w:hAnsi="Arial" w:cs="Arial"/>
          <w:sz w:val="28"/>
          <w:szCs w:val="28"/>
        </w:rPr>
        <w:t>6.</w:t>
      </w:r>
      <w:r>
        <w:rPr>
          <w:rFonts w:ascii="Arial" w:eastAsia="仿宋_GB2312;仿宋" w:hAnsi="Arial" w:cs="Arial"/>
          <w:sz w:val="28"/>
          <w:szCs w:val="28"/>
        </w:rPr>
        <w:t>上述事项会对咨询结论及咨询报告的使用产生影响，在此提请报告使用者予以关注。</w:t>
      </w:r>
    </w:p>
    <w:p w14:paraId="77921E46" w14:textId="77777777" w:rsidR="00E70101" w:rsidRDefault="0060680B">
      <w:pPr>
        <w:spacing w:line="360" w:lineRule="auto"/>
        <w:jc w:val="center"/>
        <w:outlineLvl w:val="0"/>
      </w:pPr>
      <w:bookmarkStart w:id="24" w:name="__RefHeading___Toc469066148"/>
      <w:bookmarkEnd w:id="24"/>
      <w:r>
        <w:rPr>
          <w:rFonts w:ascii="Arial" w:hAnsi="Arial" w:cs="Arial"/>
          <w:b/>
          <w:sz w:val="32"/>
        </w:rPr>
        <w:t>第四部分</w:t>
      </w:r>
      <w:r>
        <w:rPr>
          <w:rFonts w:ascii="Arial" w:eastAsia="Arial" w:hAnsi="Arial" w:cs="Arial"/>
          <w:b/>
          <w:sz w:val="32"/>
        </w:rPr>
        <w:t xml:space="preserve">  </w:t>
      </w:r>
      <w:r>
        <w:rPr>
          <w:rFonts w:ascii="Arial" w:hAnsi="Arial" w:cs="Arial"/>
          <w:b/>
          <w:sz w:val="32"/>
        </w:rPr>
        <w:t>附</w:t>
      </w:r>
      <w:r>
        <w:rPr>
          <w:rFonts w:ascii="Arial" w:eastAsia="Arial" w:hAnsi="Arial" w:cs="Arial"/>
          <w:b/>
          <w:sz w:val="32"/>
        </w:rPr>
        <w:t xml:space="preserve">  </w:t>
      </w:r>
      <w:r>
        <w:rPr>
          <w:rFonts w:ascii="Arial" w:hAnsi="Arial" w:cs="Arial"/>
          <w:b/>
          <w:sz w:val="32"/>
        </w:rPr>
        <w:t>件</w:t>
      </w:r>
    </w:p>
    <w:p w14:paraId="3BA0509A" w14:textId="77777777" w:rsidR="00E70101" w:rsidRDefault="00E70101">
      <w:pPr>
        <w:spacing w:line="360" w:lineRule="auto"/>
        <w:ind w:firstLine="560"/>
        <w:jc w:val="both"/>
        <w:rPr>
          <w:rFonts w:ascii="Arial" w:eastAsia="仿宋_GB2312;仿宋" w:hAnsi="Arial" w:cs="Arial"/>
          <w:b/>
          <w:sz w:val="28"/>
        </w:rPr>
      </w:pPr>
    </w:p>
    <w:p w14:paraId="1040F073" w14:textId="77777777" w:rsidR="00E70101" w:rsidRDefault="0060680B">
      <w:pPr>
        <w:spacing w:line="360" w:lineRule="auto"/>
        <w:ind w:firstLine="560"/>
        <w:jc w:val="both"/>
      </w:pPr>
      <w:r>
        <w:rPr>
          <w:rFonts w:ascii="Arial" w:eastAsia="仿宋_GB2312;仿宋" w:hAnsi="Arial" w:cs="Arial"/>
          <w:sz w:val="28"/>
        </w:rPr>
        <w:t>1.</w:t>
      </w:r>
      <w:r>
        <w:rPr>
          <w:rFonts w:ascii="Arial" w:eastAsia="仿宋_GB2312;仿宋" w:hAnsi="Arial" w:cs="Arial"/>
          <w:sz w:val="28"/>
        </w:rPr>
        <w:t>咨询对象所在位置示意图</w:t>
      </w:r>
    </w:p>
    <w:p w14:paraId="265530B7" w14:textId="77777777" w:rsidR="00E70101" w:rsidRDefault="0060680B">
      <w:pPr>
        <w:spacing w:line="360" w:lineRule="auto"/>
        <w:ind w:firstLine="560"/>
        <w:jc w:val="both"/>
      </w:pPr>
      <w:r>
        <w:rPr>
          <w:rFonts w:ascii="Arial" w:eastAsia="仿宋_GB2312;仿宋" w:hAnsi="Arial" w:cs="Arial"/>
          <w:sz w:val="28"/>
        </w:rPr>
        <w:t>2.</w:t>
      </w:r>
      <w:r>
        <w:rPr>
          <w:rFonts w:ascii="Arial" w:eastAsia="仿宋_GB2312;仿宋" w:hAnsi="Arial" w:cs="Arial"/>
          <w:sz w:val="28"/>
        </w:rPr>
        <w:t>受托单位《营业执照（副本）》复印件</w:t>
      </w:r>
    </w:p>
    <w:p w14:paraId="2D3A9427" w14:textId="77777777" w:rsidR="00E70101" w:rsidRDefault="0060680B">
      <w:pPr>
        <w:spacing w:line="360" w:lineRule="auto"/>
        <w:ind w:firstLine="560"/>
        <w:jc w:val="both"/>
      </w:pPr>
      <w:r>
        <w:rPr>
          <w:rFonts w:ascii="Arial" w:eastAsia="仿宋_GB2312;仿宋" w:hAnsi="Arial" w:cs="Arial"/>
          <w:sz w:val="28"/>
        </w:rPr>
        <w:t>3.</w:t>
      </w:r>
      <w:r>
        <w:rPr>
          <w:rFonts w:ascii="Arial" w:eastAsia="仿宋_GB2312;仿宋" w:hAnsi="Arial" w:cs="Arial"/>
          <w:sz w:val="28"/>
        </w:rPr>
        <w:t>受托单位评估资质复印件</w:t>
      </w:r>
    </w:p>
    <w:p w14:paraId="3B52746F" w14:textId="77777777" w:rsidR="00E70101" w:rsidRDefault="0060680B">
      <w:pPr>
        <w:spacing w:line="360" w:lineRule="auto"/>
        <w:ind w:firstLine="560"/>
        <w:jc w:val="both"/>
        <w:sectPr w:rsidR="00E70101">
          <w:headerReference w:type="default" r:id="rId39"/>
          <w:footerReference w:type="default" r:id="rId40"/>
          <w:headerReference w:type="first" r:id="rId41"/>
          <w:footerReference w:type="first" r:id="rId42"/>
          <w:pgSz w:w="11906" w:h="16838"/>
          <w:pgMar w:top="1843" w:right="1134" w:bottom="1134" w:left="1474" w:header="1134" w:footer="907" w:gutter="0"/>
          <w:cols w:space="720"/>
          <w:formProt w:val="0"/>
          <w:titlePg/>
          <w:docGrid w:linePitch="326"/>
        </w:sectPr>
      </w:pPr>
      <w:r>
        <w:rPr>
          <w:rFonts w:ascii="Arial" w:eastAsia="楷体_GB2312;楷体" w:hAnsi="Arial" w:cs="Arial"/>
          <w:sz w:val="28"/>
        </w:rPr>
        <w:t>4.</w:t>
      </w:r>
      <w:r>
        <w:rPr>
          <w:rFonts w:ascii="Arial" w:eastAsia="仿宋_GB2312;仿宋" w:hAnsi="Arial" w:cs="Arial"/>
          <w:sz w:val="28"/>
        </w:rPr>
        <w:t>评估专业人员资质证书复印件</w:t>
      </w:r>
    </w:p>
    <w:p w14:paraId="65499F1D" w14:textId="77777777" w:rsidR="00E70101" w:rsidRDefault="00E70101">
      <w:pPr>
        <w:spacing w:line="432" w:lineRule="auto"/>
        <w:ind w:left="840" w:hanging="840"/>
        <w:jc w:val="both"/>
        <w:rPr>
          <w:rFonts w:ascii="Arial" w:eastAsia="仿宋_GB2312;仿宋" w:hAnsi="Arial" w:cs="Arial"/>
          <w:sz w:val="28"/>
        </w:rPr>
      </w:pPr>
    </w:p>
    <w:p w14:paraId="5469FEBD" w14:textId="77777777" w:rsidR="00E70101" w:rsidRDefault="00E70101">
      <w:pPr>
        <w:spacing w:line="432" w:lineRule="auto"/>
        <w:ind w:left="840" w:hanging="840"/>
        <w:jc w:val="both"/>
        <w:rPr>
          <w:rFonts w:ascii="Arial" w:eastAsia="仿宋_GB2312;仿宋" w:hAnsi="Arial" w:cs="Arial"/>
          <w:sz w:val="28"/>
        </w:rPr>
      </w:pPr>
    </w:p>
    <w:p w14:paraId="015E8563" w14:textId="77777777" w:rsidR="00E70101" w:rsidRDefault="0060680B">
      <w:pPr>
        <w:spacing w:line="432" w:lineRule="auto"/>
        <w:jc w:val="center"/>
        <w:rPr>
          <w:rFonts w:ascii="Arial" w:hAnsi="Arial" w:cs="Arial"/>
          <w:sz w:val="44"/>
        </w:rPr>
      </w:pPr>
      <w:r>
        <w:rPr>
          <w:rFonts w:ascii="Arial" w:hAnsi="Arial" w:cs="Arial"/>
          <w:b/>
          <w:sz w:val="44"/>
        </w:rPr>
        <w:t>土</w:t>
      </w:r>
      <w:r>
        <w:rPr>
          <w:rFonts w:ascii="Arial" w:eastAsia="Arial" w:hAnsi="Arial" w:cs="Arial"/>
          <w:b/>
          <w:sz w:val="44"/>
        </w:rPr>
        <w:t xml:space="preserve"> </w:t>
      </w:r>
      <w:r>
        <w:rPr>
          <w:rFonts w:ascii="Arial" w:hAnsi="Arial" w:cs="Arial"/>
          <w:b/>
          <w:sz w:val="44"/>
        </w:rPr>
        <w:t>地</w:t>
      </w:r>
      <w:r>
        <w:rPr>
          <w:rFonts w:ascii="Arial" w:eastAsia="Arial" w:hAnsi="Arial" w:cs="Arial"/>
          <w:b/>
          <w:sz w:val="44"/>
        </w:rPr>
        <w:t xml:space="preserve"> </w:t>
      </w:r>
      <w:r>
        <w:rPr>
          <w:rFonts w:ascii="Arial" w:hAnsi="Arial" w:cs="Arial"/>
          <w:b/>
          <w:sz w:val="44"/>
        </w:rPr>
        <w:t>估</w:t>
      </w:r>
      <w:r>
        <w:rPr>
          <w:rFonts w:ascii="Arial" w:eastAsia="Arial" w:hAnsi="Arial" w:cs="Arial"/>
          <w:b/>
          <w:sz w:val="44"/>
        </w:rPr>
        <w:t xml:space="preserve"> </w:t>
      </w:r>
      <w:r>
        <w:rPr>
          <w:rFonts w:ascii="Arial" w:hAnsi="Arial" w:cs="Arial"/>
          <w:b/>
          <w:sz w:val="44"/>
        </w:rPr>
        <w:t>价</w:t>
      </w:r>
      <w:r>
        <w:rPr>
          <w:rFonts w:ascii="Arial" w:eastAsia="Arial" w:hAnsi="Arial" w:cs="Arial"/>
          <w:b/>
          <w:sz w:val="44"/>
        </w:rPr>
        <w:t xml:space="preserve"> </w:t>
      </w:r>
      <w:r>
        <w:rPr>
          <w:rFonts w:ascii="Arial" w:hAnsi="Arial" w:cs="Arial"/>
          <w:b/>
          <w:sz w:val="44"/>
        </w:rPr>
        <w:t>技</w:t>
      </w:r>
      <w:r>
        <w:rPr>
          <w:rFonts w:ascii="Arial" w:eastAsia="Arial" w:hAnsi="Arial" w:cs="Arial"/>
          <w:b/>
          <w:sz w:val="44"/>
        </w:rPr>
        <w:t xml:space="preserve"> </w:t>
      </w:r>
      <w:r>
        <w:rPr>
          <w:rFonts w:ascii="Arial" w:hAnsi="Arial" w:cs="Arial"/>
          <w:b/>
          <w:sz w:val="44"/>
        </w:rPr>
        <w:t>术</w:t>
      </w:r>
      <w:r>
        <w:rPr>
          <w:rFonts w:ascii="Arial" w:eastAsia="Arial" w:hAnsi="Arial" w:cs="Arial"/>
          <w:b/>
          <w:sz w:val="44"/>
        </w:rPr>
        <w:t xml:space="preserve"> </w:t>
      </w:r>
      <w:r>
        <w:rPr>
          <w:rFonts w:ascii="Arial" w:hAnsi="Arial" w:cs="Arial"/>
          <w:b/>
          <w:sz w:val="44"/>
        </w:rPr>
        <w:t>报</w:t>
      </w:r>
      <w:r>
        <w:rPr>
          <w:rFonts w:ascii="Arial" w:eastAsia="Arial" w:hAnsi="Arial" w:cs="Arial"/>
          <w:b/>
          <w:sz w:val="44"/>
        </w:rPr>
        <w:t xml:space="preserve"> </w:t>
      </w:r>
      <w:r>
        <w:rPr>
          <w:rFonts w:ascii="Arial" w:hAnsi="Arial" w:cs="Arial"/>
          <w:b/>
          <w:sz w:val="44"/>
        </w:rPr>
        <w:t>告</w:t>
      </w:r>
    </w:p>
    <w:p w14:paraId="222FC995" w14:textId="77777777" w:rsidR="00E70101" w:rsidRDefault="00E70101">
      <w:pPr>
        <w:spacing w:line="360" w:lineRule="auto"/>
        <w:jc w:val="center"/>
        <w:rPr>
          <w:rFonts w:ascii="Arial" w:eastAsia="昆仑仿宋;黑体" w:hAnsi="Arial" w:cs="Arial"/>
          <w:sz w:val="44"/>
        </w:rPr>
      </w:pPr>
    </w:p>
    <w:p w14:paraId="1E552FD3" w14:textId="77777777" w:rsidR="00E70101" w:rsidRDefault="00E70101">
      <w:pPr>
        <w:spacing w:line="360" w:lineRule="auto"/>
        <w:jc w:val="center"/>
        <w:rPr>
          <w:rFonts w:ascii="Arial" w:eastAsia="楷体_GB2312;楷体" w:hAnsi="Arial" w:cs="Arial"/>
          <w:bCs/>
          <w:sz w:val="32"/>
        </w:rPr>
      </w:pPr>
    </w:p>
    <w:p w14:paraId="451876B3" w14:textId="77777777" w:rsidR="00E70101" w:rsidRDefault="0060680B">
      <w:pPr>
        <w:spacing w:line="360" w:lineRule="auto"/>
        <w:ind w:left="2201" w:hanging="2201"/>
        <w:jc w:val="both"/>
        <w:rPr>
          <w:rFonts w:ascii="Arial" w:eastAsia="楷体_GB2312;楷体" w:hAnsi="Arial" w:cs="Arial"/>
          <w:b/>
          <w:i/>
          <w:sz w:val="28"/>
          <w:szCs w:val="28"/>
        </w:rPr>
      </w:pPr>
      <w:r>
        <w:rPr>
          <w:rFonts w:ascii="Arial" w:eastAsia="楷体_GB2312;楷体" w:hAnsi="Arial" w:cs="Arial"/>
          <w:b/>
          <w:sz w:val="32"/>
        </w:rPr>
        <w:t>项</w:t>
      </w:r>
      <w:r>
        <w:rPr>
          <w:rFonts w:ascii="Arial" w:eastAsia="Arial" w:hAnsi="Arial" w:cs="Arial"/>
          <w:b/>
          <w:sz w:val="32"/>
        </w:rPr>
        <w:t xml:space="preserve">  </w:t>
      </w:r>
      <w:r>
        <w:rPr>
          <w:rFonts w:ascii="Arial" w:eastAsia="楷体_GB2312;楷体" w:hAnsi="Arial" w:cs="Arial"/>
          <w:b/>
          <w:sz w:val="32"/>
        </w:rPr>
        <w:t>目</w:t>
      </w:r>
      <w:r>
        <w:rPr>
          <w:rFonts w:ascii="Arial" w:eastAsia="Arial" w:hAnsi="Arial" w:cs="Arial"/>
          <w:b/>
          <w:sz w:val="32"/>
        </w:rPr>
        <w:t xml:space="preserve"> </w:t>
      </w:r>
      <w:r>
        <w:rPr>
          <w:rFonts w:ascii="Arial" w:eastAsia="楷体_GB2312;楷体" w:hAnsi="Arial" w:cs="Arial"/>
          <w:b/>
          <w:sz w:val="32"/>
        </w:rPr>
        <w:t>名</w:t>
      </w:r>
      <w:r>
        <w:rPr>
          <w:rFonts w:ascii="Arial" w:eastAsia="Arial" w:hAnsi="Arial" w:cs="Arial"/>
          <w:b/>
          <w:sz w:val="32"/>
        </w:rPr>
        <w:t xml:space="preserve"> </w:t>
      </w:r>
      <w:r>
        <w:rPr>
          <w:rFonts w:ascii="Arial" w:eastAsia="楷体_GB2312;楷体" w:hAnsi="Arial" w:cs="Arial"/>
          <w:b/>
          <w:sz w:val="32"/>
        </w:rPr>
        <w:t>称：北京市昌平区北七家镇八仙庄村仓储用地划拨国有建设用地使用权收购补偿价格咨询</w:t>
      </w:r>
    </w:p>
    <w:p w14:paraId="568E8655" w14:textId="77777777" w:rsidR="00E70101" w:rsidRDefault="00E70101">
      <w:pPr>
        <w:spacing w:line="360" w:lineRule="auto"/>
        <w:ind w:left="1925" w:hanging="1925"/>
        <w:jc w:val="both"/>
        <w:rPr>
          <w:rFonts w:ascii="Arial" w:eastAsia="楷体_GB2312;楷体" w:hAnsi="Arial" w:cs="Arial"/>
          <w:b/>
          <w:i/>
          <w:sz w:val="28"/>
          <w:szCs w:val="28"/>
        </w:rPr>
      </w:pPr>
    </w:p>
    <w:p w14:paraId="34C4502F" w14:textId="77777777" w:rsidR="00E70101" w:rsidRDefault="0060680B">
      <w:pPr>
        <w:spacing w:line="360" w:lineRule="auto"/>
        <w:rPr>
          <w:rFonts w:ascii="Arial" w:eastAsia="楷体_GB2312;楷体" w:hAnsi="Arial" w:cs="Arial"/>
          <w:b/>
          <w:bCs/>
          <w:sz w:val="32"/>
        </w:rPr>
      </w:pPr>
      <w:r>
        <w:rPr>
          <w:rFonts w:ascii="Arial" w:eastAsia="楷体_GB2312;楷体" w:hAnsi="Arial" w:cs="Arial"/>
          <w:b/>
          <w:sz w:val="32"/>
        </w:rPr>
        <w:t>受</w:t>
      </w:r>
      <w:r>
        <w:rPr>
          <w:rFonts w:ascii="Arial" w:eastAsia="Arial" w:hAnsi="Arial" w:cs="Arial"/>
          <w:b/>
          <w:sz w:val="32"/>
        </w:rPr>
        <w:t xml:space="preserve"> </w:t>
      </w:r>
      <w:r>
        <w:rPr>
          <w:rFonts w:ascii="Arial" w:eastAsia="楷体_GB2312;楷体" w:hAnsi="Arial" w:cs="Arial"/>
          <w:b/>
          <w:sz w:val="32"/>
        </w:rPr>
        <w:t>托</w:t>
      </w:r>
      <w:r>
        <w:rPr>
          <w:rFonts w:ascii="Arial" w:eastAsia="Arial" w:hAnsi="Arial" w:cs="Arial"/>
          <w:b/>
          <w:sz w:val="32"/>
        </w:rPr>
        <w:t xml:space="preserve"> </w:t>
      </w:r>
      <w:r>
        <w:rPr>
          <w:rFonts w:ascii="Arial" w:eastAsia="楷体_GB2312;楷体" w:hAnsi="Arial" w:cs="Arial"/>
          <w:b/>
          <w:sz w:val="32"/>
        </w:rPr>
        <w:t>单</w:t>
      </w:r>
      <w:r>
        <w:rPr>
          <w:rFonts w:ascii="Arial" w:eastAsia="Arial" w:hAnsi="Arial" w:cs="Arial"/>
          <w:b/>
          <w:sz w:val="32"/>
        </w:rPr>
        <w:t xml:space="preserve"> </w:t>
      </w:r>
      <w:r>
        <w:rPr>
          <w:rFonts w:ascii="Arial" w:eastAsia="楷体_GB2312;楷体" w:hAnsi="Arial" w:cs="Arial"/>
          <w:b/>
          <w:sz w:val="32"/>
        </w:rPr>
        <w:t>位：北京康正宏基房地产评估有限公司</w:t>
      </w:r>
    </w:p>
    <w:p w14:paraId="6A44E4BA" w14:textId="77777777" w:rsidR="00E70101" w:rsidRDefault="00E70101">
      <w:pPr>
        <w:spacing w:line="360" w:lineRule="auto"/>
        <w:ind w:right="-327"/>
        <w:rPr>
          <w:rFonts w:ascii="Arial" w:eastAsia="楷体_GB2312;楷体" w:hAnsi="Arial" w:cs="Arial"/>
          <w:b/>
          <w:bCs/>
          <w:sz w:val="32"/>
        </w:rPr>
      </w:pPr>
    </w:p>
    <w:p w14:paraId="7007A29D" w14:textId="77777777" w:rsidR="00E70101" w:rsidRDefault="0060680B">
      <w:pPr>
        <w:spacing w:line="360" w:lineRule="auto"/>
        <w:ind w:right="-327"/>
        <w:rPr>
          <w:rFonts w:ascii="Arial" w:eastAsia="楷体_GB2312;楷体" w:hAnsi="Arial" w:cs="Arial"/>
          <w:b/>
          <w:bCs/>
          <w:sz w:val="32"/>
        </w:rPr>
      </w:pPr>
      <w:r>
        <w:rPr>
          <w:rFonts w:ascii="Arial" w:eastAsia="楷体_GB2312;楷体" w:hAnsi="Arial" w:cs="Arial"/>
          <w:b/>
          <w:sz w:val="32"/>
        </w:rPr>
        <w:t>报</w:t>
      </w:r>
      <w:r>
        <w:rPr>
          <w:rFonts w:ascii="Arial" w:eastAsia="Arial" w:hAnsi="Arial" w:cs="Arial"/>
          <w:b/>
          <w:sz w:val="32"/>
        </w:rPr>
        <w:t xml:space="preserve"> </w:t>
      </w:r>
      <w:r>
        <w:rPr>
          <w:rFonts w:ascii="Arial" w:eastAsia="楷体_GB2312;楷体" w:hAnsi="Arial" w:cs="Arial"/>
          <w:b/>
          <w:sz w:val="32"/>
        </w:rPr>
        <w:t>告</w:t>
      </w:r>
      <w:r>
        <w:rPr>
          <w:rFonts w:ascii="Arial" w:eastAsia="Arial" w:hAnsi="Arial" w:cs="Arial"/>
          <w:b/>
          <w:sz w:val="32"/>
        </w:rPr>
        <w:t xml:space="preserve"> </w:t>
      </w:r>
      <w:r>
        <w:rPr>
          <w:rFonts w:ascii="Arial" w:eastAsia="楷体_GB2312;楷体" w:hAnsi="Arial" w:cs="Arial"/>
          <w:b/>
          <w:sz w:val="32"/>
        </w:rPr>
        <w:t>编</w:t>
      </w:r>
      <w:r>
        <w:rPr>
          <w:rFonts w:ascii="Arial" w:eastAsia="Arial" w:hAnsi="Arial" w:cs="Arial"/>
          <w:b/>
          <w:sz w:val="32"/>
        </w:rPr>
        <w:t xml:space="preserve"> </w:t>
      </w:r>
      <w:r>
        <w:rPr>
          <w:rFonts w:ascii="Arial" w:eastAsia="楷体_GB2312;楷体" w:hAnsi="Arial" w:cs="Arial"/>
          <w:b/>
          <w:sz w:val="32"/>
        </w:rPr>
        <w:t>号：康正评字</w:t>
      </w:r>
      <w:r>
        <w:rPr>
          <w:rFonts w:ascii="Arial" w:eastAsia="楷体_GB2312;楷体" w:hAnsi="Arial" w:cs="Arial"/>
          <w:b/>
          <w:sz w:val="32"/>
        </w:rPr>
        <w:t>2024-1-0271-F01SGCB6</w:t>
      </w:r>
      <w:r>
        <w:rPr>
          <w:rFonts w:ascii="Arial" w:eastAsia="楷体_GB2312;楷体" w:hAnsi="Arial" w:cs="Arial"/>
          <w:b/>
          <w:sz w:val="32"/>
        </w:rPr>
        <w:t>号</w:t>
      </w:r>
    </w:p>
    <w:p w14:paraId="6FF64237" w14:textId="77777777" w:rsidR="00E70101" w:rsidRDefault="00E70101">
      <w:pPr>
        <w:spacing w:line="360" w:lineRule="auto"/>
        <w:ind w:right="-207"/>
        <w:rPr>
          <w:rFonts w:ascii="Arial" w:eastAsia="楷体_GB2312;楷体" w:hAnsi="Arial" w:cs="Arial"/>
          <w:b/>
          <w:bCs/>
          <w:spacing w:val="-10"/>
          <w:sz w:val="32"/>
        </w:rPr>
      </w:pPr>
    </w:p>
    <w:p w14:paraId="55572872" w14:textId="77777777" w:rsidR="00E70101" w:rsidRDefault="0060680B">
      <w:pPr>
        <w:spacing w:line="360" w:lineRule="auto"/>
        <w:ind w:right="-207"/>
        <w:rPr>
          <w:rFonts w:ascii="Arial" w:eastAsia="楷体_GB2312;楷体" w:hAnsi="Arial" w:cs="Arial"/>
          <w:b/>
          <w:bCs/>
          <w:spacing w:val="-10"/>
          <w:sz w:val="32"/>
        </w:rPr>
      </w:pPr>
      <w:r>
        <w:rPr>
          <w:rFonts w:ascii="Arial" w:eastAsia="楷体_GB2312;楷体" w:hAnsi="Arial" w:cs="Arial"/>
          <w:b/>
          <w:bCs/>
          <w:spacing w:val="-10"/>
          <w:sz w:val="32"/>
        </w:rPr>
        <w:t>技术报告编号：</w:t>
      </w:r>
      <w:r>
        <w:rPr>
          <w:rFonts w:ascii="Arial" w:eastAsia="楷体_GB2312;楷体" w:hAnsi="Arial" w:cs="Arial"/>
          <w:b/>
          <w:bCs/>
          <w:sz w:val="32"/>
        </w:rPr>
        <w:t>康正技评字</w:t>
      </w:r>
      <w:r>
        <w:rPr>
          <w:rFonts w:ascii="Arial" w:eastAsia="楷体_GB2312;楷体" w:hAnsi="Arial" w:cs="Arial"/>
          <w:b/>
          <w:sz w:val="32"/>
        </w:rPr>
        <w:t>2024-1-0271-F01SGCB6</w:t>
      </w:r>
      <w:r>
        <w:rPr>
          <w:rFonts w:ascii="Arial" w:eastAsia="楷体_GB2312;楷体" w:hAnsi="Arial" w:cs="Arial"/>
          <w:b/>
          <w:bCs/>
          <w:sz w:val="32"/>
        </w:rPr>
        <w:t>号</w:t>
      </w:r>
    </w:p>
    <w:p w14:paraId="0BB78FFC" w14:textId="77777777" w:rsidR="00E70101" w:rsidRDefault="00E70101">
      <w:pPr>
        <w:spacing w:line="360" w:lineRule="auto"/>
        <w:rPr>
          <w:rFonts w:ascii="Arial" w:eastAsia="楷体_GB2312;楷体" w:hAnsi="Arial" w:cs="Arial"/>
          <w:b/>
          <w:bCs/>
          <w:spacing w:val="-10"/>
          <w:sz w:val="32"/>
        </w:rPr>
      </w:pPr>
    </w:p>
    <w:p w14:paraId="1C1B5F9C" w14:textId="77777777" w:rsidR="00E70101" w:rsidRDefault="0060680B">
      <w:pPr>
        <w:spacing w:line="360" w:lineRule="auto"/>
        <w:rPr>
          <w:rFonts w:ascii="Arial" w:eastAsia="楷体_GB2312;楷体" w:hAnsi="Arial" w:cs="Arial"/>
          <w:b/>
          <w:bCs/>
          <w:spacing w:val="-20"/>
          <w:sz w:val="32"/>
        </w:rPr>
      </w:pPr>
      <w:r>
        <w:rPr>
          <w:rFonts w:ascii="Arial" w:eastAsia="楷体_GB2312;楷体" w:hAnsi="Arial" w:cs="Arial"/>
          <w:b/>
          <w:bCs/>
          <w:sz w:val="32"/>
        </w:rPr>
        <w:t>提交报告日期：</w:t>
      </w:r>
      <w:r>
        <w:rPr>
          <w:rFonts w:ascii="Arial" w:eastAsia="楷体_GB2312;楷体" w:hAnsi="Arial" w:cs="Arial"/>
          <w:b/>
          <w:sz w:val="32"/>
        </w:rPr>
        <w:t>2024</w:t>
      </w:r>
      <w:r>
        <w:rPr>
          <w:rFonts w:ascii="Arial" w:eastAsia="楷体_GB2312;楷体" w:hAnsi="Arial" w:cs="Arial"/>
          <w:b/>
          <w:sz w:val="32"/>
        </w:rPr>
        <w:t>年</w:t>
      </w:r>
      <w:r>
        <w:rPr>
          <w:rFonts w:ascii="Arial" w:eastAsia="楷体_GB2312;楷体" w:hAnsi="Arial" w:cs="Arial"/>
          <w:b/>
          <w:sz w:val="32"/>
        </w:rPr>
        <w:t>4</w:t>
      </w:r>
      <w:r>
        <w:rPr>
          <w:rFonts w:ascii="Arial" w:eastAsia="楷体_GB2312;楷体" w:hAnsi="Arial" w:cs="Arial"/>
          <w:b/>
          <w:sz w:val="32"/>
        </w:rPr>
        <w:t>月</w:t>
      </w:r>
      <w:r>
        <w:rPr>
          <w:rFonts w:ascii="Arial" w:eastAsia="楷体_GB2312;楷体" w:hAnsi="Arial" w:cs="Arial"/>
          <w:b/>
          <w:sz w:val="32"/>
        </w:rPr>
        <w:t>2</w:t>
      </w:r>
      <w:r>
        <w:rPr>
          <w:rFonts w:ascii="Arial" w:eastAsia="楷体_GB2312;楷体" w:hAnsi="Arial" w:cs="Arial"/>
          <w:b/>
          <w:sz w:val="32"/>
        </w:rPr>
        <w:t>日</w:t>
      </w:r>
    </w:p>
    <w:p w14:paraId="612FABD3" w14:textId="77777777" w:rsidR="00E70101" w:rsidRDefault="00E70101">
      <w:pPr>
        <w:spacing w:line="360" w:lineRule="auto"/>
        <w:rPr>
          <w:rFonts w:ascii="Arial" w:eastAsia="楷体_GB2312;楷体" w:hAnsi="Arial" w:cs="Arial"/>
          <w:b/>
          <w:bCs/>
          <w:spacing w:val="-20"/>
          <w:sz w:val="32"/>
        </w:rPr>
      </w:pPr>
    </w:p>
    <w:p w14:paraId="7CDFBAC7" w14:textId="77777777" w:rsidR="00E70101" w:rsidRDefault="0060680B">
      <w:pPr>
        <w:spacing w:line="360" w:lineRule="auto"/>
        <w:rPr>
          <w:rFonts w:ascii="Arial" w:eastAsia="楷体_GB2312;楷体" w:hAnsi="Arial" w:cs="Arial"/>
          <w:b/>
          <w:bCs/>
          <w:sz w:val="32"/>
        </w:rPr>
      </w:pPr>
      <w:r>
        <w:rPr>
          <w:rFonts w:ascii="Arial" w:eastAsia="楷体_GB2312;楷体" w:hAnsi="Arial" w:cs="Arial"/>
          <w:b/>
          <w:bCs/>
          <w:sz w:val="32"/>
        </w:rPr>
        <w:t>关键词：北京市、昌平区</w:t>
      </w:r>
    </w:p>
    <w:p w14:paraId="2E0D7189" w14:textId="77777777" w:rsidR="00E70101" w:rsidRDefault="0060680B">
      <w:pPr>
        <w:spacing w:line="360" w:lineRule="auto"/>
        <w:ind w:firstLine="1285"/>
        <w:rPr>
          <w:rFonts w:ascii="Arial" w:eastAsia="楷体_GB2312;楷体" w:hAnsi="Arial" w:cs="Arial"/>
          <w:b/>
          <w:bCs/>
          <w:sz w:val="32"/>
        </w:rPr>
      </w:pPr>
      <w:r>
        <w:rPr>
          <w:rFonts w:ascii="Arial" w:eastAsia="楷体_GB2312;楷体" w:hAnsi="Arial" w:cs="Arial"/>
          <w:b/>
          <w:bCs/>
          <w:sz w:val="32"/>
        </w:rPr>
        <w:t>收购补偿</w:t>
      </w:r>
    </w:p>
    <w:p w14:paraId="54C95761" w14:textId="77777777" w:rsidR="00E70101" w:rsidRDefault="0060680B">
      <w:pPr>
        <w:spacing w:line="360" w:lineRule="auto"/>
        <w:ind w:firstLine="1285"/>
        <w:rPr>
          <w:rFonts w:ascii="Arial" w:eastAsia="楷体_GB2312;楷体" w:hAnsi="Arial" w:cs="Arial"/>
          <w:b/>
          <w:bCs/>
          <w:sz w:val="32"/>
        </w:rPr>
        <w:sectPr w:rsidR="00E70101">
          <w:headerReference w:type="default" r:id="rId43"/>
          <w:footerReference w:type="default" r:id="rId44"/>
          <w:headerReference w:type="first" r:id="rId45"/>
          <w:footerReference w:type="first" r:id="rId46"/>
          <w:pgSz w:w="11906" w:h="16838"/>
          <w:pgMar w:top="1843" w:right="1134" w:bottom="1190" w:left="1474" w:header="851" w:footer="1134" w:gutter="0"/>
          <w:pgNumType w:start="0"/>
          <w:cols w:space="720"/>
          <w:formProt w:val="0"/>
          <w:titlePg/>
          <w:docGrid w:linePitch="326"/>
        </w:sectPr>
      </w:pPr>
      <w:r>
        <w:rPr>
          <w:rFonts w:ascii="Arial" w:eastAsia="楷体_GB2312;楷体" w:hAnsi="Arial" w:cs="Arial"/>
          <w:b/>
          <w:bCs/>
          <w:sz w:val="32"/>
        </w:rPr>
        <w:t>咨询</w:t>
      </w:r>
    </w:p>
    <w:p w14:paraId="4B2A106F" w14:textId="77777777" w:rsidR="00E70101" w:rsidRDefault="0060680B">
      <w:pPr>
        <w:pStyle w:val="11"/>
        <w:rPr>
          <w:rStyle w:val="Internet"/>
          <w:rFonts w:ascii="Arial" w:hAnsi="Arial"/>
          <w:color w:val="000000"/>
          <w:sz w:val="24"/>
          <w:szCs w:val="24"/>
        </w:rPr>
      </w:pPr>
      <w:r>
        <w:rPr>
          <w:rFonts w:ascii="Arial" w:hAnsi="Arial"/>
          <w:b/>
          <w:sz w:val="32"/>
          <w:szCs w:val="32"/>
        </w:rPr>
        <w:t>目录</w:t>
      </w:r>
    </w:p>
    <w:sdt>
      <w:sdtPr>
        <w:id w:val="254945717"/>
        <w:docPartObj>
          <w:docPartGallery w:val="Table of Contents"/>
          <w:docPartUnique/>
        </w:docPartObj>
      </w:sdtPr>
      <w:sdtEndPr/>
      <w:sdtContent>
        <w:p w14:paraId="27C55741" w14:textId="77777777" w:rsidR="00E70101" w:rsidRDefault="0060680B">
          <w:pPr>
            <w:pStyle w:val="11"/>
            <w:rPr>
              <w:rStyle w:val="Internet"/>
              <w:rFonts w:ascii="Arial" w:eastAsia="宋体;SimSun" w:hAnsi="Arial"/>
              <w:color w:val="000000"/>
              <w:kern w:val="2"/>
              <w:sz w:val="21"/>
              <w:szCs w:val="22"/>
            </w:rPr>
          </w:pPr>
          <w:r>
            <w:fldChar w:fldCharType="begin"/>
          </w:r>
          <w:r>
            <w:instrText>TOC \o "1-2" \h \z \u</w:instrText>
          </w:r>
          <w:r>
            <w:fldChar w:fldCharType="separate"/>
          </w:r>
        </w:p>
        <w:p w14:paraId="58B125CA" w14:textId="77777777" w:rsidR="00E70101" w:rsidRDefault="00E25FDE">
          <w:pPr>
            <w:pStyle w:val="11"/>
            <w:rPr>
              <w:rFonts w:ascii="Arial" w:eastAsia="宋体;SimSun" w:hAnsi="Arial"/>
              <w:kern w:val="2"/>
              <w:sz w:val="21"/>
              <w:szCs w:val="22"/>
            </w:rPr>
          </w:pPr>
          <w:hyperlink w:anchor="__RefHeading___Toc530042239">
            <w:r w:rsidR="0060680B">
              <w:rPr>
                <w:rFonts w:ascii="Arial" w:hAnsi="Arial"/>
                <w:b/>
              </w:rPr>
              <w:t>第一部分</w:t>
            </w:r>
            <w:r w:rsidR="0060680B">
              <w:rPr>
                <w:rFonts w:ascii="Arial" w:eastAsia="Arial" w:hAnsi="Arial"/>
                <w:b/>
              </w:rPr>
              <w:t xml:space="preserve">  </w:t>
            </w:r>
            <w:r w:rsidR="0060680B">
              <w:rPr>
                <w:rFonts w:ascii="Arial" w:hAnsi="Arial"/>
                <w:b/>
              </w:rPr>
              <w:t>总</w:t>
            </w:r>
            <w:r w:rsidR="0060680B">
              <w:rPr>
                <w:rFonts w:ascii="Arial" w:eastAsia="Arial" w:hAnsi="Arial"/>
                <w:b/>
              </w:rPr>
              <w:t xml:space="preserve">  </w:t>
            </w:r>
            <w:r w:rsidR="0060680B">
              <w:rPr>
                <w:rFonts w:ascii="Arial" w:hAnsi="Arial"/>
                <w:b/>
              </w:rPr>
              <w:t>述</w:t>
            </w:r>
            <w:r w:rsidR="0060680B">
              <w:rPr>
                <w:rFonts w:ascii="Arial" w:hAnsi="Arial"/>
              </w:rPr>
              <w:tab/>
              <w:t>1</w:t>
            </w:r>
          </w:hyperlink>
        </w:p>
        <w:p w14:paraId="1F0393AC" w14:textId="77777777" w:rsidR="00E70101" w:rsidRDefault="00E25FDE">
          <w:pPr>
            <w:pStyle w:val="26"/>
            <w:rPr>
              <w:rFonts w:ascii="Arial" w:hAnsi="Arial" w:cs="Arial"/>
              <w:kern w:val="2"/>
              <w:sz w:val="21"/>
              <w:szCs w:val="22"/>
              <w:lang w:val="zh-CN"/>
            </w:rPr>
          </w:pPr>
          <w:hyperlink w:anchor="__RefHeading___Toc530042240">
            <w:r w:rsidR="0060680B">
              <w:rPr>
                <w:rFonts w:ascii="Arial" w:eastAsia="仿宋_GB2312;仿宋" w:hAnsi="Arial" w:cs="Arial"/>
                <w:b/>
                <w:bCs/>
                <w:lang w:val="zh-CN"/>
              </w:rPr>
              <w:t>一、项目名称</w:t>
            </w:r>
            <w:r w:rsidR="0060680B">
              <w:rPr>
                <w:rFonts w:ascii="Arial" w:hAnsi="Arial" w:cs="Arial"/>
                <w:lang w:val="zh-CN"/>
              </w:rPr>
              <w:tab/>
              <w:t>1</w:t>
            </w:r>
          </w:hyperlink>
        </w:p>
        <w:p w14:paraId="6744E66E" w14:textId="77777777" w:rsidR="00E70101" w:rsidRDefault="00E25FDE">
          <w:pPr>
            <w:pStyle w:val="26"/>
            <w:rPr>
              <w:rFonts w:ascii="Arial" w:hAnsi="Arial" w:cs="Arial"/>
              <w:kern w:val="2"/>
              <w:sz w:val="21"/>
              <w:szCs w:val="22"/>
              <w:lang w:val="zh-CN"/>
            </w:rPr>
          </w:pPr>
          <w:hyperlink w:anchor="__RefHeading___Toc530042241">
            <w:r w:rsidR="0060680B">
              <w:rPr>
                <w:rFonts w:ascii="Arial" w:eastAsia="仿宋_GB2312;仿宋" w:hAnsi="Arial" w:cs="Arial"/>
                <w:b/>
                <w:bCs/>
                <w:lang w:val="zh-CN"/>
              </w:rPr>
              <w:t>二、委托方</w:t>
            </w:r>
            <w:r w:rsidR="0060680B">
              <w:rPr>
                <w:rFonts w:ascii="Arial" w:hAnsi="Arial" w:cs="Arial"/>
                <w:lang w:val="zh-CN"/>
              </w:rPr>
              <w:tab/>
              <w:t>1</w:t>
            </w:r>
          </w:hyperlink>
        </w:p>
        <w:p w14:paraId="5948E599" w14:textId="77777777" w:rsidR="00E70101" w:rsidRDefault="00E25FDE">
          <w:pPr>
            <w:pStyle w:val="26"/>
            <w:rPr>
              <w:rFonts w:ascii="Arial" w:hAnsi="Arial" w:cs="Arial"/>
              <w:kern w:val="2"/>
              <w:sz w:val="21"/>
              <w:szCs w:val="22"/>
              <w:lang w:val="zh-CN"/>
            </w:rPr>
          </w:pPr>
          <w:hyperlink w:anchor="__RefHeading___Toc530042242">
            <w:r w:rsidR="0060680B">
              <w:rPr>
                <w:rFonts w:ascii="Arial" w:eastAsia="仿宋_GB2312;仿宋" w:hAnsi="Arial" w:cs="Arial"/>
                <w:b/>
                <w:lang w:val="zh-CN"/>
              </w:rPr>
              <w:t>三、受托咨询方</w:t>
            </w:r>
            <w:r w:rsidR="0060680B">
              <w:rPr>
                <w:rFonts w:ascii="Arial" w:hAnsi="Arial" w:cs="Arial"/>
                <w:lang w:val="zh-CN"/>
              </w:rPr>
              <w:tab/>
              <w:t>1</w:t>
            </w:r>
          </w:hyperlink>
        </w:p>
        <w:p w14:paraId="5C9CFE0A" w14:textId="77777777" w:rsidR="00E70101" w:rsidRDefault="00E25FDE">
          <w:pPr>
            <w:pStyle w:val="26"/>
            <w:rPr>
              <w:rFonts w:ascii="Arial" w:hAnsi="Arial" w:cs="Arial"/>
              <w:kern w:val="2"/>
              <w:sz w:val="21"/>
              <w:szCs w:val="22"/>
              <w:lang w:val="zh-CN"/>
            </w:rPr>
          </w:pPr>
          <w:hyperlink w:anchor="__RefHeading___Toc530042243">
            <w:r w:rsidR="0060680B">
              <w:rPr>
                <w:rFonts w:ascii="Arial" w:eastAsia="仿宋_GB2312;仿宋" w:hAnsi="Arial" w:cs="Arial"/>
                <w:b/>
                <w:lang w:val="zh-CN"/>
              </w:rPr>
              <w:t>四、咨询目的</w:t>
            </w:r>
            <w:r w:rsidR="0060680B">
              <w:rPr>
                <w:rFonts w:ascii="Arial" w:hAnsi="Arial" w:cs="Arial"/>
                <w:lang w:val="zh-CN"/>
              </w:rPr>
              <w:tab/>
              <w:t>1</w:t>
            </w:r>
          </w:hyperlink>
        </w:p>
        <w:p w14:paraId="0DCAAF36" w14:textId="77777777" w:rsidR="00E70101" w:rsidRDefault="00E25FDE">
          <w:pPr>
            <w:pStyle w:val="26"/>
            <w:rPr>
              <w:rFonts w:ascii="Arial" w:hAnsi="Arial" w:cs="Arial"/>
              <w:kern w:val="2"/>
              <w:sz w:val="21"/>
              <w:szCs w:val="22"/>
              <w:lang w:val="zh-CN"/>
            </w:rPr>
          </w:pPr>
          <w:hyperlink w:anchor="__RefHeading___Toc530042244">
            <w:r w:rsidR="0060680B">
              <w:rPr>
                <w:rFonts w:ascii="Arial" w:eastAsia="仿宋_GB2312;仿宋" w:hAnsi="Arial" w:cs="Arial"/>
                <w:b/>
                <w:lang w:val="zh-CN"/>
              </w:rPr>
              <w:t>五、咨询依据</w:t>
            </w:r>
            <w:r w:rsidR="0060680B">
              <w:rPr>
                <w:rFonts w:ascii="Arial" w:hAnsi="Arial" w:cs="Arial"/>
                <w:lang w:val="zh-CN"/>
              </w:rPr>
              <w:tab/>
              <w:t>2</w:t>
            </w:r>
          </w:hyperlink>
        </w:p>
        <w:p w14:paraId="33B05B79" w14:textId="77777777" w:rsidR="00E70101" w:rsidRDefault="00E25FDE">
          <w:pPr>
            <w:pStyle w:val="26"/>
            <w:rPr>
              <w:rFonts w:ascii="Arial" w:hAnsi="Arial" w:cs="Arial"/>
              <w:kern w:val="2"/>
              <w:sz w:val="21"/>
              <w:szCs w:val="22"/>
              <w:lang w:val="zh-CN"/>
            </w:rPr>
          </w:pPr>
          <w:hyperlink w:anchor="__RefHeading___Toc530042245">
            <w:r w:rsidR="0060680B">
              <w:rPr>
                <w:rFonts w:ascii="Arial" w:eastAsia="仿宋_GB2312;仿宋" w:hAnsi="Arial" w:cs="Arial"/>
                <w:b/>
                <w:lang w:val="zh-CN"/>
              </w:rPr>
              <w:t>六、咨询期日</w:t>
            </w:r>
            <w:r w:rsidR="0060680B">
              <w:rPr>
                <w:rFonts w:ascii="Arial" w:hAnsi="Arial" w:cs="Arial"/>
                <w:lang w:val="zh-CN"/>
              </w:rPr>
              <w:tab/>
              <w:t>5</w:t>
            </w:r>
          </w:hyperlink>
        </w:p>
        <w:p w14:paraId="0FB1F4EC" w14:textId="77777777" w:rsidR="00E70101" w:rsidRDefault="00E25FDE">
          <w:pPr>
            <w:pStyle w:val="26"/>
            <w:rPr>
              <w:rFonts w:ascii="Arial" w:hAnsi="Arial" w:cs="Arial"/>
              <w:kern w:val="2"/>
              <w:sz w:val="21"/>
              <w:szCs w:val="22"/>
              <w:lang w:val="zh-CN"/>
            </w:rPr>
          </w:pPr>
          <w:hyperlink w:anchor="__RefHeading___Toc530042246">
            <w:r w:rsidR="0060680B">
              <w:rPr>
                <w:rFonts w:ascii="Arial" w:eastAsia="仿宋_GB2312;仿宋" w:hAnsi="Arial" w:cs="Arial"/>
                <w:b/>
                <w:bCs/>
                <w:lang w:val="zh-CN"/>
              </w:rPr>
              <w:t>七、咨询日期</w:t>
            </w:r>
            <w:r w:rsidR="0060680B">
              <w:rPr>
                <w:rFonts w:ascii="Arial" w:hAnsi="Arial" w:cs="Arial"/>
                <w:lang w:val="zh-CN"/>
              </w:rPr>
              <w:tab/>
              <w:t>5</w:t>
            </w:r>
          </w:hyperlink>
        </w:p>
        <w:p w14:paraId="390DAB8C" w14:textId="77777777" w:rsidR="00E70101" w:rsidRDefault="00E25FDE">
          <w:pPr>
            <w:pStyle w:val="26"/>
            <w:rPr>
              <w:rFonts w:ascii="Arial" w:hAnsi="Arial" w:cs="Arial"/>
              <w:kern w:val="2"/>
              <w:sz w:val="21"/>
              <w:szCs w:val="22"/>
              <w:lang w:val="zh-CN"/>
            </w:rPr>
          </w:pPr>
          <w:hyperlink w:anchor="__RefHeading___Toc530042247">
            <w:r w:rsidR="0060680B">
              <w:rPr>
                <w:rFonts w:ascii="Arial" w:eastAsia="仿宋_GB2312;仿宋" w:hAnsi="Arial" w:cs="Arial"/>
                <w:b/>
                <w:bCs/>
                <w:lang w:val="zh-CN"/>
              </w:rPr>
              <w:t>八、地价定义</w:t>
            </w:r>
            <w:r w:rsidR="0060680B">
              <w:rPr>
                <w:rFonts w:ascii="Arial" w:hAnsi="Arial" w:cs="Arial"/>
                <w:lang w:val="zh-CN"/>
              </w:rPr>
              <w:tab/>
              <w:t>5</w:t>
            </w:r>
          </w:hyperlink>
        </w:p>
        <w:p w14:paraId="5C7ADAF8" w14:textId="77777777" w:rsidR="00E70101" w:rsidRDefault="00E25FDE">
          <w:pPr>
            <w:pStyle w:val="26"/>
            <w:rPr>
              <w:rFonts w:ascii="Arial" w:hAnsi="Arial" w:cs="Arial"/>
              <w:kern w:val="2"/>
              <w:sz w:val="21"/>
              <w:szCs w:val="22"/>
              <w:lang w:val="zh-CN"/>
            </w:rPr>
          </w:pPr>
          <w:hyperlink w:anchor="__RefHeading___Toc530042248">
            <w:r w:rsidR="0060680B">
              <w:rPr>
                <w:rFonts w:ascii="Arial" w:eastAsia="仿宋_GB2312;仿宋" w:hAnsi="Arial" w:cs="Arial"/>
                <w:b/>
                <w:lang w:val="zh-CN"/>
              </w:rPr>
              <w:t>九、咨询结果</w:t>
            </w:r>
            <w:r w:rsidR="0060680B">
              <w:rPr>
                <w:rFonts w:ascii="Arial" w:hAnsi="Arial" w:cs="Arial"/>
                <w:lang w:val="zh-CN"/>
              </w:rPr>
              <w:tab/>
              <w:t>10</w:t>
            </w:r>
          </w:hyperlink>
        </w:p>
        <w:p w14:paraId="702F5660" w14:textId="77777777" w:rsidR="00E70101" w:rsidRDefault="00E25FDE">
          <w:pPr>
            <w:pStyle w:val="26"/>
            <w:rPr>
              <w:rFonts w:ascii="Arial" w:hAnsi="Arial" w:cs="Arial"/>
              <w:kern w:val="2"/>
              <w:sz w:val="21"/>
              <w:szCs w:val="22"/>
              <w:lang w:val="zh-CN"/>
            </w:rPr>
          </w:pPr>
          <w:hyperlink w:anchor="__RefHeading___Toc530042249">
            <w:r w:rsidR="0060680B">
              <w:rPr>
                <w:rFonts w:ascii="Arial" w:eastAsia="仿宋_GB2312;仿宋" w:hAnsi="Arial" w:cs="Arial"/>
                <w:bCs/>
                <w:lang w:val="zh-CN"/>
              </w:rPr>
              <w:t>附</w:t>
            </w:r>
            <w:r w:rsidR="0060680B">
              <w:rPr>
                <w:rFonts w:ascii="Arial" w:eastAsia="Arial" w:hAnsi="Arial" w:cs="Arial"/>
                <w:b/>
                <w:lang w:val="zh-CN"/>
              </w:rPr>
              <w:t xml:space="preserve">    </w:t>
            </w:r>
            <w:r w:rsidR="0060680B">
              <w:rPr>
                <w:rFonts w:ascii="Arial" w:eastAsia="仿宋_GB2312;仿宋" w:hAnsi="Arial" w:cs="Arial"/>
                <w:b/>
                <w:lang w:val="zh-CN"/>
              </w:rPr>
              <w:t>咨询结果一览表</w:t>
            </w:r>
            <w:r w:rsidR="0060680B">
              <w:rPr>
                <w:rFonts w:ascii="Arial" w:hAnsi="Arial" w:cs="Arial"/>
                <w:lang w:val="zh-CN"/>
              </w:rPr>
              <w:tab/>
              <w:t>12</w:t>
            </w:r>
          </w:hyperlink>
        </w:p>
        <w:p w14:paraId="63118B7F" w14:textId="77777777" w:rsidR="00E70101" w:rsidRDefault="00E25FDE">
          <w:pPr>
            <w:pStyle w:val="26"/>
            <w:rPr>
              <w:rFonts w:ascii="Arial" w:hAnsi="Arial" w:cs="Arial"/>
              <w:kern w:val="2"/>
              <w:sz w:val="21"/>
              <w:szCs w:val="22"/>
              <w:lang w:val="zh-CN"/>
            </w:rPr>
          </w:pPr>
          <w:hyperlink w:anchor="__RefHeading___Toc530042250">
            <w:r w:rsidR="0060680B">
              <w:rPr>
                <w:rFonts w:ascii="Arial" w:eastAsia="仿宋_GB2312;仿宋" w:hAnsi="Arial" w:cs="Arial"/>
                <w:b/>
                <w:lang w:val="zh-CN"/>
              </w:rPr>
              <w:t>十、需要特殊说明的事项</w:t>
            </w:r>
            <w:r w:rsidR="0060680B">
              <w:rPr>
                <w:rFonts w:ascii="Arial" w:hAnsi="Arial" w:cs="Arial"/>
                <w:lang w:val="zh-CN"/>
              </w:rPr>
              <w:tab/>
              <w:t>13</w:t>
            </w:r>
          </w:hyperlink>
        </w:p>
        <w:p w14:paraId="33217342" w14:textId="77777777" w:rsidR="00E70101" w:rsidRDefault="00E25FDE">
          <w:pPr>
            <w:pStyle w:val="26"/>
            <w:rPr>
              <w:rFonts w:ascii="Arial" w:hAnsi="Arial" w:cs="Arial"/>
              <w:kern w:val="2"/>
              <w:sz w:val="21"/>
              <w:szCs w:val="22"/>
              <w:lang w:val="zh-CN"/>
            </w:rPr>
          </w:pPr>
          <w:hyperlink w:anchor="__RefHeading___Toc530042252">
            <w:r w:rsidR="0060680B">
              <w:rPr>
                <w:rFonts w:ascii="Arial" w:eastAsia="仿宋_GB2312;仿宋" w:hAnsi="Arial" w:cs="Arial"/>
                <w:b/>
                <w:lang w:val="zh-CN"/>
              </w:rPr>
              <w:t>十一、土地咨询机构</w:t>
            </w:r>
            <w:r w:rsidR="0060680B">
              <w:rPr>
                <w:rFonts w:ascii="Arial" w:hAnsi="Arial" w:cs="Arial"/>
                <w:lang w:val="zh-CN"/>
              </w:rPr>
              <w:tab/>
            </w:r>
          </w:hyperlink>
          <w:r w:rsidR="0060680B">
            <w:rPr>
              <w:rFonts w:ascii="Arial" w:hAnsi="Arial" w:cs="Arial"/>
            </w:rPr>
            <w:t>17</w:t>
          </w:r>
        </w:p>
        <w:p w14:paraId="254F88F0" w14:textId="77777777" w:rsidR="00E70101" w:rsidRDefault="00E25FDE">
          <w:pPr>
            <w:pStyle w:val="11"/>
            <w:rPr>
              <w:rFonts w:ascii="Arial" w:eastAsia="宋体;SimSun" w:hAnsi="Arial"/>
              <w:kern w:val="2"/>
              <w:sz w:val="21"/>
              <w:szCs w:val="22"/>
            </w:rPr>
          </w:pPr>
          <w:hyperlink w:anchor="__RefHeading___Toc530042253">
            <w:r w:rsidR="0060680B">
              <w:rPr>
                <w:rFonts w:ascii="Arial" w:hAnsi="Arial"/>
                <w:b/>
              </w:rPr>
              <w:t>第二部分</w:t>
            </w:r>
            <w:r w:rsidR="0060680B">
              <w:rPr>
                <w:rFonts w:ascii="Arial" w:eastAsia="Arial" w:hAnsi="Arial"/>
                <w:b/>
              </w:rPr>
              <w:t xml:space="preserve">  </w:t>
            </w:r>
            <w:r w:rsidR="0060680B">
              <w:rPr>
                <w:rFonts w:ascii="Arial" w:hAnsi="Arial"/>
                <w:b/>
              </w:rPr>
              <w:t>咨询对象描述及土地价格影响因素分析</w:t>
            </w:r>
            <w:r w:rsidR="0060680B">
              <w:rPr>
                <w:rFonts w:ascii="Arial" w:hAnsi="Arial"/>
              </w:rPr>
              <w:tab/>
              <w:t>18</w:t>
            </w:r>
          </w:hyperlink>
        </w:p>
        <w:p w14:paraId="7745307B" w14:textId="77777777" w:rsidR="00E70101" w:rsidRDefault="00E25FDE">
          <w:pPr>
            <w:pStyle w:val="26"/>
            <w:rPr>
              <w:rFonts w:ascii="Arial" w:hAnsi="Arial" w:cs="Arial"/>
              <w:kern w:val="2"/>
              <w:sz w:val="21"/>
              <w:szCs w:val="22"/>
              <w:lang w:val="zh-CN"/>
            </w:rPr>
          </w:pPr>
          <w:hyperlink w:anchor="__RefHeading___Toc530042254">
            <w:r w:rsidR="0060680B">
              <w:rPr>
                <w:rFonts w:ascii="Arial" w:eastAsia="仿宋_GB2312;仿宋" w:hAnsi="Arial" w:cs="Arial"/>
                <w:b/>
                <w:lang w:val="zh-CN"/>
              </w:rPr>
              <w:t>一、咨询对象描述</w:t>
            </w:r>
            <w:r w:rsidR="0060680B">
              <w:rPr>
                <w:rFonts w:ascii="Arial" w:hAnsi="Arial" w:cs="Arial"/>
                <w:lang w:val="zh-CN"/>
              </w:rPr>
              <w:tab/>
              <w:t>18</w:t>
            </w:r>
          </w:hyperlink>
        </w:p>
        <w:p w14:paraId="3461E1F6" w14:textId="77777777" w:rsidR="00E70101" w:rsidRDefault="00E25FDE">
          <w:pPr>
            <w:pStyle w:val="26"/>
            <w:rPr>
              <w:rFonts w:ascii="Arial" w:hAnsi="Arial" w:cs="Arial"/>
              <w:kern w:val="2"/>
              <w:sz w:val="21"/>
              <w:szCs w:val="22"/>
              <w:lang w:val="zh-CN"/>
            </w:rPr>
          </w:pPr>
          <w:hyperlink w:anchor="__RefHeading___Toc530042255">
            <w:r w:rsidR="0060680B">
              <w:rPr>
                <w:rFonts w:ascii="Arial" w:eastAsia="仿宋_GB2312;仿宋" w:hAnsi="Arial" w:cs="Arial"/>
                <w:b/>
                <w:lang w:val="zh-CN"/>
              </w:rPr>
              <w:t>二、地价影响因素分析</w:t>
            </w:r>
            <w:r w:rsidR="0060680B">
              <w:rPr>
                <w:rFonts w:ascii="Arial" w:hAnsi="Arial" w:cs="Arial"/>
                <w:lang w:val="zh-CN"/>
              </w:rPr>
              <w:tab/>
              <w:t>21</w:t>
            </w:r>
          </w:hyperlink>
        </w:p>
        <w:p w14:paraId="2A2656D6" w14:textId="77777777" w:rsidR="00E70101" w:rsidRDefault="00E25FDE">
          <w:pPr>
            <w:pStyle w:val="11"/>
            <w:rPr>
              <w:rFonts w:ascii="Arial" w:eastAsia="宋体;SimSun" w:hAnsi="Arial"/>
              <w:kern w:val="2"/>
              <w:sz w:val="21"/>
              <w:szCs w:val="22"/>
            </w:rPr>
          </w:pPr>
          <w:hyperlink w:anchor="__RefHeading___Toc530042256">
            <w:r w:rsidR="0060680B">
              <w:rPr>
                <w:rFonts w:ascii="Arial" w:hAnsi="Arial"/>
                <w:b/>
              </w:rPr>
              <w:t>第三部分</w:t>
            </w:r>
            <w:r w:rsidR="0060680B">
              <w:rPr>
                <w:rFonts w:ascii="Arial" w:eastAsia="Arial" w:hAnsi="Arial"/>
                <w:b/>
              </w:rPr>
              <w:t xml:space="preserve">  </w:t>
            </w:r>
            <w:r w:rsidR="0060680B">
              <w:rPr>
                <w:rFonts w:ascii="Arial" w:hAnsi="Arial"/>
                <w:b/>
              </w:rPr>
              <w:t>土地咨询</w:t>
            </w:r>
            <w:r w:rsidR="0060680B">
              <w:rPr>
                <w:rFonts w:ascii="Arial" w:hAnsi="Arial"/>
              </w:rPr>
              <w:tab/>
              <w:t>26</w:t>
            </w:r>
          </w:hyperlink>
        </w:p>
        <w:p w14:paraId="1BDE19A0" w14:textId="77777777" w:rsidR="00E70101" w:rsidRDefault="00E25FDE">
          <w:pPr>
            <w:pStyle w:val="26"/>
            <w:rPr>
              <w:rFonts w:ascii="Arial" w:hAnsi="Arial" w:cs="Arial"/>
              <w:kern w:val="2"/>
              <w:sz w:val="21"/>
              <w:szCs w:val="22"/>
              <w:lang w:val="zh-CN"/>
            </w:rPr>
          </w:pPr>
          <w:hyperlink w:anchor="__RefHeading___Toc530042257">
            <w:r w:rsidR="0060680B">
              <w:rPr>
                <w:rFonts w:ascii="Arial" w:eastAsia="仿宋_GB2312;仿宋" w:hAnsi="Arial" w:cs="Arial"/>
                <w:b/>
                <w:lang w:val="zh-CN"/>
              </w:rPr>
              <w:t>一、咨询原则</w:t>
            </w:r>
            <w:r w:rsidR="0060680B">
              <w:rPr>
                <w:rFonts w:ascii="Arial" w:hAnsi="Arial" w:cs="Arial"/>
                <w:lang w:val="zh-CN"/>
              </w:rPr>
              <w:tab/>
              <w:t>26</w:t>
            </w:r>
          </w:hyperlink>
        </w:p>
        <w:p w14:paraId="3289C659" w14:textId="77777777" w:rsidR="00E70101" w:rsidRDefault="00E25FDE">
          <w:pPr>
            <w:pStyle w:val="26"/>
            <w:rPr>
              <w:rFonts w:ascii="Arial" w:hAnsi="Arial" w:cs="Arial"/>
              <w:kern w:val="2"/>
              <w:sz w:val="21"/>
              <w:szCs w:val="22"/>
              <w:lang w:val="zh-CN"/>
            </w:rPr>
          </w:pPr>
          <w:hyperlink w:anchor="__RefHeading___Toc530042258">
            <w:r w:rsidR="0060680B">
              <w:rPr>
                <w:rFonts w:ascii="Arial" w:eastAsia="仿宋_GB2312;仿宋" w:hAnsi="Arial" w:cs="Arial"/>
                <w:b/>
                <w:lang w:val="zh-CN"/>
              </w:rPr>
              <w:t>二、咨询方法与咨询过程</w:t>
            </w:r>
            <w:r w:rsidR="0060680B">
              <w:rPr>
                <w:rFonts w:ascii="Arial" w:hAnsi="Arial" w:cs="Arial"/>
                <w:lang w:val="zh-CN"/>
              </w:rPr>
              <w:tab/>
              <w:t>30</w:t>
            </w:r>
          </w:hyperlink>
        </w:p>
        <w:p w14:paraId="6A8B1926" w14:textId="77777777" w:rsidR="00E70101" w:rsidRDefault="00E25FDE">
          <w:pPr>
            <w:pStyle w:val="26"/>
            <w:rPr>
              <w:rFonts w:ascii="Arial" w:hAnsi="Arial" w:cs="Arial"/>
              <w:kern w:val="2"/>
              <w:sz w:val="21"/>
              <w:szCs w:val="22"/>
              <w:lang w:val="zh-CN"/>
            </w:rPr>
          </w:pPr>
          <w:hyperlink w:anchor="__RefHeading___Toc530042292">
            <w:r w:rsidR="0060680B">
              <w:rPr>
                <w:rFonts w:ascii="Arial" w:eastAsia="仿宋_GB2312;仿宋" w:hAnsi="Arial" w:cs="Arial"/>
                <w:b/>
                <w:bCs/>
                <w:lang w:val="zh-CN"/>
              </w:rPr>
              <w:t>三、咨询结果的确定</w:t>
            </w:r>
            <w:r w:rsidR="0060680B">
              <w:rPr>
                <w:rFonts w:ascii="Arial" w:hAnsi="Arial" w:cs="Arial"/>
                <w:lang w:val="zh-CN"/>
              </w:rPr>
              <w:tab/>
              <w:t>69</w:t>
            </w:r>
          </w:hyperlink>
        </w:p>
        <w:p w14:paraId="7550B851" w14:textId="77777777" w:rsidR="00E70101" w:rsidRDefault="00E25FDE">
          <w:pPr>
            <w:pStyle w:val="11"/>
            <w:rPr>
              <w:rFonts w:ascii="Arial" w:eastAsia="宋体;SimSun" w:hAnsi="Arial"/>
              <w:kern w:val="2"/>
              <w:sz w:val="21"/>
              <w:szCs w:val="22"/>
            </w:rPr>
          </w:pPr>
          <w:hyperlink w:anchor="__RefHeading___Toc530042315">
            <w:r w:rsidR="0060680B">
              <w:rPr>
                <w:rFonts w:ascii="Arial" w:hAnsi="Arial"/>
                <w:b/>
              </w:rPr>
              <w:t>第四部分</w:t>
            </w:r>
            <w:r w:rsidR="0060680B">
              <w:rPr>
                <w:rFonts w:ascii="Arial" w:eastAsia="Arial" w:hAnsi="Arial"/>
                <w:b/>
              </w:rPr>
              <w:t xml:space="preserve">  </w:t>
            </w:r>
            <w:r w:rsidR="0060680B">
              <w:rPr>
                <w:rFonts w:ascii="Arial" w:hAnsi="Arial"/>
                <w:b/>
              </w:rPr>
              <w:t>附</w:t>
            </w:r>
            <w:r w:rsidR="0060680B">
              <w:rPr>
                <w:rFonts w:ascii="Arial" w:eastAsia="Arial" w:hAnsi="Arial"/>
                <w:b/>
              </w:rPr>
              <w:t xml:space="preserve">  </w:t>
            </w:r>
            <w:r w:rsidR="0060680B">
              <w:rPr>
                <w:rFonts w:ascii="Arial" w:hAnsi="Arial"/>
                <w:b/>
              </w:rPr>
              <w:t>件</w:t>
            </w:r>
            <w:r w:rsidR="0060680B">
              <w:rPr>
                <w:rFonts w:ascii="Arial" w:hAnsi="Arial"/>
              </w:rPr>
              <w:tab/>
              <w:t>71</w:t>
            </w:r>
          </w:hyperlink>
          <w:r w:rsidR="0060680B">
            <w:rPr>
              <w:rFonts w:ascii="Arial" w:hAnsi="Arial"/>
            </w:rPr>
            <w:fldChar w:fldCharType="end"/>
          </w:r>
        </w:p>
      </w:sdtContent>
    </w:sdt>
    <w:p w14:paraId="34BC02BF" w14:textId="77777777" w:rsidR="00E70101" w:rsidRDefault="00E70101">
      <w:pPr>
        <w:pStyle w:val="26"/>
        <w:rPr>
          <w:rFonts w:ascii="Arial" w:eastAsia="楷体" w:hAnsi="Arial" w:cs="Arial"/>
          <w:kern w:val="2"/>
          <w:sz w:val="32"/>
          <w:szCs w:val="22"/>
        </w:rPr>
        <w:sectPr w:rsidR="00E70101">
          <w:headerReference w:type="default" r:id="rId47"/>
          <w:footerReference w:type="default" r:id="rId48"/>
          <w:headerReference w:type="first" r:id="rId49"/>
          <w:footerReference w:type="first" r:id="rId50"/>
          <w:pgSz w:w="11906" w:h="16838"/>
          <w:pgMar w:top="1843" w:right="1134" w:bottom="1134" w:left="1474" w:header="1134" w:footer="907" w:gutter="0"/>
          <w:pgNumType w:start="0"/>
          <w:cols w:space="720"/>
          <w:formProt w:val="0"/>
          <w:titlePg/>
          <w:docGrid w:linePitch="326"/>
        </w:sectPr>
      </w:pPr>
    </w:p>
    <w:p w14:paraId="2BC23507" w14:textId="77777777" w:rsidR="00E70101" w:rsidRDefault="0060680B">
      <w:pPr>
        <w:spacing w:line="360" w:lineRule="auto"/>
        <w:jc w:val="center"/>
        <w:rPr>
          <w:rFonts w:ascii="Arial" w:hAnsi="Arial" w:cs="Arial"/>
          <w:sz w:val="32"/>
        </w:rPr>
      </w:pPr>
      <w:r>
        <w:rPr>
          <w:rFonts w:ascii="Arial" w:hAnsi="Arial" w:cs="Arial"/>
          <w:b/>
          <w:sz w:val="32"/>
        </w:rPr>
        <w:t>土</w:t>
      </w:r>
      <w:r>
        <w:rPr>
          <w:rFonts w:ascii="Arial" w:eastAsia="Arial" w:hAnsi="Arial" w:cs="Arial"/>
          <w:b/>
          <w:sz w:val="32"/>
        </w:rPr>
        <w:t xml:space="preserve"> </w:t>
      </w:r>
      <w:r>
        <w:rPr>
          <w:rFonts w:ascii="Arial" w:hAnsi="Arial" w:cs="Arial"/>
          <w:b/>
          <w:sz w:val="32"/>
        </w:rPr>
        <w:t>地</w:t>
      </w:r>
      <w:r>
        <w:rPr>
          <w:rFonts w:ascii="Arial" w:eastAsia="Arial" w:hAnsi="Arial" w:cs="Arial"/>
          <w:b/>
          <w:sz w:val="32"/>
        </w:rPr>
        <w:t xml:space="preserve"> </w:t>
      </w:r>
      <w:r>
        <w:rPr>
          <w:rFonts w:ascii="Arial" w:hAnsi="Arial" w:cs="Arial"/>
          <w:b/>
          <w:sz w:val="32"/>
        </w:rPr>
        <w:t>评</w:t>
      </w:r>
      <w:r>
        <w:rPr>
          <w:rFonts w:ascii="Arial" w:eastAsia="Arial" w:hAnsi="Arial" w:cs="Arial"/>
          <w:b/>
          <w:sz w:val="32"/>
        </w:rPr>
        <w:t xml:space="preserve"> </w:t>
      </w:r>
      <w:r>
        <w:rPr>
          <w:rFonts w:ascii="Arial" w:hAnsi="Arial" w:cs="Arial"/>
          <w:b/>
          <w:sz w:val="32"/>
        </w:rPr>
        <w:t>估</w:t>
      </w:r>
      <w:r>
        <w:rPr>
          <w:rFonts w:ascii="Arial" w:eastAsia="Arial" w:hAnsi="Arial" w:cs="Arial"/>
          <w:b/>
          <w:sz w:val="32"/>
        </w:rPr>
        <w:t xml:space="preserve"> </w:t>
      </w:r>
      <w:r>
        <w:rPr>
          <w:rFonts w:ascii="Arial" w:hAnsi="Arial" w:cs="Arial"/>
          <w:b/>
          <w:sz w:val="32"/>
        </w:rPr>
        <w:t>技</w:t>
      </w:r>
      <w:r>
        <w:rPr>
          <w:rFonts w:ascii="Arial" w:eastAsia="Arial" w:hAnsi="Arial" w:cs="Arial"/>
          <w:b/>
          <w:sz w:val="32"/>
        </w:rPr>
        <w:t xml:space="preserve"> </w:t>
      </w:r>
      <w:r>
        <w:rPr>
          <w:rFonts w:ascii="Arial" w:hAnsi="Arial" w:cs="Arial"/>
          <w:b/>
          <w:sz w:val="32"/>
        </w:rPr>
        <w:t>术</w:t>
      </w:r>
      <w:r>
        <w:rPr>
          <w:rFonts w:ascii="Arial" w:eastAsia="Arial" w:hAnsi="Arial" w:cs="Arial"/>
          <w:b/>
          <w:sz w:val="32"/>
        </w:rPr>
        <w:t xml:space="preserve"> </w:t>
      </w:r>
      <w:r>
        <w:rPr>
          <w:rFonts w:ascii="Arial" w:hAnsi="Arial" w:cs="Arial"/>
          <w:b/>
          <w:sz w:val="32"/>
        </w:rPr>
        <w:t>报</w:t>
      </w:r>
      <w:r>
        <w:rPr>
          <w:rFonts w:ascii="Arial" w:eastAsia="Arial" w:hAnsi="Arial" w:cs="Arial"/>
          <w:b/>
          <w:sz w:val="32"/>
        </w:rPr>
        <w:t xml:space="preserve"> </w:t>
      </w:r>
      <w:r>
        <w:rPr>
          <w:rFonts w:ascii="Arial" w:hAnsi="Arial" w:cs="Arial"/>
          <w:b/>
          <w:sz w:val="32"/>
        </w:rPr>
        <w:t>告</w:t>
      </w:r>
    </w:p>
    <w:p w14:paraId="547906A3" w14:textId="77777777" w:rsidR="00E70101" w:rsidRDefault="00E70101">
      <w:pPr>
        <w:spacing w:line="360" w:lineRule="auto"/>
        <w:jc w:val="center"/>
        <w:rPr>
          <w:rFonts w:ascii="Arial" w:hAnsi="Arial" w:cs="Arial"/>
          <w:sz w:val="32"/>
        </w:rPr>
      </w:pPr>
    </w:p>
    <w:p w14:paraId="420084CA" w14:textId="77777777" w:rsidR="00E70101" w:rsidRDefault="0060680B">
      <w:pPr>
        <w:spacing w:line="360" w:lineRule="auto"/>
        <w:jc w:val="center"/>
        <w:outlineLvl w:val="0"/>
        <w:rPr>
          <w:rFonts w:ascii="Arial" w:hAnsi="Arial" w:cs="Arial"/>
          <w:sz w:val="32"/>
        </w:rPr>
      </w:pPr>
      <w:bookmarkStart w:id="25" w:name="__RefHeading___Toc530042239"/>
      <w:bookmarkEnd w:id="25"/>
      <w:r>
        <w:rPr>
          <w:rFonts w:ascii="Arial" w:hAnsi="Arial" w:cs="Arial"/>
          <w:b/>
          <w:sz w:val="32"/>
        </w:rPr>
        <w:t>第一部分</w:t>
      </w:r>
      <w:r>
        <w:rPr>
          <w:rFonts w:ascii="Arial" w:eastAsia="Arial" w:hAnsi="Arial" w:cs="Arial"/>
          <w:b/>
          <w:sz w:val="32"/>
        </w:rPr>
        <w:t xml:space="preserve">  </w:t>
      </w:r>
      <w:r>
        <w:rPr>
          <w:rFonts w:ascii="Arial" w:hAnsi="Arial" w:cs="Arial"/>
          <w:b/>
          <w:sz w:val="32"/>
        </w:rPr>
        <w:t>总</w:t>
      </w:r>
      <w:r>
        <w:rPr>
          <w:rFonts w:ascii="Arial" w:eastAsia="Arial" w:hAnsi="Arial" w:cs="Arial"/>
          <w:b/>
          <w:sz w:val="32"/>
        </w:rPr>
        <w:t xml:space="preserve">  </w:t>
      </w:r>
      <w:r>
        <w:rPr>
          <w:rFonts w:ascii="Arial" w:hAnsi="Arial" w:cs="Arial"/>
          <w:b/>
          <w:sz w:val="32"/>
        </w:rPr>
        <w:t>述</w:t>
      </w:r>
    </w:p>
    <w:p w14:paraId="28F3109A" w14:textId="77777777" w:rsidR="00E70101" w:rsidRDefault="00E70101">
      <w:pPr>
        <w:spacing w:line="360" w:lineRule="auto"/>
        <w:jc w:val="center"/>
        <w:rPr>
          <w:rFonts w:ascii="Arial" w:eastAsia="仿宋_GB2312;仿宋" w:hAnsi="Arial" w:cs="Arial"/>
          <w:sz w:val="28"/>
        </w:rPr>
      </w:pPr>
    </w:p>
    <w:p w14:paraId="0FD0A7E9" w14:textId="77777777" w:rsidR="00E70101" w:rsidRDefault="0060680B">
      <w:pPr>
        <w:spacing w:line="360" w:lineRule="auto"/>
        <w:jc w:val="both"/>
        <w:outlineLvl w:val="1"/>
        <w:rPr>
          <w:rFonts w:ascii="Arial" w:eastAsia="仿宋_GB2312;仿宋" w:hAnsi="Arial" w:cs="Arial"/>
          <w:b/>
          <w:bCs/>
          <w:sz w:val="28"/>
        </w:rPr>
      </w:pPr>
      <w:r>
        <w:rPr>
          <w:rFonts w:ascii="Arial" w:eastAsia="仿宋_GB2312;仿宋" w:hAnsi="Arial" w:cs="Arial"/>
          <w:b/>
          <w:bCs/>
          <w:sz w:val="28"/>
        </w:rPr>
        <w:t>一、项目名称</w:t>
      </w:r>
    </w:p>
    <w:p w14:paraId="52C63F74" w14:textId="77777777" w:rsidR="00E70101" w:rsidRDefault="0060680B">
      <w:pPr>
        <w:spacing w:line="360" w:lineRule="auto"/>
        <w:ind w:firstLine="557"/>
        <w:jc w:val="both"/>
        <w:rPr>
          <w:rFonts w:ascii="Arial" w:eastAsia="仿宋_GB2312;仿宋" w:hAnsi="Arial" w:cs="Arial"/>
          <w:sz w:val="28"/>
        </w:rPr>
      </w:pPr>
      <w:r>
        <w:rPr>
          <w:rFonts w:ascii="Arial" w:eastAsia="仿宋_GB2312;仿宋" w:hAnsi="Arial" w:cs="Arial"/>
          <w:sz w:val="28"/>
        </w:rPr>
        <w:t>北京市昌平区北七家镇八仙庄村仓储用地划拨国有建设用地使用权收购补偿价格咨询</w:t>
      </w:r>
    </w:p>
    <w:p w14:paraId="1A7D2C9F" w14:textId="77777777" w:rsidR="00E70101" w:rsidRDefault="00E70101">
      <w:pPr>
        <w:spacing w:line="360" w:lineRule="auto"/>
        <w:jc w:val="both"/>
        <w:rPr>
          <w:rFonts w:ascii="Arial" w:eastAsia="仿宋_GB2312;仿宋" w:hAnsi="Arial" w:cs="Arial"/>
          <w:b/>
          <w:bCs/>
          <w:sz w:val="28"/>
        </w:rPr>
      </w:pPr>
    </w:p>
    <w:p w14:paraId="4F257D51" w14:textId="77777777" w:rsidR="00E70101" w:rsidRDefault="0060680B">
      <w:pPr>
        <w:spacing w:line="360" w:lineRule="auto"/>
        <w:jc w:val="both"/>
        <w:outlineLvl w:val="1"/>
        <w:rPr>
          <w:rFonts w:ascii="Arial" w:eastAsia="仿宋_GB2312;仿宋" w:hAnsi="Arial" w:cs="Arial"/>
          <w:b/>
          <w:bCs/>
          <w:sz w:val="28"/>
        </w:rPr>
      </w:pPr>
      <w:r>
        <w:rPr>
          <w:rFonts w:ascii="Arial" w:eastAsia="仿宋_GB2312;仿宋" w:hAnsi="Arial" w:cs="Arial"/>
          <w:b/>
          <w:bCs/>
          <w:sz w:val="28"/>
        </w:rPr>
        <w:t>二、委托方</w:t>
      </w:r>
    </w:p>
    <w:p w14:paraId="6C45770C" w14:textId="4A31389A" w:rsidR="00E70101" w:rsidRDefault="0060680B">
      <w:pPr>
        <w:spacing w:line="360" w:lineRule="auto"/>
        <w:ind w:firstLine="560"/>
        <w:jc w:val="both"/>
        <w:rPr>
          <w:rFonts w:ascii="Arial" w:eastAsia="仿宋_GB2312;仿宋" w:hAnsi="Arial" w:cs="Arial"/>
          <w:bCs/>
          <w:sz w:val="28"/>
        </w:rPr>
      </w:pPr>
      <w:r>
        <w:rPr>
          <w:rFonts w:ascii="Arial" w:eastAsia="仿宋_GB2312;仿宋" w:hAnsi="Arial" w:cs="Arial"/>
          <w:bCs/>
          <w:sz w:val="28"/>
        </w:rPr>
        <w:t>单位名称：北京保障房中心有限公司</w:t>
      </w:r>
    </w:p>
    <w:p w14:paraId="3FF4F368" w14:textId="77777777" w:rsidR="00E70101" w:rsidRDefault="0060680B">
      <w:pPr>
        <w:spacing w:line="360" w:lineRule="auto"/>
        <w:ind w:firstLine="560"/>
        <w:jc w:val="both"/>
      </w:pPr>
      <w:r>
        <w:rPr>
          <w:rFonts w:ascii="仿宋_GB2312;仿宋" w:eastAsia="仿宋_GB2312;仿宋" w:hAnsi="仿宋_GB2312;仿宋" w:cs="Arial Narrow"/>
          <w:sz w:val="28"/>
        </w:rPr>
        <w:t>地    址：北京市丰台区南</w:t>
      </w:r>
      <w:r>
        <w:rPr>
          <w:rFonts w:ascii="Arial" w:eastAsia="仿宋_GB2312;仿宋" w:hAnsi="Arial" w:cs="Arial"/>
          <w:sz w:val="28"/>
        </w:rPr>
        <w:t>四环中路</w:t>
      </w:r>
      <w:r>
        <w:rPr>
          <w:rFonts w:ascii="Arial" w:eastAsia="仿宋_GB2312;仿宋" w:hAnsi="Arial" w:cs="Arial"/>
          <w:sz w:val="28"/>
        </w:rPr>
        <w:t>10</w:t>
      </w:r>
      <w:r>
        <w:rPr>
          <w:rFonts w:ascii="仿宋_GB2312;仿宋" w:eastAsia="仿宋_GB2312;仿宋" w:hAnsi="仿宋_GB2312;仿宋" w:cs="Arial Narrow"/>
          <w:sz w:val="28"/>
        </w:rPr>
        <w:t>号</w:t>
      </w:r>
    </w:p>
    <w:p w14:paraId="332AB3ED"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联</w:t>
      </w:r>
      <w:r>
        <w:rPr>
          <w:rFonts w:ascii="Arial" w:eastAsia="Arial" w:hAnsi="Arial" w:cs="Arial"/>
          <w:sz w:val="28"/>
        </w:rPr>
        <w:t xml:space="preserve"> </w:t>
      </w:r>
      <w:r>
        <w:rPr>
          <w:rFonts w:ascii="Arial" w:eastAsia="仿宋_GB2312;仿宋" w:hAnsi="Arial" w:cs="Arial"/>
          <w:sz w:val="28"/>
        </w:rPr>
        <w:t>系</w:t>
      </w:r>
      <w:r>
        <w:rPr>
          <w:rFonts w:ascii="Arial" w:eastAsia="Arial" w:hAnsi="Arial" w:cs="Arial"/>
          <w:sz w:val="28"/>
        </w:rPr>
        <w:t xml:space="preserve"> </w:t>
      </w:r>
      <w:r>
        <w:rPr>
          <w:rFonts w:ascii="Arial" w:eastAsia="仿宋_GB2312;仿宋" w:hAnsi="Arial" w:cs="Arial"/>
          <w:sz w:val="28"/>
        </w:rPr>
        <w:t>人：岳翠兰</w:t>
      </w:r>
    </w:p>
    <w:p w14:paraId="08454818" w14:textId="77777777" w:rsidR="00E70101" w:rsidRDefault="00E70101">
      <w:pPr>
        <w:spacing w:line="360" w:lineRule="auto"/>
        <w:outlineLvl w:val="1"/>
        <w:rPr>
          <w:rFonts w:ascii="Arial" w:eastAsia="仿宋_GB2312;仿宋" w:hAnsi="Arial" w:cs="Arial"/>
          <w:b/>
          <w:sz w:val="28"/>
        </w:rPr>
      </w:pPr>
    </w:p>
    <w:p w14:paraId="64EB6EA6" w14:textId="77777777" w:rsidR="00E70101" w:rsidRDefault="0060680B">
      <w:pPr>
        <w:spacing w:line="360" w:lineRule="auto"/>
        <w:outlineLvl w:val="1"/>
        <w:rPr>
          <w:rFonts w:ascii="Arial" w:eastAsia="仿宋_GB2312;仿宋" w:hAnsi="Arial" w:cs="Arial"/>
          <w:b/>
          <w:sz w:val="28"/>
        </w:rPr>
      </w:pPr>
      <w:bookmarkStart w:id="26" w:name="__RefHeading___Toc530042242"/>
      <w:r>
        <w:rPr>
          <w:rFonts w:ascii="Arial" w:eastAsia="仿宋_GB2312;仿宋" w:hAnsi="Arial" w:cs="Arial"/>
          <w:b/>
          <w:sz w:val="28"/>
        </w:rPr>
        <w:t>三、受托咨询方</w:t>
      </w:r>
      <w:bookmarkEnd w:id="26"/>
    </w:p>
    <w:p w14:paraId="3700BD68" w14:textId="77777777" w:rsidR="00E70101" w:rsidRDefault="0060680B">
      <w:pPr>
        <w:spacing w:line="360" w:lineRule="auto"/>
        <w:ind w:firstLine="570"/>
        <w:jc w:val="both"/>
        <w:rPr>
          <w:rFonts w:ascii="Arial" w:eastAsia="仿宋_GB2312;仿宋" w:hAnsi="Arial" w:cs="Arial"/>
          <w:sz w:val="28"/>
        </w:rPr>
      </w:pPr>
      <w:r>
        <w:rPr>
          <w:rFonts w:ascii="Arial" w:eastAsia="仿宋_GB2312;仿宋" w:hAnsi="Arial" w:cs="Arial"/>
          <w:sz w:val="28"/>
        </w:rPr>
        <w:t>受托机构：北京康正宏基房地产评估有限公司</w:t>
      </w:r>
    </w:p>
    <w:p w14:paraId="326F1639" w14:textId="77777777" w:rsidR="00E70101" w:rsidRDefault="0060680B">
      <w:pPr>
        <w:spacing w:line="360" w:lineRule="auto"/>
        <w:ind w:firstLine="570"/>
        <w:jc w:val="both"/>
        <w:rPr>
          <w:rFonts w:ascii="Arial" w:hAnsi="Arial" w:cs="Arial"/>
          <w:sz w:val="28"/>
        </w:rPr>
      </w:pPr>
      <w:r>
        <w:rPr>
          <w:rFonts w:ascii="Arial" w:eastAsia="仿宋_GB2312;仿宋" w:hAnsi="Arial" w:cs="Arial"/>
          <w:sz w:val="28"/>
        </w:rPr>
        <w:t>地</w:t>
      </w:r>
      <w:r>
        <w:rPr>
          <w:rFonts w:ascii="Arial" w:eastAsia="Arial" w:hAnsi="Arial" w:cs="Arial"/>
          <w:sz w:val="28"/>
        </w:rPr>
        <w:t xml:space="preserve">    </w:t>
      </w:r>
      <w:r>
        <w:rPr>
          <w:rFonts w:ascii="Arial" w:eastAsia="仿宋_GB2312;仿宋" w:hAnsi="Arial" w:cs="Arial"/>
          <w:sz w:val="28"/>
        </w:rPr>
        <w:t>址：北京市朝阳区裕民路</w:t>
      </w:r>
      <w:r>
        <w:rPr>
          <w:rFonts w:ascii="Arial" w:eastAsia="仿宋_GB2312;仿宋" w:hAnsi="Arial" w:cs="Arial"/>
          <w:sz w:val="28"/>
        </w:rPr>
        <w:t>12</w:t>
      </w:r>
      <w:r>
        <w:rPr>
          <w:rFonts w:ascii="Arial" w:eastAsia="仿宋_GB2312;仿宋" w:hAnsi="Arial" w:cs="Arial"/>
          <w:sz w:val="28"/>
        </w:rPr>
        <w:t>号中国国际科技会展中心</w:t>
      </w:r>
      <w:r>
        <w:rPr>
          <w:rFonts w:ascii="Arial" w:eastAsia="仿宋_GB2312;仿宋" w:hAnsi="Arial" w:cs="Arial"/>
          <w:sz w:val="28"/>
        </w:rPr>
        <w:t xml:space="preserve">B </w:t>
      </w:r>
      <w:r>
        <w:rPr>
          <w:rFonts w:ascii="Arial" w:eastAsia="仿宋_GB2312;仿宋" w:hAnsi="Arial" w:cs="Arial"/>
          <w:sz w:val="28"/>
        </w:rPr>
        <w:t>座</w:t>
      </w:r>
      <w:r>
        <w:rPr>
          <w:rFonts w:ascii="Arial" w:eastAsia="仿宋_GB2312;仿宋" w:hAnsi="Arial" w:cs="Arial"/>
          <w:sz w:val="28"/>
        </w:rPr>
        <w:t>10</w:t>
      </w:r>
      <w:r>
        <w:rPr>
          <w:rFonts w:ascii="Arial" w:eastAsia="仿宋_GB2312;仿宋" w:hAnsi="Arial" w:cs="Arial"/>
          <w:sz w:val="28"/>
        </w:rPr>
        <w:t>层</w:t>
      </w:r>
      <w:r>
        <w:rPr>
          <w:rFonts w:ascii="Arial" w:eastAsia="仿宋_GB2312;仿宋" w:hAnsi="Arial" w:cs="Arial"/>
          <w:sz w:val="28"/>
        </w:rPr>
        <w:t>1003</w:t>
      </w:r>
      <w:r>
        <w:rPr>
          <w:rFonts w:ascii="Arial" w:eastAsia="仿宋_GB2312;仿宋" w:hAnsi="Arial" w:cs="Arial"/>
          <w:sz w:val="28"/>
        </w:rPr>
        <w:t>室</w:t>
      </w:r>
    </w:p>
    <w:p w14:paraId="6AB46192" w14:textId="77777777" w:rsidR="00E70101" w:rsidRDefault="0060680B">
      <w:pPr>
        <w:spacing w:line="360" w:lineRule="auto"/>
        <w:ind w:firstLine="570"/>
        <w:jc w:val="both"/>
        <w:rPr>
          <w:rFonts w:ascii="Arial" w:eastAsia="仿宋_GB2312;仿宋" w:hAnsi="Arial" w:cs="Arial"/>
          <w:sz w:val="28"/>
        </w:rPr>
      </w:pPr>
      <w:r>
        <w:rPr>
          <w:rFonts w:ascii="Arial" w:eastAsia="仿宋_GB2312;仿宋" w:hAnsi="Arial" w:cs="Arial"/>
          <w:sz w:val="28"/>
        </w:rPr>
        <w:t>资质级别：在全国范围内从事土地估价业务</w:t>
      </w:r>
    </w:p>
    <w:p w14:paraId="25100837" w14:textId="77777777" w:rsidR="00E70101" w:rsidRDefault="0060680B">
      <w:pPr>
        <w:spacing w:line="360" w:lineRule="auto"/>
        <w:ind w:firstLine="570"/>
        <w:jc w:val="both"/>
        <w:rPr>
          <w:rFonts w:ascii="Arial" w:eastAsia="仿宋_GB2312;仿宋" w:hAnsi="Arial" w:cs="Arial"/>
          <w:sz w:val="28"/>
        </w:rPr>
      </w:pPr>
      <w:r>
        <w:rPr>
          <w:rFonts w:ascii="Arial" w:eastAsia="仿宋_GB2312;仿宋" w:hAnsi="Arial" w:cs="Arial"/>
          <w:sz w:val="28"/>
        </w:rPr>
        <w:t>备案编号：</w:t>
      </w:r>
      <w:r>
        <w:rPr>
          <w:rFonts w:ascii="Arial" w:eastAsia="仿宋_GB2312;仿宋" w:hAnsi="Arial" w:cs="Arial"/>
          <w:sz w:val="28"/>
        </w:rPr>
        <w:t>2020110057</w:t>
      </w:r>
    </w:p>
    <w:p w14:paraId="7317E837" w14:textId="77777777" w:rsidR="00E70101" w:rsidRDefault="0060680B">
      <w:pPr>
        <w:spacing w:line="360" w:lineRule="auto"/>
        <w:ind w:firstLine="570"/>
        <w:jc w:val="both"/>
        <w:rPr>
          <w:rFonts w:ascii="Arial" w:eastAsia="仿宋_GB2312;仿宋" w:hAnsi="Arial" w:cs="Arial"/>
          <w:sz w:val="28"/>
        </w:rPr>
      </w:pPr>
      <w:r>
        <w:rPr>
          <w:rFonts w:ascii="Arial" w:eastAsia="仿宋_GB2312;仿宋" w:hAnsi="Arial" w:cs="Arial"/>
          <w:sz w:val="28"/>
        </w:rPr>
        <w:t>法人代表：齐</w:t>
      </w:r>
      <w:r>
        <w:rPr>
          <w:rFonts w:ascii="Arial" w:eastAsia="Arial" w:hAnsi="Arial" w:cs="Arial"/>
          <w:sz w:val="28"/>
        </w:rPr>
        <w:t xml:space="preserve">  </w:t>
      </w:r>
      <w:r>
        <w:rPr>
          <w:rFonts w:ascii="Arial" w:eastAsia="仿宋_GB2312;仿宋" w:hAnsi="Arial" w:cs="Arial"/>
          <w:sz w:val="28"/>
        </w:rPr>
        <w:t>宏</w:t>
      </w:r>
    </w:p>
    <w:p w14:paraId="773475B2" w14:textId="77777777" w:rsidR="00E70101" w:rsidRDefault="0060680B">
      <w:pPr>
        <w:spacing w:line="360" w:lineRule="auto"/>
        <w:rPr>
          <w:rFonts w:ascii="Arial" w:eastAsia="仿宋_GB2312;仿宋" w:hAnsi="Arial" w:cs="Arial"/>
          <w:sz w:val="28"/>
        </w:rPr>
      </w:pPr>
      <w:r>
        <w:rPr>
          <w:rFonts w:ascii="Arial" w:eastAsia="Arial" w:hAnsi="Arial" w:cs="Arial"/>
          <w:sz w:val="28"/>
        </w:rPr>
        <w:t xml:space="preserve">    </w:t>
      </w:r>
      <w:r>
        <w:rPr>
          <w:rFonts w:ascii="Arial" w:eastAsia="仿宋_GB2312;仿宋" w:hAnsi="Arial" w:cs="Arial"/>
          <w:spacing w:val="38"/>
          <w:sz w:val="28"/>
        </w:rPr>
        <w:t>联系人：</w:t>
      </w:r>
      <w:r>
        <w:rPr>
          <w:rFonts w:ascii="Arial" w:eastAsia="仿宋_GB2312;仿宋" w:hAnsi="Arial" w:cs="Arial"/>
          <w:sz w:val="28"/>
        </w:rPr>
        <w:t>常</w:t>
      </w:r>
      <w:r>
        <w:rPr>
          <w:rFonts w:ascii="Arial" w:eastAsia="Arial" w:hAnsi="Arial" w:cs="Arial"/>
          <w:sz w:val="28"/>
        </w:rPr>
        <w:t xml:space="preserve">  </w:t>
      </w:r>
      <w:r>
        <w:rPr>
          <w:rFonts w:ascii="Arial" w:eastAsia="仿宋_GB2312;仿宋" w:hAnsi="Arial" w:cs="Arial"/>
          <w:sz w:val="28"/>
        </w:rPr>
        <w:t>畅</w:t>
      </w:r>
    </w:p>
    <w:p w14:paraId="32942746" w14:textId="77777777" w:rsidR="00E70101" w:rsidRDefault="0060680B">
      <w:pPr>
        <w:spacing w:line="360" w:lineRule="auto"/>
        <w:ind w:firstLine="600"/>
        <w:jc w:val="both"/>
        <w:rPr>
          <w:rFonts w:ascii="Arial" w:eastAsia="仿宋_GB2312;仿宋" w:hAnsi="Arial" w:cs="Arial"/>
          <w:sz w:val="28"/>
        </w:rPr>
      </w:pPr>
      <w:r>
        <w:rPr>
          <w:rFonts w:ascii="Arial" w:eastAsia="仿宋_GB2312;仿宋" w:hAnsi="Arial" w:cs="Arial"/>
          <w:sz w:val="28"/>
        </w:rPr>
        <w:t>联系电话：</w:t>
      </w:r>
      <w:r>
        <w:rPr>
          <w:rFonts w:ascii="Arial" w:eastAsia="仿宋_GB2312;仿宋" w:hAnsi="Arial" w:cs="Arial"/>
          <w:sz w:val="28"/>
        </w:rPr>
        <w:t>010-82253558-237</w:t>
      </w:r>
    </w:p>
    <w:p w14:paraId="78B37AC6" w14:textId="77777777" w:rsidR="00E70101" w:rsidRDefault="00E70101">
      <w:pPr>
        <w:spacing w:line="360" w:lineRule="auto"/>
        <w:ind w:firstLine="600"/>
        <w:jc w:val="both"/>
        <w:rPr>
          <w:rFonts w:ascii="Arial" w:eastAsia="仿宋_GB2312;仿宋" w:hAnsi="Arial" w:cs="Arial"/>
          <w:sz w:val="28"/>
        </w:rPr>
      </w:pPr>
    </w:p>
    <w:p w14:paraId="1879EFAC" w14:textId="77777777" w:rsidR="00E70101" w:rsidRDefault="0060680B">
      <w:pPr>
        <w:spacing w:line="360" w:lineRule="auto"/>
        <w:outlineLvl w:val="1"/>
        <w:rPr>
          <w:rFonts w:ascii="Arial" w:eastAsia="仿宋_GB2312;仿宋" w:hAnsi="Arial" w:cs="Arial"/>
          <w:b/>
          <w:sz w:val="28"/>
        </w:rPr>
      </w:pPr>
      <w:bookmarkStart w:id="27" w:name="__RefHeading___Toc530042243"/>
      <w:bookmarkEnd w:id="27"/>
      <w:r>
        <w:rPr>
          <w:rFonts w:ascii="Arial" w:eastAsia="仿宋_GB2312;仿宋" w:hAnsi="Arial" w:cs="Arial"/>
          <w:b/>
          <w:sz w:val="28"/>
        </w:rPr>
        <w:t>四、咨询目的</w:t>
      </w:r>
    </w:p>
    <w:p w14:paraId="18EC6923" w14:textId="77777777" w:rsidR="00E70101" w:rsidRDefault="0060680B">
      <w:pPr>
        <w:spacing w:line="360" w:lineRule="auto"/>
        <w:ind w:firstLine="557"/>
        <w:rPr>
          <w:rFonts w:ascii="Arial" w:eastAsia="仿宋_GB2312;仿宋" w:hAnsi="Arial" w:cs="Arial"/>
          <w:sz w:val="28"/>
        </w:rPr>
      </w:pPr>
      <w:r>
        <w:rPr>
          <w:rFonts w:ascii="Arial" w:eastAsia="仿宋_GB2312;仿宋" w:hAnsi="Arial" w:cs="Arial"/>
          <w:sz w:val="28"/>
        </w:rPr>
        <w:t>本报告目的是为委托方了解拟收购国有建设用地使用权可能形成的补偿价格提供参考依据。</w:t>
      </w:r>
    </w:p>
    <w:p w14:paraId="408A1A6A" w14:textId="77777777" w:rsidR="00E70101" w:rsidRDefault="00E70101">
      <w:pPr>
        <w:spacing w:line="360" w:lineRule="auto"/>
        <w:ind w:firstLine="557"/>
        <w:rPr>
          <w:rFonts w:ascii="Arial" w:eastAsia="仿宋_GB2312;仿宋" w:hAnsi="Arial" w:cs="Arial"/>
          <w:sz w:val="28"/>
        </w:rPr>
      </w:pPr>
    </w:p>
    <w:p w14:paraId="0D241EEA" w14:textId="77777777" w:rsidR="00E70101" w:rsidRDefault="0060680B">
      <w:pPr>
        <w:spacing w:line="360" w:lineRule="auto"/>
        <w:outlineLvl w:val="1"/>
        <w:rPr>
          <w:rFonts w:ascii="Arial" w:eastAsia="仿宋_GB2312;仿宋" w:hAnsi="Arial" w:cs="Arial"/>
          <w:b/>
          <w:sz w:val="28"/>
        </w:rPr>
      </w:pPr>
      <w:bookmarkStart w:id="28" w:name="__RefHeading___Toc530042244"/>
      <w:bookmarkEnd w:id="28"/>
      <w:r>
        <w:rPr>
          <w:rFonts w:ascii="Arial" w:eastAsia="仿宋_GB2312;仿宋" w:hAnsi="Arial" w:cs="Arial"/>
          <w:b/>
          <w:sz w:val="28"/>
        </w:rPr>
        <w:t>五、咨询依据</w:t>
      </w:r>
    </w:p>
    <w:p w14:paraId="3DC2B8A5" w14:textId="77777777" w:rsidR="00E70101" w:rsidRDefault="0060680B">
      <w:pPr>
        <w:spacing w:line="360" w:lineRule="auto"/>
        <w:jc w:val="both"/>
      </w:pPr>
      <w:r>
        <w:rPr>
          <w:rFonts w:ascii="Arial" w:eastAsia="仿宋_GB2312;仿宋" w:hAnsi="Arial" w:cs="Arial"/>
          <w:sz w:val="28"/>
        </w:rPr>
        <w:t>（一）有关的法律、法规、行政规章及咨询对象所在省市的有关法律法规和政策</w:t>
      </w:r>
    </w:p>
    <w:p w14:paraId="7232704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《中华人民共和国土地管理法》（</w:t>
      </w:r>
      <w:r>
        <w:rPr>
          <w:rFonts w:ascii="Arial" w:eastAsia="仿宋_GB2312;仿宋" w:hAnsi="Arial" w:cs="Arial"/>
          <w:sz w:val="28"/>
        </w:rPr>
        <w:t>1986</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25</w:t>
      </w:r>
      <w:r>
        <w:rPr>
          <w:rFonts w:ascii="Arial" w:eastAsia="仿宋_GB2312;仿宋" w:hAnsi="Arial" w:cs="Arial"/>
          <w:sz w:val="28"/>
        </w:rPr>
        <w:t>日第六届全国人民代表大会常务委员会第十六次会议通过，中华人民共和国主席令第</w:t>
      </w:r>
      <w:r>
        <w:rPr>
          <w:rFonts w:ascii="Arial" w:eastAsia="仿宋_GB2312;仿宋" w:hAnsi="Arial" w:cs="Arial"/>
          <w:sz w:val="28"/>
        </w:rPr>
        <w:t>41</w:t>
      </w:r>
      <w:r>
        <w:rPr>
          <w:rFonts w:ascii="Arial" w:eastAsia="仿宋_GB2312;仿宋" w:hAnsi="Arial" w:cs="Arial"/>
          <w:sz w:val="28"/>
        </w:rPr>
        <w:t>号公布，</w:t>
      </w:r>
      <w:r>
        <w:rPr>
          <w:rFonts w:ascii="Arial" w:eastAsia="仿宋_GB2312;仿宋" w:hAnsi="Arial" w:cs="Arial"/>
          <w:sz w:val="28"/>
        </w:rPr>
        <w:t>1987</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1988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日第七届全国人民代表大会常务委员会第五次会议第一次修正通过，自</w:t>
      </w:r>
      <w:r>
        <w:rPr>
          <w:rFonts w:ascii="Arial" w:eastAsia="仿宋_GB2312;仿宋" w:hAnsi="Arial" w:cs="Arial"/>
          <w:sz w:val="28"/>
        </w:rPr>
        <w:t>1988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日起施行；</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日第九届全国人民代表大会常务委员会第四次会议修订通过，中华人民共和国主席令第</w:t>
      </w:r>
      <w:r>
        <w:rPr>
          <w:rFonts w:ascii="Arial" w:eastAsia="仿宋_GB2312;仿宋" w:hAnsi="Arial" w:cs="Arial"/>
          <w:sz w:val="28"/>
        </w:rPr>
        <w:t>8</w:t>
      </w:r>
      <w:r>
        <w:rPr>
          <w:rFonts w:ascii="Arial" w:eastAsia="仿宋_GB2312;仿宋" w:hAnsi="Arial" w:cs="Arial"/>
          <w:sz w:val="28"/>
        </w:rPr>
        <w:t>号公布，自</w:t>
      </w:r>
      <w:r>
        <w:rPr>
          <w:rFonts w:ascii="Arial" w:eastAsia="仿宋_GB2312;仿宋" w:hAnsi="Arial" w:cs="Arial"/>
          <w:sz w:val="28"/>
        </w:rPr>
        <w:t>1999</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2004</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28</w:t>
      </w:r>
      <w:r>
        <w:rPr>
          <w:rFonts w:ascii="Arial" w:eastAsia="仿宋_GB2312;仿宋" w:hAnsi="Arial" w:cs="Arial"/>
          <w:sz w:val="28"/>
        </w:rPr>
        <w:t>日第十届全国人民代表大会常务委员会第十一次会议第二次修正通过，中华人民共和国主席令第</w:t>
      </w:r>
      <w:r>
        <w:rPr>
          <w:rFonts w:ascii="Arial" w:eastAsia="仿宋_GB2312;仿宋" w:hAnsi="Arial" w:cs="Arial"/>
          <w:sz w:val="28"/>
        </w:rPr>
        <w:t>28</w:t>
      </w:r>
      <w:r>
        <w:rPr>
          <w:rFonts w:ascii="Arial" w:eastAsia="仿宋_GB2312;仿宋" w:hAnsi="Arial" w:cs="Arial"/>
          <w:sz w:val="28"/>
        </w:rPr>
        <w:t>号公布，自公布起日起施行；</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26</w:t>
      </w:r>
      <w:r>
        <w:rPr>
          <w:rFonts w:ascii="Arial" w:eastAsia="仿宋_GB2312;仿宋" w:hAnsi="Arial" w:cs="Arial"/>
          <w:sz w:val="28"/>
        </w:rPr>
        <w:t>日第十三届全国人民代表大会常务委员会第十二次会议第三次修正通过，自</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140A219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《中华人民共和国城市房地产管理法》（</w:t>
      </w:r>
      <w:r>
        <w:rPr>
          <w:rFonts w:ascii="Arial" w:eastAsia="仿宋_GB2312;仿宋" w:hAnsi="Arial" w:cs="Arial"/>
          <w:sz w:val="28"/>
        </w:rPr>
        <w:t>1994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5</w:t>
      </w:r>
      <w:r>
        <w:rPr>
          <w:rFonts w:ascii="Arial" w:eastAsia="仿宋_GB2312;仿宋" w:hAnsi="Arial" w:cs="Arial"/>
          <w:sz w:val="28"/>
        </w:rPr>
        <w:t>日第八届全国人民代表大会常务委员会第八次会议通过，中华人民共和国主席令第</w:t>
      </w:r>
      <w:r>
        <w:rPr>
          <w:rFonts w:ascii="Arial" w:eastAsia="仿宋_GB2312;仿宋" w:hAnsi="Arial" w:cs="Arial"/>
          <w:sz w:val="28"/>
        </w:rPr>
        <w:t>29</w:t>
      </w:r>
      <w:r>
        <w:rPr>
          <w:rFonts w:ascii="Arial" w:eastAsia="仿宋_GB2312;仿宋" w:hAnsi="Arial" w:cs="Arial"/>
          <w:sz w:val="28"/>
        </w:rPr>
        <w:t>号公布，自</w:t>
      </w:r>
      <w:r>
        <w:rPr>
          <w:rFonts w:ascii="Arial" w:eastAsia="仿宋_GB2312;仿宋" w:hAnsi="Arial" w:cs="Arial"/>
          <w:sz w:val="28"/>
        </w:rPr>
        <w:t>1995</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2007</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30</w:t>
      </w:r>
      <w:r>
        <w:rPr>
          <w:rFonts w:ascii="Arial" w:eastAsia="仿宋_GB2312;仿宋" w:hAnsi="Arial" w:cs="Arial"/>
          <w:sz w:val="28"/>
        </w:rPr>
        <w:t>日第十届全国人民代表大会常务委员会第二十九次会议通过第一次修正通过，中华人民共和国主席令第</w:t>
      </w:r>
      <w:r>
        <w:rPr>
          <w:rFonts w:ascii="Arial" w:eastAsia="仿宋_GB2312;仿宋" w:hAnsi="Arial" w:cs="Arial"/>
          <w:sz w:val="28"/>
        </w:rPr>
        <w:t>72</w:t>
      </w:r>
      <w:r>
        <w:rPr>
          <w:rFonts w:ascii="Arial" w:eastAsia="仿宋_GB2312;仿宋" w:hAnsi="Arial" w:cs="Arial"/>
          <w:sz w:val="28"/>
        </w:rPr>
        <w:t>号公布，自公布之日起施行；</w:t>
      </w:r>
      <w:r>
        <w:rPr>
          <w:rFonts w:ascii="Arial" w:eastAsia="仿宋_GB2312;仿宋" w:hAnsi="Arial" w:cs="Arial"/>
          <w:sz w:val="28"/>
        </w:rPr>
        <w:t>2009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27</w:t>
      </w:r>
      <w:r>
        <w:rPr>
          <w:rFonts w:ascii="Arial" w:eastAsia="仿宋_GB2312;仿宋" w:hAnsi="Arial" w:cs="Arial"/>
          <w:sz w:val="28"/>
        </w:rPr>
        <w:t>日第十一届全国人民代表大会常务委员会第十次会议第二次修正通过，中华人民共和国主席令第</w:t>
      </w:r>
      <w:r>
        <w:rPr>
          <w:rFonts w:ascii="Arial" w:eastAsia="仿宋_GB2312;仿宋" w:hAnsi="Arial" w:cs="Arial"/>
          <w:sz w:val="28"/>
        </w:rPr>
        <w:t>18</w:t>
      </w:r>
      <w:r>
        <w:rPr>
          <w:rFonts w:ascii="Arial" w:eastAsia="仿宋_GB2312;仿宋" w:hAnsi="Arial" w:cs="Arial"/>
          <w:sz w:val="28"/>
        </w:rPr>
        <w:t>号公布，自公布之日起施行；</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26</w:t>
      </w:r>
      <w:r>
        <w:rPr>
          <w:rFonts w:ascii="Arial" w:eastAsia="仿宋_GB2312;仿宋" w:hAnsi="Arial" w:cs="Arial"/>
          <w:sz w:val="28"/>
        </w:rPr>
        <w:t>日第十三届全国人大常委会第十二次会议通过第三次修正，自</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63B6A67E" w14:textId="77777777" w:rsidR="00E70101" w:rsidRDefault="0060680B">
      <w:pPr>
        <w:spacing w:line="360" w:lineRule="auto"/>
        <w:ind w:firstLine="560"/>
        <w:jc w:val="both"/>
      </w:pPr>
      <w:r>
        <w:rPr>
          <w:rFonts w:ascii="Arial" w:eastAsia="仿宋_GB2312;仿宋" w:hAnsi="Arial" w:cs="Arial"/>
          <w:sz w:val="28"/>
        </w:rPr>
        <w:t>3.</w:t>
      </w:r>
      <w:r>
        <w:rPr>
          <w:rFonts w:ascii="Arial" w:eastAsia="仿宋_GB2312;仿宋" w:hAnsi="Arial" w:cs="Arial"/>
          <w:sz w:val="28"/>
        </w:rPr>
        <w:t>《中华人民共和国城乡规划法》（</w:t>
      </w:r>
      <w:r>
        <w:rPr>
          <w:rFonts w:ascii="Arial" w:eastAsia="仿宋_GB2312;仿宋" w:hAnsi="Arial" w:cs="Arial"/>
          <w:sz w:val="28"/>
        </w:rPr>
        <w:t xml:space="preserve">2007 </w:t>
      </w:r>
      <w:r>
        <w:rPr>
          <w:rFonts w:ascii="Arial" w:eastAsia="仿宋_GB2312;仿宋" w:hAnsi="Arial" w:cs="Arial"/>
          <w:sz w:val="28"/>
        </w:rPr>
        <w:t>年</w:t>
      </w:r>
      <w:r>
        <w:rPr>
          <w:rFonts w:ascii="Arial" w:eastAsia="Arial" w:hAnsi="Arial" w:cs="Arial"/>
          <w:sz w:val="28"/>
        </w:rPr>
        <w:t xml:space="preserve"> </w:t>
      </w:r>
      <w:r>
        <w:rPr>
          <w:rFonts w:ascii="Arial" w:eastAsia="仿宋_GB2312;仿宋" w:hAnsi="Arial" w:cs="Arial"/>
          <w:sz w:val="28"/>
        </w:rPr>
        <w:t xml:space="preserve">10 </w:t>
      </w:r>
      <w:r>
        <w:rPr>
          <w:rFonts w:ascii="Arial" w:eastAsia="仿宋_GB2312;仿宋" w:hAnsi="Arial" w:cs="Arial"/>
          <w:sz w:val="28"/>
        </w:rPr>
        <w:t>月</w:t>
      </w:r>
      <w:r>
        <w:rPr>
          <w:rFonts w:ascii="Arial" w:eastAsia="Arial" w:hAnsi="Arial" w:cs="Arial"/>
          <w:sz w:val="28"/>
        </w:rPr>
        <w:t xml:space="preserve"> </w:t>
      </w:r>
      <w:r>
        <w:rPr>
          <w:rFonts w:ascii="Arial" w:eastAsia="仿宋_GB2312;仿宋" w:hAnsi="Arial" w:cs="Arial"/>
          <w:sz w:val="28"/>
        </w:rPr>
        <w:t xml:space="preserve">28 </w:t>
      </w:r>
      <w:r>
        <w:rPr>
          <w:rFonts w:ascii="Arial" w:eastAsia="仿宋_GB2312;仿宋" w:hAnsi="Arial" w:cs="Arial"/>
          <w:sz w:val="28"/>
        </w:rPr>
        <w:t>日第十届全国人民代表大会常务委员会第三十次会议通过，中华人民共和国主席令第</w:t>
      </w:r>
      <w:r>
        <w:rPr>
          <w:rFonts w:ascii="Arial" w:eastAsia="仿宋_GB2312;仿宋" w:hAnsi="Arial" w:cs="Arial"/>
          <w:sz w:val="28"/>
        </w:rPr>
        <w:t>74</w:t>
      </w:r>
      <w:r>
        <w:rPr>
          <w:rFonts w:ascii="Arial" w:eastAsia="仿宋_GB2312;仿宋" w:hAnsi="Arial" w:cs="Arial"/>
          <w:sz w:val="28"/>
        </w:rPr>
        <w:t>号，自公布之日起施行；根据</w:t>
      </w:r>
      <w:r>
        <w:rPr>
          <w:rFonts w:ascii="Arial" w:eastAsia="Arial" w:hAnsi="Arial" w:cs="Arial"/>
          <w:sz w:val="28"/>
        </w:rPr>
        <w:t xml:space="preserve"> </w:t>
      </w:r>
      <w:r>
        <w:rPr>
          <w:rFonts w:ascii="Arial" w:eastAsia="仿宋_GB2312;仿宋" w:hAnsi="Arial" w:cs="Arial"/>
          <w:sz w:val="28"/>
        </w:rPr>
        <w:t xml:space="preserve">2015 </w:t>
      </w:r>
      <w:r>
        <w:rPr>
          <w:rFonts w:ascii="Arial" w:eastAsia="仿宋_GB2312;仿宋" w:hAnsi="Arial" w:cs="Arial"/>
          <w:sz w:val="28"/>
        </w:rPr>
        <w:t>年</w:t>
      </w:r>
      <w:r>
        <w:rPr>
          <w:rFonts w:ascii="Arial" w:eastAsia="Arial" w:hAnsi="Arial" w:cs="Arial"/>
          <w:sz w:val="28"/>
        </w:rPr>
        <w:t xml:space="preserve"> </w:t>
      </w:r>
      <w:r>
        <w:rPr>
          <w:rFonts w:ascii="Arial" w:eastAsia="仿宋_GB2312;仿宋" w:hAnsi="Arial" w:cs="Arial"/>
          <w:sz w:val="28"/>
        </w:rPr>
        <w:t xml:space="preserve">4 </w:t>
      </w:r>
      <w:r>
        <w:rPr>
          <w:rFonts w:ascii="Arial" w:eastAsia="仿宋_GB2312;仿宋" w:hAnsi="Arial" w:cs="Arial"/>
          <w:sz w:val="28"/>
        </w:rPr>
        <w:t>月</w:t>
      </w:r>
      <w:r>
        <w:rPr>
          <w:rFonts w:ascii="Arial" w:eastAsia="Arial" w:hAnsi="Arial" w:cs="Arial"/>
          <w:sz w:val="28"/>
        </w:rPr>
        <w:t xml:space="preserve"> </w:t>
      </w:r>
      <w:r>
        <w:rPr>
          <w:rFonts w:ascii="Arial" w:eastAsia="仿宋_GB2312;仿宋" w:hAnsi="Arial" w:cs="Arial"/>
          <w:sz w:val="28"/>
        </w:rPr>
        <w:t xml:space="preserve">24 </w:t>
      </w:r>
      <w:r>
        <w:rPr>
          <w:rFonts w:ascii="Arial" w:eastAsia="仿宋_GB2312;仿宋" w:hAnsi="Arial" w:cs="Arial"/>
          <w:sz w:val="28"/>
        </w:rPr>
        <w:t>日第十二届全国人民代表大会常务委员会第十四次会议通过第一次修正，中华人民共和国主席令第</w:t>
      </w:r>
      <w:r>
        <w:rPr>
          <w:rFonts w:ascii="Arial" w:eastAsia="仿宋_GB2312;仿宋" w:hAnsi="Arial" w:cs="Arial"/>
          <w:sz w:val="28"/>
        </w:rPr>
        <w:t>23</w:t>
      </w:r>
      <w:r>
        <w:rPr>
          <w:rFonts w:ascii="Arial" w:eastAsia="仿宋_GB2312;仿宋" w:hAnsi="Arial" w:cs="Arial"/>
          <w:sz w:val="28"/>
        </w:rPr>
        <w:t>号公布，自公布之日起施行；根据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23</w:t>
      </w:r>
      <w:r>
        <w:rPr>
          <w:rFonts w:ascii="Arial" w:eastAsia="仿宋_GB2312;仿宋" w:hAnsi="Arial" w:cs="Arial"/>
          <w:sz w:val="28"/>
        </w:rPr>
        <w:t>日第十三届全国人民代表大会常务委员会第十次会议通过第二次修正，自公布之日起施行）</w:t>
      </w:r>
    </w:p>
    <w:p w14:paraId="711E2269"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《不动产登记暂行条例》（</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11</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日中华人民共和国国务院令第</w:t>
      </w:r>
      <w:r>
        <w:rPr>
          <w:rFonts w:ascii="Arial" w:eastAsia="仿宋_GB2312;仿宋" w:hAnsi="Arial" w:cs="Arial"/>
          <w:sz w:val="28"/>
        </w:rPr>
        <w:t>656</w:t>
      </w:r>
      <w:r>
        <w:rPr>
          <w:rFonts w:ascii="Arial" w:eastAsia="仿宋_GB2312;仿宋" w:hAnsi="Arial" w:cs="Arial"/>
          <w:sz w:val="28"/>
        </w:rPr>
        <w:t>号公布，自</w:t>
      </w:r>
      <w:r>
        <w:rPr>
          <w:rFonts w:ascii="Arial" w:eastAsia="仿宋_GB2312;仿宋" w:hAnsi="Arial" w:cs="Arial"/>
          <w:sz w:val="28"/>
        </w:rPr>
        <w:t>2015</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日公布的《国务院关于修改部分行政法规的决定》</w:t>
      </w:r>
      <w:r>
        <w:rPr>
          <w:rFonts w:ascii="Arial" w:eastAsia="仿宋_GB2312;仿宋" w:hAnsi="Arial" w:cs="Arial"/>
          <w:sz w:val="28"/>
        </w:rPr>
        <w:t>[</w:t>
      </w:r>
      <w:r>
        <w:rPr>
          <w:rFonts w:ascii="Arial" w:eastAsia="仿宋_GB2312;仿宋" w:hAnsi="Arial" w:cs="Arial"/>
          <w:sz w:val="28"/>
        </w:rPr>
        <w:t>中华人民共和国国务院令第</w:t>
      </w:r>
      <w:r>
        <w:rPr>
          <w:rFonts w:ascii="Arial" w:eastAsia="仿宋_GB2312;仿宋" w:hAnsi="Arial" w:cs="Arial"/>
          <w:sz w:val="28"/>
        </w:rPr>
        <w:t>710</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修订，自公布之日起施行）</w:t>
      </w:r>
    </w:p>
    <w:p w14:paraId="2C1B12E7"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《不动产登记暂行条例实施细则》（</w:t>
      </w:r>
      <w:r>
        <w:rPr>
          <w:rFonts w:ascii="Arial" w:eastAsia="仿宋_GB2312;仿宋" w:hAnsi="Arial" w:cs="Arial"/>
          <w:sz w:val="28"/>
        </w:rPr>
        <w:t>2015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日国土资源部第</w:t>
      </w:r>
      <w:r>
        <w:rPr>
          <w:rFonts w:ascii="Arial" w:eastAsia="仿宋_GB2312;仿宋" w:hAnsi="Arial" w:cs="Arial"/>
          <w:sz w:val="28"/>
        </w:rPr>
        <w:t>3</w:t>
      </w:r>
      <w:r>
        <w:rPr>
          <w:rFonts w:ascii="Arial" w:eastAsia="仿宋_GB2312;仿宋" w:hAnsi="Arial" w:cs="Arial"/>
          <w:sz w:val="28"/>
        </w:rPr>
        <w:t>次部务会议通过，自</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日自然资源部第</w:t>
      </w:r>
      <w:r>
        <w:rPr>
          <w:rFonts w:ascii="Arial" w:eastAsia="仿宋_GB2312;仿宋" w:hAnsi="Arial" w:cs="Arial"/>
          <w:sz w:val="28"/>
        </w:rPr>
        <w:t>2</w:t>
      </w:r>
      <w:r>
        <w:rPr>
          <w:rFonts w:ascii="Arial" w:eastAsia="仿宋_GB2312;仿宋" w:hAnsi="Arial" w:cs="Arial"/>
          <w:sz w:val="28"/>
        </w:rPr>
        <w:t>次部务会议审议通过《自然资源部关于第一批废止和修改的部门规章的决定》</w:t>
      </w:r>
      <w:r>
        <w:rPr>
          <w:rFonts w:ascii="Arial" w:eastAsia="仿宋_GB2312;仿宋" w:hAnsi="Arial" w:cs="Arial"/>
          <w:sz w:val="28"/>
        </w:rPr>
        <w:t>[</w:t>
      </w:r>
      <w:r>
        <w:rPr>
          <w:rFonts w:ascii="Arial" w:eastAsia="仿宋_GB2312;仿宋" w:hAnsi="Arial" w:cs="Arial"/>
          <w:sz w:val="28"/>
        </w:rPr>
        <w:t>中华人民共和国自然资源部令第</w:t>
      </w:r>
      <w:r>
        <w:rPr>
          <w:rFonts w:ascii="Arial" w:eastAsia="仿宋_GB2312;仿宋" w:hAnsi="Arial" w:cs="Arial"/>
          <w:sz w:val="28"/>
        </w:rPr>
        <w:t>5</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修订，自公布之日起施行）</w:t>
      </w:r>
    </w:p>
    <w:p w14:paraId="25B0EC08"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《中华人民共和国资产评估法》（</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日第十二届全国人民代表大会常务委员会第二十一次会议通过，</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日中华人民共和国主席令第</w:t>
      </w:r>
      <w:r>
        <w:rPr>
          <w:rFonts w:ascii="Arial" w:eastAsia="仿宋_GB2312;仿宋" w:hAnsi="Arial" w:cs="Arial"/>
          <w:sz w:val="28"/>
        </w:rPr>
        <w:t>46</w:t>
      </w:r>
      <w:r>
        <w:rPr>
          <w:rFonts w:ascii="Arial" w:eastAsia="仿宋_GB2312;仿宋" w:hAnsi="Arial" w:cs="Arial"/>
          <w:sz w:val="28"/>
        </w:rPr>
        <w:t>号公布，自</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0F5BA6A8"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7.</w:t>
      </w:r>
      <w:r>
        <w:rPr>
          <w:rFonts w:ascii="Arial" w:eastAsia="仿宋_GB2312;仿宋" w:hAnsi="Arial" w:cs="Arial"/>
          <w:sz w:val="28"/>
        </w:rPr>
        <w:t>《中华人民共和国民法典》（</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w:t>
      </w:r>
      <w:r>
        <w:rPr>
          <w:rFonts w:ascii="Arial" w:eastAsia="仿宋_GB2312;仿宋" w:hAnsi="Arial" w:cs="Arial"/>
          <w:sz w:val="28"/>
        </w:rPr>
        <w:t>28</w:t>
      </w:r>
      <w:r>
        <w:rPr>
          <w:rFonts w:ascii="Arial" w:eastAsia="仿宋_GB2312;仿宋" w:hAnsi="Arial" w:cs="Arial"/>
          <w:sz w:val="28"/>
        </w:rPr>
        <w:t>日第十三届全国人大三次会议表决通过，自</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4A1533E7"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8.</w:t>
      </w:r>
      <w:r>
        <w:rPr>
          <w:rFonts w:ascii="Arial" w:eastAsia="仿宋_GB2312;仿宋" w:hAnsi="Arial" w:cs="Arial"/>
          <w:sz w:val="28"/>
        </w:rPr>
        <w:t>《中华人民共和国城镇国有土地使用权出让和转让暂行条例》（</w:t>
      </w:r>
      <w:r>
        <w:rPr>
          <w:rFonts w:ascii="Arial" w:eastAsia="仿宋_GB2312;仿宋" w:hAnsi="Arial" w:cs="Arial"/>
          <w:sz w:val="28"/>
        </w:rPr>
        <w:t>1990</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w:t>
      </w:r>
      <w:r>
        <w:rPr>
          <w:rFonts w:ascii="Arial" w:eastAsia="仿宋_GB2312;仿宋" w:hAnsi="Arial" w:cs="Arial"/>
          <w:sz w:val="28"/>
        </w:rPr>
        <w:t>19</w:t>
      </w:r>
      <w:r>
        <w:rPr>
          <w:rFonts w:ascii="Arial" w:eastAsia="仿宋_GB2312;仿宋" w:hAnsi="Arial" w:cs="Arial"/>
          <w:sz w:val="28"/>
        </w:rPr>
        <w:t>日中华人民共和国国务院令第</w:t>
      </w:r>
      <w:r>
        <w:rPr>
          <w:rFonts w:ascii="Arial" w:eastAsia="仿宋_GB2312;仿宋" w:hAnsi="Arial" w:cs="Arial"/>
          <w:sz w:val="28"/>
        </w:rPr>
        <w:t>55</w:t>
      </w:r>
      <w:r>
        <w:rPr>
          <w:rFonts w:ascii="Arial" w:eastAsia="仿宋_GB2312;仿宋" w:hAnsi="Arial" w:cs="Arial"/>
          <w:sz w:val="28"/>
        </w:rPr>
        <w:t>号发布，自发布之日起施行）</w:t>
      </w:r>
    </w:p>
    <w:p w14:paraId="2A74F997"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9.</w:t>
      </w:r>
      <w:r>
        <w:rPr>
          <w:rFonts w:ascii="Arial" w:eastAsia="仿宋_GB2312;仿宋" w:hAnsi="Arial" w:cs="Arial"/>
          <w:sz w:val="28"/>
        </w:rPr>
        <w:t>《中华人民共和国土地管理法实施条例》（</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日国务院第</w:t>
      </w:r>
      <w:r>
        <w:rPr>
          <w:rFonts w:ascii="Arial" w:eastAsia="仿宋_GB2312;仿宋" w:hAnsi="Arial" w:cs="Arial"/>
          <w:sz w:val="28"/>
        </w:rPr>
        <w:t>12</w:t>
      </w:r>
      <w:r>
        <w:rPr>
          <w:rFonts w:ascii="Arial" w:eastAsia="仿宋_GB2312;仿宋" w:hAnsi="Arial" w:cs="Arial"/>
          <w:sz w:val="28"/>
        </w:rPr>
        <w:t>次常务会议通过</w:t>
      </w:r>
      <w:r>
        <w:rPr>
          <w:rFonts w:ascii="Arial" w:eastAsia="Arial" w:hAnsi="Arial" w:cs="Arial"/>
          <w:sz w:val="28"/>
        </w:rPr>
        <w:t xml:space="preserve"> </w:t>
      </w:r>
      <w:r>
        <w:rPr>
          <w:rFonts w:ascii="Arial" w:eastAsia="仿宋_GB2312;仿宋" w:hAnsi="Arial" w:cs="Arial"/>
          <w:sz w:val="28"/>
        </w:rPr>
        <w:t>，</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27</w:t>
      </w:r>
      <w:r>
        <w:rPr>
          <w:rFonts w:ascii="Arial" w:eastAsia="仿宋_GB2312;仿宋" w:hAnsi="Arial" w:cs="Arial"/>
          <w:sz w:val="28"/>
        </w:rPr>
        <w:t>日中华人民共和国国务院令第</w:t>
      </w:r>
      <w:r>
        <w:rPr>
          <w:rFonts w:ascii="Arial" w:eastAsia="仿宋_GB2312;仿宋" w:hAnsi="Arial" w:cs="Arial"/>
          <w:sz w:val="28"/>
        </w:rPr>
        <w:t>256</w:t>
      </w:r>
      <w:r>
        <w:rPr>
          <w:rFonts w:ascii="Arial" w:eastAsia="仿宋_GB2312;仿宋" w:hAnsi="Arial" w:cs="Arial"/>
          <w:sz w:val="28"/>
        </w:rPr>
        <w:t>号发布，自</w:t>
      </w:r>
      <w:r>
        <w:rPr>
          <w:rFonts w:ascii="Arial" w:eastAsia="仿宋_GB2312;仿宋" w:hAnsi="Arial" w:cs="Arial"/>
          <w:sz w:val="28"/>
        </w:rPr>
        <w:t>1999</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2010</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日国务院第</w:t>
      </w:r>
      <w:r>
        <w:rPr>
          <w:rFonts w:ascii="Arial" w:eastAsia="仿宋_GB2312;仿宋" w:hAnsi="Arial" w:cs="Arial"/>
          <w:sz w:val="28"/>
        </w:rPr>
        <w:t>138</w:t>
      </w:r>
      <w:r>
        <w:rPr>
          <w:rFonts w:ascii="Arial" w:eastAsia="仿宋_GB2312;仿宋" w:hAnsi="Arial" w:cs="Arial"/>
          <w:sz w:val="28"/>
        </w:rPr>
        <w:t>次常务会议第一次修正通过，</w:t>
      </w:r>
      <w:r>
        <w:rPr>
          <w:rFonts w:ascii="Arial" w:eastAsia="仿宋_GB2312;仿宋" w:hAnsi="Arial" w:cs="Arial"/>
          <w:sz w:val="28"/>
        </w:rPr>
        <w:t>2011</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8</w:t>
      </w:r>
      <w:r>
        <w:rPr>
          <w:rFonts w:ascii="Arial" w:eastAsia="仿宋_GB2312;仿宋" w:hAnsi="Arial" w:cs="Arial"/>
          <w:sz w:val="28"/>
        </w:rPr>
        <w:t>日中华人民共和国国务院令第</w:t>
      </w:r>
      <w:r>
        <w:rPr>
          <w:rFonts w:ascii="Arial" w:eastAsia="仿宋_GB2312;仿宋" w:hAnsi="Arial" w:cs="Arial"/>
          <w:sz w:val="28"/>
        </w:rPr>
        <w:t>588</w:t>
      </w:r>
      <w:r>
        <w:rPr>
          <w:rFonts w:ascii="Arial" w:eastAsia="仿宋_GB2312;仿宋" w:hAnsi="Arial" w:cs="Arial"/>
          <w:sz w:val="28"/>
        </w:rPr>
        <w:t>号发布，自发布之日起施行；</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9</w:t>
      </w:r>
      <w:r>
        <w:rPr>
          <w:rFonts w:ascii="Arial" w:eastAsia="仿宋_GB2312;仿宋" w:hAnsi="Arial" w:cs="Arial"/>
          <w:sz w:val="28"/>
        </w:rPr>
        <w:t>日国务院第</w:t>
      </w:r>
      <w:r>
        <w:rPr>
          <w:rFonts w:ascii="Arial" w:eastAsia="仿宋_GB2312;仿宋" w:hAnsi="Arial" w:cs="Arial"/>
          <w:sz w:val="28"/>
        </w:rPr>
        <w:t>54</w:t>
      </w:r>
      <w:r>
        <w:rPr>
          <w:rFonts w:ascii="Arial" w:eastAsia="仿宋_GB2312;仿宋" w:hAnsi="Arial" w:cs="Arial"/>
          <w:sz w:val="28"/>
        </w:rPr>
        <w:t>次常务会议第二次修正通过，</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日中华人民共和国国务院令第</w:t>
      </w:r>
      <w:r>
        <w:rPr>
          <w:rFonts w:ascii="Arial" w:eastAsia="仿宋_GB2312;仿宋" w:hAnsi="Arial" w:cs="Arial"/>
          <w:sz w:val="28"/>
        </w:rPr>
        <w:t>653</w:t>
      </w:r>
      <w:r>
        <w:rPr>
          <w:rFonts w:ascii="Arial" w:eastAsia="仿宋_GB2312;仿宋" w:hAnsi="Arial" w:cs="Arial"/>
          <w:sz w:val="28"/>
        </w:rPr>
        <w:t>号公布，自公布之日起施行；</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21</w:t>
      </w:r>
      <w:r>
        <w:rPr>
          <w:rFonts w:ascii="Arial" w:eastAsia="仿宋_GB2312;仿宋" w:hAnsi="Arial" w:cs="Arial"/>
          <w:sz w:val="28"/>
        </w:rPr>
        <w:t>日国务院第</w:t>
      </w:r>
      <w:r>
        <w:rPr>
          <w:rFonts w:ascii="Arial" w:eastAsia="仿宋_GB2312;仿宋" w:hAnsi="Arial" w:cs="Arial"/>
          <w:sz w:val="28"/>
        </w:rPr>
        <w:t>132</w:t>
      </w:r>
      <w:r>
        <w:rPr>
          <w:rFonts w:ascii="Arial" w:eastAsia="仿宋_GB2312;仿宋" w:hAnsi="Arial" w:cs="Arial"/>
          <w:sz w:val="28"/>
        </w:rPr>
        <w:t>次会议第三次修订通过，</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日中华人民共和国国务院令第</w:t>
      </w:r>
      <w:r>
        <w:rPr>
          <w:rFonts w:ascii="Arial" w:eastAsia="仿宋_GB2312;仿宋" w:hAnsi="Arial" w:cs="Arial"/>
          <w:sz w:val="28"/>
        </w:rPr>
        <w:t>743</w:t>
      </w:r>
      <w:r>
        <w:rPr>
          <w:rFonts w:ascii="Arial" w:eastAsia="仿宋_GB2312;仿宋" w:hAnsi="Arial" w:cs="Arial"/>
          <w:sz w:val="28"/>
        </w:rPr>
        <w:t>号公布，自</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6497D31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10.</w:t>
      </w:r>
      <w:bookmarkStart w:id="29" w:name="_Hlk144732994"/>
      <w:r>
        <w:rPr>
          <w:rFonts w:ascii="Arial" w:eastAsia="仿宋_GB2312;仿宋" w:hAnsi="Arial" w:cs="Arial"/>
          <w:sz w:val="28"/>
        </w:rPr>
        <w:t>《北京市人民政府关于更新出让国有建设用地使用权基准地价的通知》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bookmarkEnd w:id="29"/>
    </w:p>
    <w:p w14:paraId="2F8942BD" w14:textId="77777777" w:rsidR="00E70101" w:rsidRDefault="0060680B">
      <w:pPr>
        <w:spacing w:line="360" w:lineRule="auto"/>
        <w:ind w:firstLine="560"/>
        <w:jc w:val="both"/>
      </w:pPr>
      <w:r>
        <w:rPr>
          <w:rFonts w:ascii="Arial" w:eastAsia="仿宋_GB2312;仿宋" w:hAnsi="Arial" w:cs="Arial"/>
          <w:sz w:val="28"/>
        </w:rPr>
        <w:t>11.</w:t>
      </w:r>
      <w:r>
        <w:rPr>
          <w:rFonts w:ascii="Arial" w:eastAsia="仿宋_GB2312;仿宋" w:hAnsi="Arial" w:cs="Arial"/>
          <w:sz w:val="28"/>
        </w:rPr>
        <w:t>《关于进一步规范土地一级开发项目管理费和利润管理的通知》</w:t>
      </w:r>
      <w:r>
        <w:rPr>
          <w:rFonts w:ascii="Arial" w:eastAsia="仿宋_GB2312;仿宋" w:hAnsi="Arial" w:cs="Arial"/>
          <w:sz w:val="28"/>
        </w:rPr>
        <w:t>[</w:t>
      </w:r>
      <w:r>
        <w:rPr>
          <w:rFonts w:ascii="Arial" w:eastAsia="仿宋_GB2312;仿宋" w:hAnsi="Arial" w:cs="Arial"/>
          <w:sz w:val="28"/>
        </w:rPr>
        <w:t>京规自发（</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303</w:t>
      </w:r>
      <w:r>
        <w:rPr>
          <w:rFonts w:ascii="Arial" w:eastAsia="仿宋_GB2312;仿宋" w:hAnsi="Arial" w:cs="Arial"/>
          <w:sz w:val="28"/>
        </w:rPr>
        <w:t>号</w:t>
      </w:r>
      <w:r>
        <w:rPr>
          <w:rFonts w:ascii="Arial" w:eastAsia="仿宋_GB2312;仿宋" w:hAnsi="Arial" w:cs="Arial"/>
          <w:sz w:val="28"/>
        </w:rPr>
        <w:t>]</w:t>
      </w:r>
    </w:p>
    <w:p w14:paraId="3FD22766" w14:textId="77777777" w:rsidR="00E70101" w:rsidRDefault="0060680B">
      <w:pPr>
        <w:spacing w:line="360" w:lineRule="auto"/>
        <w:ind w:firstLine="560"/>
        <w:jc w:val="both"/>
        <w:rPr>
          <w:rFonts w:ascii="Arial" w:hAnsi="Arial" w:cs="Arial"/>
          <w:sz w:val="28"/>
          <w:szCs w:val="28"/>
        </w:rPr>
      </w:pPr>
      <w:r>
        <w:rPr>
          <w:rFonts w:ascii="Arial" w:eastAsia="仿宋_GB2312;仿宋" w:hAnsi="Arial" w:cs="Arial"/>
          <w:sz w:val="28"/>
        </w:rPr>
        <w:t>12.</w:t>
      </w:r>
      <w:r>
        <w:rPr>
          <w:rFonts w:ascii="Arial" w:eastAsia="仿宋_GB2312;仿宋" w:hAnsi="Arial" w:cs="Arial"/>
          <w:sz w:val="28"/>
        </w:rPr>
        <w:t>《国有土地上房屋征收与补偿条例》</w:t>
      </w:r>
      <w:r>
        <w:rPr>
          <w:rFonts w:ascii="Arial" w:eastAsia="仿宋_GB2312;仿宋" w:hAnsi="Arial" w:cs="Arial"/>
          <w:sz w:val="28"/>
        </w:rPr>
        <w:t>[</w:t>
      </w:r>
      <w:r>
        <w:rPr>
          <w:rFonts w:ascii="Arial" w:eastAsia="仿宋_GB2312;仿宋" w:hAnsi="Arial" w:cs="Arial"/>
          <w:sz w:val="28"/>
        </w:rPr>
        <w:t>中华人民共和国国务院令第</w:t>
      </w:r>
      <w:r>
        <w:rPr>
          <w:rFonts w:ascii="Arial" w:eastAsia="仿宋_GB2312;仿宋" w:hAnsi="Arial" w:cs="Arial"/>
          <w:sz w:val="28"/>
        </w:rPr>
        <w:t>590</w:t>
      </w:r>
      <w:r>
        <w:rPr>
          <w:rFonts w:ascii="Arial" w:eastAsia="仿宋_GB2312;仿宋" w:hAnsi="Arial" w:cs="Arial"/>
          <w:sz w:val="28"/>
        </w:rPr>
        <w:t>号</w:t>
      </w:r>
      <w:r>
        <w:rPr>
          <w:rFonts w:ascii="Arial" w:eastAsia="仿宋_GB2312;仿宋" w:hAnsi="Arial" w:cs="Arial"/>
          <w:sz w:val="28"/>
        </w:rPr>
        <w:t>]</w:t>
      </w:r>
    </w:p>
    <w:p w14:paraId="7C3E4C9E" w14:textId="77777777" w:rsidR="00E70101" w:rsidRDefault="0060680B">
      <w:pPr>
        <w:spacing w:line="360" w:lineRule="auto"/>
        <w:ind w:firstLine="560"/>
        <w:jc w:val="both"/>
      </w:pPr>
      <w:r>
        <w:rPr>
          <w:rFonts w:ascii="Arial" w:eastAsia="仿宋_GB2312;仿宋" w:hAnsi="Arial" w:cs="Arial"/>
          <w:sz w:val="28"/>
        </w:rPr>
        <w:t>13.</w:t>
      </w:r>
      <w:r>
        <w:rPr>
          <w:rFonts w:ascii="Arial" w:eastAsia="仿宋_GB2312;仿宋" w:hAnsi="Arial" w:cs="Arial"/>
          <w:sz w:val="28"/>
        </w:rPr>
        <w:t>关于印发《北京市国有土地上房屋征收停产停业损失补偿暂行办法》的通知</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w:t>
      </w:r>
    </w:p>
    <w:p w14:paraId="7D0E3E0F"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14.</w:t>
      </w:r>
      <w:r>
        <w:rPr>
          <w:rFonts w:ascii="Arial" w:eastAsia="仿宋_GB2312;仿宋" w:hAnsi="Arial" w:cs="Arial"/>
          <w:sz w:val="28"/>
        </w:rPr>
        <w:t>《关于国有土地上房屋征收与补偿中有关事项的通知》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2012</w:t>
      </w:r>
      <w:r>
        <w:rPr>
          <w:rFonts w:ascii="Arial" w:eastAsia="仿宋_GB2312;仿宋"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p>
    <w:p w14:paraId="266FBE9C" w14:textId="77777777" w:rsidR="00E70101" w:rsidRDefault="0060680B">
      <w:pPr>
        <w:spacing w:line="360" w:lineRule="auto"/>
        <w:ind w:firstLine="560"/>
        <w:jc w:val="both"/>
        <w:rPr>
          <w:rFonts w:ascii="Arial" w:eastAsia="仿宋_GB2312;仿宋" w:hAnsi="Arial" w:cs="Arial"/>
          <w:color w:val="E36C0A"/>
          <w:sz w:val="28"/>
        </w:rPr>
      </w:pPr>
      <w:r>
        <w:rPr>
          <w:rFonts w:ascii="Arial" w:eastAsia="仿宋_GB2312;仿宋" w:hAnsi="Arial" w:cs="Arial"/>
          <w:sz w:val="28"/>
        </w:rPr>
        <w:t>15.</w:t>
      </w:r>
      <w:r>
        <w:rPr>
          <w:rFonts w:ascii="Arial" w:eastAsia="仿宋_GB2312;仿宋" w:hAnsi="Arial" w:cs="Arial"/>
          <w:sz w:val="28"/>
        </w:rPr>
        <w:t>《自然资源部办公厅关于印发</w:t>
      </w:r>
      <w:r>
        <w:rPr>
          <w:rFonts w:ascii="仿宋" w:eastAsia="仿宋" w:hAnsi="仿宋" w:cs="Arial"/>
          <w:sz w:val="28"/>
        </w:rPr>
        <w:t>〈</w:t>
      </w:r>
      <w:r>
        <w:rPr>
          <w:rFonts w:ascii="Arial" w:eastAsia="仿宋_GB2312;仿宋" w:hAnsi="Arial" w:cs="Arial"/>
          <w:sz w:val="28"/>
        </w:rPr>
        <w:t>国土空间调查、规划、用途管制用地用海分类指南（试行）</w:t>
      </w:r>
      <w:r>
        <w:rPr>
          <w:rFonts w:ascii="仿宋" w:eastAsia="仿宋" w:hAnsi="仿宋" w:cs="Arial"/>
          <w:sz w:val="28"/>
        </w:rPr>
        <w:t>〉</w:t>
      </w:r>
      <w:r>
        <w:rPr>
          <w:rFonts w:ascii="Arial" w:eastAsia="仿宋_GB2312;仿宋" w:hAnsi="Arial" w:cs="Arial"/>
          <w:sz w:val="28"/>
        </w:rPr>
        <w:t>的通知》</w:t>
      </w:r>
      <w:r>
        <w:rPr>
          <w:rFonts w:ascii="Arial" w:eastAsia="仿宋_GB2312;仿宋" w:hAnsi="Arial" w:cs="Arial"/>
          <w:sz w:val="28"/>
        </w:rPr>
        <w:t>[</w:t>
      </w:r>
      <w:r>
        <w:rPr>
          <w:rFonts w:ascii="Arial" w:eastAsia="仿宋_GB2312;仿宋" w:hAnsi="Arial" w:cs="Arial"/>
          <w:sz w:val="28"/>
        </w:rPr>
        <w:t>自然资办发〔</w:t>
      </w:r>
      <w:r>
        <w:rPr>
          <w:rFonts w:ascii="Arial" w:eastAsia="仿宋_GB2312;仿宋" w:hAnsi="Arial" w:cs="Arial"/>
          <w:sz w:val="28"/>
        </w:rPr>
        <w:t>2020</w:t>
      </w:r>
      <w:r>
        <w:rPr>
          <w:rFonts w:ascii="Arial" w:eastAsia="仿宋_GB2312;仿宋" w:hAnsi="Arial" w:cs="Arial"/>
          <w:sz w:val="28"/>
        </w:rPr>
        <w:t>〕</w:t>
      </w:r>
      <w:r>
        <w:rPr>
          <w:rFonts w:ascii="Arial" w:eastAsia="仿宋_GB2312;仿宋" w:hAnsi="Arial" w:cs="Arial"/>
          <w:sz w:val="28"/>
        </w:rPr>
        <w:t>51</w:t>
      </w:r>
      <w:r>
        <w:rPr>
          <w:rFonts w:ascii="Arial" w:eastAsia="仿宋_GB2312;仿宋" w:hAnsi="Arial" w:cs="Arial"/>
          <w:sz w:val="28"/>
        </w:rPr>
        <w:t>号</w:t>
      </w:r>
      <w:r>
        <w:rPr>
          <w:rFonts w:ascii="Arial" w:eastAsia="仿宋_GB2312;仿宋" w:hAnsi="Arial" w:cs="Arial"/>
          <w:sz w:val="28"/>
        </w:rPr>
        <w:t>]</w:t>
      </w:r>
    </w:p>
    <w:p w14:paraId="27F0359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16.</w:t>
      </w:r>
      <w:r>
        <w:rPr>
          <w:rFonts w:ascii="Arial" w:eastAsia="仿宋_GB2312;仿宋" w:hAnsi="Arial" w:cs="Arial"/>
          <w:sz w:val="28"/>
        </w:rPr>
        <w:t>《北京市国土空间调查、规划、用途管制用地分类指南（试行）》</w:t>
      </w:r>
    </w:p>
    <w:p w14:paraId="45440625"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（二）采用的技术标准</w:t>
      </w:r>
    </w:p>
    <w:p w14:paraId="5DAC86B1" w14:textId="7804D082" w:rsidR="00E70101" w:rsidRDefault="0060680B">
      <w:pPr>
        <w:spacing w:line="360" w:lineRule="auto"/>
        <w:ind w:firstLine="560"/>
        <w:jc w:val="both"/>
      </w:pPr>
      <w:r>
        <w:rPr>
          <w:rFonts w:ascii="Arial" w:eastAsia="仿宋_GB2312;仿宋" w:hAnsi="Arial" w:cs="Arial"/>
          <w:sz w:val="28"/>
        </w:rPr>
        <w:t>1.</w:t>
      </w:r>
      <w:r w:rsidR="000B7BF1">
        <w:rPr>
          <w:rFonts w:ascii="Arial" w:eastAsia="仿宋_GB2312;仿宋" w:hAnsi="Arial" w:cs="Arial"/>
          <w:sz w:val="28"/>
        </w:rPr>
        <w:t>《城镇土地估价</w:t>
      </w:r>
      <w:r>
        <w:rPr>
          <w:rFonts w:ascii="Arial" w:eastAsia="仿宋_GB2312;仿宋" w:hAnsi="Arial" w:cs="Arial"/>
          <w:sz w:val="28"/>
        </w:rPr>
        <w:t>规程》</w:t>
      </w:r>
      <w:r>
        <w:rPr>
          <w:rFonts w:ascii="Arial" w:eastAsia="仿宋_GB2312;仿宋" w:hAnsi="Arial" w:cs="Arial"/>
          <w:sz w:val="28"/>
        </w:rPr>
        <w:t>[GB/T 18508-2014]</w:t>
      </w:r>
    </w:p>
    <w:p w14:paraId="3EB8188E"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《城镇土地分等定级规程》</w:t>
      </w:r>
      <w:hyperlink r:id="rId51" w:tgtFrame="_blank">
        <w:r>
          <w:rPr>
            <w:rStyle w:val="Internet"/>
            <w:rFonts w:ascii="Arial" w:eastAsia="仿宋_GB2312;仿宋" w:hAnsi="Arial" w:cs="Arial"/>
            <w:sz w:val="28"/>
          </w:rPr>
          <w:t>[GB/T 18507-2014]</w:t>
        </w:r>
      </w:hyperlink>
    </w:p>
    <w:p w14:paraId="3792DAC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《土地利用现状分类》</w:t>
      </w:r>
      <w:r>
        <w:rPr>
          <w:rFonts w:ascii="Arial" w:eastAsia="仿宋_GB2312;仿宋" w:hAnsi="Arial" w:cs="Arial"/>
          <w:sz w:val="28"/>
        </w:rPr>
        <w:t>[GB/T 21010-2017]</w:t>
      </w:r>
    </w:p>
    <w:p w14:paraId="17DFB9F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《城市用地分类与规划建设用地标准》</w:t>
      </w:r>
      <w:r>
        <w:rPr>
          <w:rFonts w:ascii="Arial" w:eastAsia="仿宋_GB2312;仿宋" w:hAnsi="Arial" w:cs="Arial"/>
          <w:sz w:val="28"/>
        </w:rPr>
        <w:t>[GB50137-2011]</w:t>
      </w:r>
    </w:p>
    <w:p w14:paraId="7CED2E7C" w14:textId="77777777" w:rsidR="00E70101" w:rsidRDefault="0060680B">
      <w:pPr>
        <w:spacing w:line="360" w:lineRule="auto"/>
        <w:ind w:firstLine="560"/>
        <w:jc w:val="both"/>
      </w:pPr>
      <w:r>
        <w:rPr>
          <w:rFonts w:ascii="Arial" w:eastAsia="仿宋_GB2312;仿宋" w:hAnsi="Arial" w:cs="Arial"/>
          <w:sz w:val="28"/>
        </w:rPr>
        <w:t>5.</w:t>
      </w:r>
      <w:r>
        <w:rPr>
          <w:rFonts w:ascii="Arial" w:eastAsia="仿宋_GB2312;仿宋" w:hAnsi="Arial" w:cs="Arial"/>
          <w:sz w:val="28"/>
        </w:rPr>
        <w:t>《自然资源分等定级通则》（</w:t>
      </w:r>
      <w:r>
        <w:rPr>
          <w:rFonts w:ascii="Arial" w:eastAsia="仿宋_GB2312;仿宋" w:hAnsi="Arial" w:cs="Arial"/>
          <w:sz w:val="28"/>
        </w:rPr>
        <w:t>TD/T 1060-2021</w:t>
      </w:r>
      <w:r>
        <w:rPr>
          <w:rFonts w:ascii="Arial" w:eastAsia="仿宋_GB2312;仿宋" w:hAnsi="Arial" w:cs="Arial"/>
          <w:sz w:val="28"/>
        </w:rPr>
        <w:t>）</w:t>
      </w:r>
    </w:p>
    <w:p w14:paraId="321D4661"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《自然资源价格评估通则》（</w:t>
      </w:r>
      <w:r>
        <w:rPr>
          <w:rFonts w:ascii="Arial" w:eastAsia="仿宋_GB2312;仿宋" w:hAnsi="Arial" w:cs="Arial"/>
          <w:sz w:val="28"/>
        </w:rPr>
        <w:t>TD/T 1061-2021</w:t>
      </w:r>
      <w:r>
        <w:rPr>
          <w:rFonts w:ascii="Arial" w:eastAsia="仿宋_GB2312;仿宋" w:hAnsi="Arial" w:cs="Arial"/>
          <w:sz w:val="28"/>
        </w:rPr>
        <w:t>）</w:t>
      </w:r>
    </w:p>
    <w:p w14:paraId="2821D07B" w14:textId="77777777" w:rsidR="00E70101" w:rsidRDefault="0060680B">
      <w:pPr>
        <w:spacing w:line="360" w:lineRule="auto"/>
        <w:ind w:firstLine="560"/>
        <w:jc w:val="both"/>
      </w:pPr>
      <w:r>
        <w:rPr>
          <w:rFonts w:ascii="Arial" w:eastAsia="仿宋_GB2312;仿宋" w:hAnsi="Arial" w:cs="Arial"/>
          <w:sz w:val="28"/>
        </w:rPr>
        <w:t>7.</w:t>
      </w:r>
      <w:r>
        <w:rPr>
          <w:rFonts w:ascii="Arial" w:eastAsia="仿宋_GB2312;仿宋" w:hAnsi="Arial" w:cs="Arial"/>
          <w:sz w:val="28"/>
        </w:rPr>
        <w:t>《房地产咨询规范》</w:t>
      </w:r>
      <w:r>
        <w:rPr>
          <w:rFonts w:ascii="Arial" w:eastAsia="仿宋_GB2312;仿宋" w:hAnsi="Arial" w:cs="Arial"/>
          <w:sz w:val="28"/>
        </w:rPr>
        <w:t>[GB/T 50291-2015]</w:t>
      </w:r>
    </w:p>
    <w:p w14:paraId="3447BEF9"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8.</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2018</w:t>
      </w:r>
      <w:r>
        <w:rPr>
          <w:rFonts w:ascii="Arial" w:eastAsia="仿宋_GB2312;仿宋" w:hAnsi="Arial" w:cs="Arial"/>
          <w:sz w:val="28"/>
        </w:rPr>
        <w:t>）</w:t>
      </w:r>
      <w:r>
        <w:rPr>
          <w:rFonts w:ascii="Arial" w:eastAsia="仿宋_GB2312;仿宋" w:hAnsi="Arial" w:cs="Arial"/>
          <w:sz w:val="28"/>
        </w:rPr>
        <w:t>004</w:t>
      </w:r>
      <w:r>
        <w:rPr>
          <w:rFonts w:ascii="Arial" w:eastAsia="仿宋_GB2312;仿宋" w:hAnsi="Arial" w:cs="Arial"/>
          <w:sz w:val="28"/>
        </w:rPr>
        <w:t>号</w:t>
      </w:r>
      <w:r>
        <w:rPr>
          <w:rFonts w:ascii="Arial" w:eastAsia="仿宋_GB2312;仿宋" w:hAnsi="Arial" w:cs="Arial"/>
          <w:sz w:val="28"/>
        </w:rPr>
        <w:t>]</w:t>
      </w:r>
    </w:p>
    <w:p w14:paraId="3F762A74"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9.</w:t>
      </w:r>
      <w:r>
        <w:rPr>
          <w:rFonts w:ascii="Arial" w:eastAsia="仿宋_GB2312;仿宋" w:hAnsi="Arial" w:cs="Arial"/>
          <w:sz w:val="28"/>
        </w:rPr>
        <w:t>《北京市企业国有建设用地使用权收购补偿价格评估技术指引》应用有关说明的通知</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p>
    <w:p w14:paraId="33476F5F" w14:textId="77777777" w:rsidR="00E70101" w:rsidRDefault="0060680B">
      <w:pPr>
        <w:spacing w:line="360" w:lineRule="auto"/>
        <w:ind w:firstLine="560"/>
        <w:jc w:val="both"/>
      </w:pPr>
      <w:r>
        <w:rPr>
          <w:rFonts w:ascii="Arial" w:eastAsia="仿宋_GB2312;仿宋" w:hAnsi="Arial" w:cs="Arial"/>
          <w:sz w:val="28"/>
        </w:rPr>
        <w:t>10.</w:t>
      </w:r>
      <w:r>
        <w:rPr>
          <w:rFonts w:ascii="Arial" w:eastAsia="仿宋_GB2312;仿宋" w:hAnsi="Arial" w:cs="Arial"/>
          <w:sz w:val="28"/>
        </w:rPr>
        <w:t>《北京市房屋重置成新价评估技术标准》</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p>
    <w:p w14:paraId="5688511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11.</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10</w:t>
      </w:r>
      <w:r>
        <w:rPr>
          <w:rFonts w:ascii="Arial" w:eastAsia="仿宋_GB2312;仿宋" w:hAnsi="Arial" w:cs="Arial"/>
          <w:sz w:val="28"/>
        </w:rPr>
        <w:t>日发布）</w:t>
      </w:r>
    </w:p>
    <w:p w14:paraId="469B1D45" w14:textId="77777777" w:rsidR="00E70101" w:rsidRDefault="0060680B">
      <w:pPr>
        <w:spacing w:line="360" w:lineRule="auto"/>
        <w:ind w:firstLine="560"/>
        <w:jc w:val="both"/>
        <w:rPr>
          <w:rFonts w:ascii="Arial" w:eastAsia="仿宋_GB2312;仿宋" w:hAnsi="Arial" w:cs="Arial"/>
          <w:sz w:val="28"/>
        </w:rPr>
      </w:pPr>
      <w:r>
        <w:rPr>
          <w:rFonts w:ascii="Arial" w:hAnsi="Arial" w:cs="Arial"/>
          <w:sz w:val="28"/>
        </w:rPr>
        <w:t>12.</w:t>
      </w:r>
      <w:r>
        <w:rPr>
          <w:rFonts w:ascii="Arial" w:eastAsia="仿宋_GB2312;仿宋" w:hAnsi="Arial" w:cs="Arial"/>
          <w:sz w:val="28"/>
        </w:rPr>
        <w:t>自然资源部办公厅关于印发《划拨国有建设用地使用权地价评估指导意见（试行）》的通知</w:t>
      </w:r>
      <w:r>
        <w:rPr>
          <w:rFonts w:ascii="Arial" w:eastAsia="仿宋_GB2312;仿宋" w:hAnsi="Arial" w:cs="Arial"/>
          <w:sz w:val="28"/>
        </w:rPr>
        <w:t>[</w:t>
      </w:r>
      <w:r>
        <w:rPr>
          <w:rFonts w:ascii="Arial" w:eastAsia="仿宋_GB2312;仿宋" w:hAnsi="Arial" w:cs="Arial"/>
          <w:sz w:val="28"/>
        </w:rPr>
        <w:t>自然资办函〔</w:t>
      </w:r>
      <w:r>
        <w:rPr>
          <w:rFonts w:ascii="Arial" w:eastAsia="仿宋_GB2312;仿宋" w:hAnsi="Arial" w:cs="Arial"/>
          <w:sz w:val="28"/>
        </w:rPr>
        <w:t>2019</w:t>
      </w:r>
      <w:r>
        <w:rPr>
          <w:rFonts w:ascii="Arial" w:eastAsia="仿宋_GB2312;仿宋" w:hAnsi="Arial" w:cs="Arial"/>
          <w:sz w:val="28"/>
        </w:rPr>
        <w:t>〕</w:t>
      </w:r>
      <w:r>
        <w:rPr>
          <w:rFonts w:ascii="Arial" w:eastAsia="仿宋_GB2312;仿宋" w:hAnsi="Arial" w:cs="Arial"/>
          <w:sz w:val="28"/>
        </w:rPr>
        <w:t>922</w:t>
      </w:r>
      <w:r>
        <w:rPr>
          <w:rFonts w:ascii="Arial" w:eastAsia="仿宋_GB2312;仿宋" w:hAnsi="Arial" w:cs="Arial"/>
          <w:sz w:val="28"/>
        </w:rPr>
        <w:t>号</w:t>
      </w:r>
      <w:r>
        <w:rPr>
          <w:rFonts w:ascii="Arial" w:eastAsia="仿宋_GB2312;仿宋" w:hAnsi="Arial" w:cs="Arial"/>
          <w:sz w:val="28"/>
        </w:rPr>
        <w:t>]</w:t>
      </w:r>
    </w:p>
    <w:p w14:paraId="47BEB1F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13.</w:t>
      </w:r>
      <w:r>
        <w:rPr>
          <w:rFonts w:ascii="Arial" w:eastAsia="仿宋_GB2312;仿宋" w:hAnsi="Arial" w:cs="Arial"/>
          <w:sz w:val="28"/>
        </w:rPr>
        <w:t>《北京市国有建设用地使用权出让地价评估技术导则（试行）》</w:t>
      </w:r>
    </w:p>
    <w:p w14:paraId="79BE18A9"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14.</w:t>
      </w:r>
      <w:r>
        <w:rPr>
          <w:rFonts w:ascii="Arial" w:eastAsia="仿宋_GB2312;仿宋" w:hAnsi="Arial" w:cs="Arial"/>
          <w:sz w:val="28"/>
        </w:rPr>
        <w:t>《北京市协议出让涉及的划拨地价评估技术指引（试行）》的通知（北估秘</w:t>
      </w:r>
      <w:r>
        <w:rPr>
          <w:rFonts w:ascii="Arial" w:eastAsia="仿宋_GB2312;仿宋" w:hAnsi="Arial" w:cs="Arial"/>
          <w:sz w:val="28"/>
        </w:rPr>
        <w:t>[2022]002</w:t>
      </w:r>
      <w:r>
        <w:rPr>
          <w:rFonts w:ascii="Arial" w:eastAsia="仿宋_GB2312;仿宋" w:hAnsi="Arial" w:cs="Arial"/>
          <w:sz w:val="28"/>
        </w:rPr>
        <w:t>号）</w:t>
      </w:r>
    </w:p>
    <w:p w14:paraId="0CC4F3A0" w14:textId="77777777" w:rsidR="00E70101" w:rsidRDefault="0060680B">
      <w:pPr>
        <w:spacing w:line="360" w:lineRule="auto"/>
        <w:jc w:val="both"/>
      </w:pPr>
      <w:r>
        <w:rPr>
          <w:rFonts w:ascii="Arial" w:eastAsia="仿宋_GB2312;仿宋" w:hAnsi="Arial" w:cs="Arial"/>
          <w:sz w:val="28"/>
          <w:szCs w:val="18"/>
        </w:rPr>
        <w:t>（三）受托咨询方掌握的有关资料和评估专业人员实地勘察、调查所获取的资料实地勘查</w:t>
      </w:r>
      <w:r>
        <w:rPr>
          <w:rFonts w:ascii="Arial" w:eastAsia="仿宋_GB2312;仿宋" w:hAnsi="Arial" w:cs="Arial"/>
          <w:sz w:val="28"/>
        </w:rPr>
        <w:t>的有关资料</w:t>
      </w:r>
    </w:p>
    <w:p w14:paraId="7AC2E7B6" w14:textId="77777777" w:rsidR="00E70101" w:rsidRDefault="00E70101">
      <w:pPr>
        <w:spacing w:line="360" w:lineRule="auto"/>
        <w:jc w:val="both"/>
        <w:rPr>
          <w:rFonts w:ascii="Arial" w:eastAsia="仿宋_GB2312;仿宋" w:hAnsi="Arial" w:cs="Arial"/>
          <w:sz w:val="28"/>
        </w:rPr>
      </w:pPr>
    </w:p>
    <w:p w14:paraId="22401FDD" w14:textId="77777777" w:rsidR="00E70101" w:rsidRDefault="0060680B">
      <w:pPr>
        <w:spacing w:line="360" w:lineRule="auto"/>
        <w:outlineLvl w:val="1"/>
        <w:rPr>
          <w:rFonts w:ascii="Arial" w:eastAsia="仿宋_GB2312;仿宋" w:hAnsi="Arial" w:cs="Arial"/>
          <w:b/>
          <w:sz w:val="28"/>
        </w:rPr>
      </w:pPr>
      <w:bookmarkStart w:id="30" w:name="__RefHeading___Toc530042245"/>
      <w:bookmarkEnd w:id="30"/>
      <w:r>
        <w:rPr>
          <w:rFonts w:ascii="Arial" w:eastAsia="仿宋_GB2312;仿宋" w:hAnsi="Arial" w:cs="Arial"/>
          <w:b/>
          <w:sz w:val="28"/>
        </w:rPr>
        <w:t>六、咨询期日</w:t>
      </w:r>
    </w:p>
    <w:p w14:paraId="111326BF" w14:textId="77777777" w:rsidR="00E70101" w:rsidRDefault="0060680B">
      <w:pPr>
        <w:spacing w:line="360" w:lineRule="auto"/>
        <w:ind w:firstLine="560"/>
        <w:jc w:val="both"/>
      </w:pPr>
      <w:r>
        <w:rPr>
          <w:rFonts w:ascii="Arial" w:eastAsia="仿宋_GB2312;仿宋" w:hAnsi="Arial" w:cs="Arial"/>
          <w:sz w:val="28"/>
        </w:rPr>
        <w:t>2024</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31</w:t>
      </w:r>
      <w:r>
        <w:rPr>
          <w:rFonts w:ascii="Arial" w:eastAsia="仿宋_GB2312;仿宋" w:hAnsi="Arial" w:cs="Arial"/>
          <w:sz w:val="28"/>
        </w:rPr>
        <w:t>日（评估专业人员勘察现场之日）</w:t>
      </w:r>
    </w:p>
    <w:p w14:paraId="26C22F7A" w14:textId="77777777" w:rsidR="00E70101" w:rsidRDefault="00E70101">
      <w:pPr>
        <w:spacing w:line="360" w:lineRule="auto"/>
        <w:rPr>
          <w:rFonts w:ascii="Arial" w:eastAsia="仿宋_GB2312;仿宋" w:hAnsi="Arial" w:cs="Arial"/>
          <w:b/>
          <w:bCs/>
          <w:sz w:val="28"/>
        </w:rPr>
      </w:pPr>
    </w:p>
    <w:p w14:paraId="02A416BE" w14:textId="77777777" w:rsidR="00E70101" w:rsidRDefault="0060680B">
      <w:pPr>
        <w:spacing w:line="360" w:lineRule="auto"/>
        <w:outlineLvl w:val="1"/>
        <w:rPr>
          <w:rFonts w:ascii="Arial" w:eastAsia="仿宋_GB2312;仿宋" w:hAnsi="Arial" w:cs="Arial"/>
          <w:b/>
          <w:bCs/>
          <w:sz w:val="28"/>
        </w:rPr>
      </w:pPr>
      <w:bookmarkStart w:id="31" w:name="__RefHeading___Toc530042246"/>
      <w:r>
        <w:rPr>
          <w:rFonts w:ascii="Arial" w:eastAsia="仿宋_GB2312;仿宋" w:hAnsi="Arial" w:cs="Arial"/>
          <w:b/>
          <w:bCs/>
          <w:sz w:val="28"/>
        </w:rPr>
        <w:t>七、</w:t>
      </w:r>
      <w:bookmarkEnd w:id="31"/>
      <w:r>
        <w:rPr>
          <w:rFonts w:ascii="Arial" w:eastAsia="仿宋_GB2312;仿宋" w:hAnsi="Arial" w:cs="Arial"/>
          <w:b/>
          <w:bCs/>
          <w:sz w:val="28"/>
        </w:rPr>
        <w:t>咨询日期</w:t>
      </w:r>
    </w:p>
    <w:p w14:paraId="6C092C1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2024</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31</w:t>
      </w:r>
      <w:r>
        <w:rPr>
          <w:rFonts w:ascii="Arial" w:eastAsia="仿宋_GB2312;仿宋" w:hAnsi="Arial" w:cs="Arial"/>
          <w:sz w:val="28"/>
        </w:rPr>
        <w:t>日至</w:t>
      </w:r>
      <w:r>
        <w:rPr>
          <w:rFonts w:ascii="Arial" w:eastAsia="仿宋_GB2312;仿宋" w:hAnsi="Arial" w:cs="Arial"/>
          <w:sz w:val="28"/>
        </w:rPr>
        <w:t>2024</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w:t>
      </w:r>
    </w:p>
    <w:p w14:paraId="36EC9F76" w14:textId="77777777" w:rsidR="00E70101" w:rsidRDefault="00E70101">
      <w:pPr>
        <w:pStyle w:val="34"/>
        <w:spacing w:line="360" w:lineRule="auto"/>
        <w:ind w:left="1405" w:hanging="1405"/>
        <w:jc w:val="left"/>
        <w:rPr>
          <w:rFonts w:eastAsia="仿宋_GB2312;仿宋"/>
          <w:b/>
          <w:bCs/>
        </w:rPr>
      </w:pPr>
    </w:p>
    <w:p w14:paraId="2EAE3215" w14:textId="77777777" w:rsidR="00E70101" w:rsidRDefault="0060680B">
      <w:pPr>
        <w:pStyle w:val="34"/>
        <w:spacing w:line="360" w:lineRule="auto"/>
        <w:ind w:left="1405" w:hanging="1405"/>
        <w:jc w:val="left"/>
        <w:outlineLvl w:val="1"/>
      </w:pPr>
      <w:bookmarkStart w:id="32" w:name="__RefHeading___Toc530042247"/>
      <w:bookmarkEnd w:id="32"/>
      <w:r>
        <w:rPr>
          <w:rFonts w:eastAsia="仿宋_GB2312;仿宋"/>
          <w:b/>
          <w:bCs/>
        </w:rPr>
        <w:t>八、地价定义</w:t>
      </w:r>
    </w:p>
    <w:p w14:paraId="6BC41CA7"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价格内涵：企业国有建设用地使用权收购补偿价格是对被收购企业国有建设用地使用权进行补偿的全部价格，包括：土地使用权价格、建（构）筑物价格、附属物价格、因土地收购造成的无法恢复使用的设施设备补偿价格、因土地收购造成的停产停业损失补偿费用及搬迁补偿费用。</w:t>
      </w:r>
    </w:p>
    <w:p w14:paraId="5D8C2861"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其中：</w:t>
      </w:r>
      <w:r>
        <w:rPr>
          <w:rFonts w:ascii="Arial" w:eastAsia="Arial" w:hAnsi="Arial" w:cs="Arial"/>
          <w:sz w:val="28"/>
        </w:rPr>
        <w:t xml:space="preserve"> </w:t>
      </w:r>
    </w:p>
    <w:p w14:paraId="64F5F8DD" w14:textId="77777777" w:rsidR="00E70101" w:rsidRDefault="0060680B">
      <w:pPr>
        <w:spacing w:line="360" w:lineRule="auto"/>
        <w:ind w:firstLine="560"/>
        <w:jc w:val="both"/>
        <w:rPr>
          <w:rFonts w:eastAsia="仿宋_GB2312;仿宋"/>
        </w:rPr>
      </w:pPr>
      <w:r>
        <w:rPr>
          <w:rFonts w:ascii="Arial" w:eastAsia="仿宋_GB2312;仿宋" w:hAnsi="Arial" w:cs="Arial"/>
          <w:sz w:val="28"/>
        </w:rPr>
        <w:t>（一）土地使用权价格</w:t>
      </w:r>
      <w:r>
        <w:rPr>
          <w:rFonts w:ascii="Arial" w:eastAsia="Arial" w:hAnsi="Arial" w:cs="Arial"/>
          <w:sz w:val="28"/>
        </w:rPr>
        <w:t xml:space="preserve"> </w:t>
      </w:r>
    </w:p>
    <w:p w14:paraId="4B591824" w14:textId="77777777" w:rsidR="00E70101" w:rsidRDefault="0060680B">
      <w:pPr>
        <w:spacing w:line="360" w:lineRule="auto"/>
        <w:ind w:firstLine="560"/>
        <w:jc w:val="both"/>
      </w:pPr>
      <w:r>
        <w:rPr>
          <w:rFonts w:ascii="Arial" w:eastAsia="仿宋_GB2312;仿宋" w:hAnsi="Arial" w:cs="Arial"/>
          <w:sz w:val="28"/>
        </w:rPr>
        <w:t>咨询对象位于位于北京市昌平区北七家镇八仙庄村仓储用地，根据咨询目的及估算依据，结合委托方提供的资料及专业人员现场勘查，在咨询期日的地价定义如下。</w:t>
      </w:r>
    </w:p>
    <w:p w14:paraId="33FFFF76" w14:textId="77777777" w:rsidR="00E70101" w:rsidRDefault="0060680B">
      <w:pPr>
        <w:numPr>
          <w:ilvl w:val="0"/>
          <w:numId w:val="4"/>
        </w:numPr>
        <w:spacing w:line="360" w:lineRule="auto"/>
        <w:jc w:val="both"/>
        <w:rPr>
          <w:rFonts w:ascii="Arial" w:hAnsi="Arial" w:cs="Arial"/>
          <w:sz w:val="28"/>
        </w:rPr>
      </w:pPr>
      <w:r>
        <w:rPr>
          <w:rFonts w:ascii="Arial" w:eastAsia="Arial" w:hAnsi="Arial" w:cs="Arial"/>
          <w:sz w:val="28"/>
        </w:rPr>
        <w:t xml:space="preserve"> </w:t>
      </w:r>
      <w:r>
        <w:rPr>
          <w:rFonts w:ascii="Arial" w:eastAsia="仿宋_GB2312;仿宋" w:hAnsi="Arial" w:cs="Arial"/>
          <w:sz w:val="28"/>
        </w:rPr>
        <w:t>咨询期日：</w:t>
      </w:r>
    </w:p>
    <w:p w14:paraId="7EF8184C" w14:textId="77777777" w:rsidR="00E70101" w:rsidRDefault="0060680B">
      <w:pPr>
        <w:spacing w:line="360" w:lineRule="auto"/>
        <w:ind w:firstLine="560"/>
        <w:jc w:val="both"/>
      </w:pPr>
      <w:r>
        <w:rPr>
          <w:rFonts w:ascii="Arial" w:eastAsia="仿宋_GB2312;仿宋" w:hAnsi="Arial" w:cs="Arial"/>
          <w:sz w:val="28"/>
        </w:rPr>
        <w:t>评估专业人员于</w:t>
      </w:r>
      <w:r>
        <w:rPr>
          <w:rFonts w:ascii="Arial" w:eastAsia="仿宋_GB2312;仿宋" w:hAnsi="Arial" w:cs="Arial"/>
          <w:sz w:val="28"/>
        </w:rPr>
        <w:t>2024</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31</w:t>
      </w:r>
      <w:r>
        <w:rPr>
          <w:rFonts w:ascii="Arial" w:eastAsia="仿宋_GB2312;仿宋" w:hAnsi="Arial" w:cs="Arial"/>
          <w:sz w:val="28"/>
        </w:rPr>
        <w:t>日对咨询对象进行实地查勘，本次评估设定咨询期日即为</w:t>
      </w:r>
      <w:r>
        <w:rPr>
          <w:rFonts w:ascii="Arial" w:eastAsia="仿宋_GB2312;仿宋" w:hAnsi="Arial" w:cs="Arial"/>
          <w:sz w:val="28"/>
        </w:rPr>
        <w:t>2024</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31</w:t>
      </w:r>
      <w:r>
        <w:rPr>
          <w:rFonts w:ascii="Arial" w:eastAsia="仿宋_GB2312;仿宋" w:hAnsi="Arial" w:cs="Arial"/>
          <w:sz w:val="28"/>
        </w:rPr>
        <w:t>日。</w:t>
      </w:r>
    </w:p>
    <w:p w14:paraId="0EC911ED"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 xml:space="preserve">2. </w:t>
      </w:r>
      <w:r>
        <w:rPr>
          <w:rFonts w:ascii="Arial" w:eastAsia="仿宋_GB2312;仿宋" w:hAnsi="Arial" w:cs="Arial"/>
          <w:sz w:val="28"/>
        </w:rPr>
        <w:t>土地用途设定：</w:t>
      </w:r>
    </w:p>
    <w:p w14:paraId="52C15D61"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根据委托方介绍，本次评估咨询对象用途为仓储用地，故本次评估设定用途为仓储用地。</w:t>
      </w:r>
    </w:p>
    <w:p w14:paraId="5F28397D"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 xml:space="preserve">3. </w:t>
      </w:r>
      <w:r>
        <w:rPr>
          <w:rFonts w:ascii="Arial" w:eastAsia="仿宋_GB2312;仿宋" w:hAnsi="Arial" w:cs="Arial"/>
          <w:sz w:val="28"/>
        </w:rPr>
        <w:t>土地使用权类型：</w:t>
      </w:r>
    </w:p>
    <w:p w14:paraId="253255CA"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根据委托方介绍，咨询对象土地使用权类型为划拨，故本次评估的是其划拨国有建设用地使用权价格。</w:t>
      </w:r>
    </w:p>
    <w:p w14:paraId="1711F70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 xml:space="preserve">4. </w:t>
      </w:r>
      <w:r>
        <w:rPr>
          <w:rFonts w:ascii="Arial" w:eastAsia="仿宋_GB2312;仿宋" w:hAnsi="Arial" w:cs="Arial"/>
          <w:sz w:val="28"/>
        </w:rPr>
        <w:t>土地开发程度设定：</w:t>
      </w:r>
    </w:p>
    <w:p w14:paraId="273DCC4A" w14:textId="77777777" w:rsidR="00E70101" w:rsidRDefault="0060680B">
      <w:pPr>
        <w:spacing w:line="360" w:lineRule="auto"/>
        <w:ind w:firstLine="560"/>
        <w:jc w:val="both"/>
      </w:pPr>
      <w:r>
        <w:rPr>
          <w:rFonts w:ascii="Arial" w:eastAsia="仿宋_GB2312;仿宋" w:hAnsi="Arial" w:cs="Arial"/>
          <w:sz w:val="28"/>
        </w:rPr>
        <w:t>根据委托方介绍及评估专业人员调查，咨询对象所属工业类七级地价区，该级别土地开发程度为宗地红线外</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（通路、通电、通讯、通上水、通下水、通燃气、通热）。本次咨询设定土地开发程度为红线外市政基础设施达</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w:t>
      </w:r>
    </w:p>
    <w:p w14:paraId="08D2EE14"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 xml:space="preserve">5. </w:t>
      </w:r>
      <w:r>
        <w:rPr>
          <w:rFonts w:ascii="Arial" w:eastAsia="仿宋_GB2312;仿宋" w:hAnsi="Arial" w:cs="Arial"/>
          <w:sz w:val="28"/>
        </w:rPr>
        <w:t>土地使用权年限设定：</w:t>
      </w:r>
    </w:p>
    <w:p w14:paraId="1F043BC7" w14:textId="77777777" w:rsidR="00E70101" w:rsidRDefault="0060680B">
      <w:pPr>
        <w:spacing w:line="360" w:lineRule="auto"/>
        <w:ind w:firstLine="560"/>
        <w:jc w:val="both"/>
        <w:rPr>
          <w:rFonts w:eastAsia="仿宋_GB2312;仿宋"/>
        </w:rPr>
      </w:pPr>
      <w:r>
        <w:rPr>
          <w:rFonts w:ascii="Arial" w:eastAsia="仿宋_GB2312;仿宋" w:hAnsi="Arial" w:cs="Arial"/>
          <w:sz w:val="28"/>
        </w:rPr>
        <w:t>本次咨询对象为划拨国有建设用地使用权，根据委托方提供的资料及其介绍，咨询对象使用权类型为划拨，故土地使用权年期为无年期限制。</w:t>
      </w:r>
      <w:r>
        <w:rPr>
          <w:rFonts w:ascii="Arial" w:eastAsia="Arial" w:hAnsi="Arial" w:cs="Arial"/>
          <w:sz w:val="28"/>
        </w:rPr>
        <w:t xml:space="preserve">     </w:t>
      </w:r>
    </w:p>
    <w:p w14:paraId="0075F1DA" w14:textId="77777777" w:rsidR="00E70101" w:rsidRDefault="0060680B">
      <w:pPr>
        <w:spacing w:line="360" w:lineRule="auto"/>
        <w:ind w:firstLine="560"/>
        <w:jc w:val="both"/>
        <w:rPr>
          <w:rFonts w:eastAsia="仿宋_GB2312;仿宋"/>
        </w:rPr>
      </w:pPr>
      <w:r>
        <w:rPr>
          <w:rFonts w:ascii="Arial" w:eastAsia="仿宋_GB2312;仿宋" w:hAnsi="Arial" w:cs="Arial"/>
          <w:sz w:val="28"/>
        </w:rPr>
        <w:t>6</w:t>
      </w:r>
      <w:r>
        <w:rPr>
          <w:rFonts w:ascii="Arial" w:eastAsia="仿宋_GB2312;仿宋" w:hAnsi="Arial" w:cs="Arial"/>
          <w:sz w:val="28"/>
        </w:rPr>
        <w:t>．利用条件及容积率的设定：</w:t>
      </w:r>
      <w:r>
        <w:rPr>
          <w:rFonts w:ascii="Arial" w:eastAsia="Arial" w:hAnsi="Arial" w:cs="Arial"/>
          <w:sz w:val="28"/>
        </w:rPr>
        <w:t xml:space="preserve"> </w:t>
      </w:r>
    </w:p>
    <w:p w14:paraId="47CBE048" w14:textId="032CD534"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根据委托方介绍，咨询对象用地面积为</w:t>
      </w:r>
      <w:r>
        <w:rPr>
          <w:rFonts w:ascii="Arial" w:eastAsia="仿宋_GB2312;仿宋" w:hAnsi="Arial" w:cs="Arial"/>
          <w:sz w:val="28"/>
        </w:rPr>
        <w:t>370379.14</w:t>
      </w:r>
      <w:r>
        <w:rPr>
          <w:rFonts w:ascii="Arial" w:eastAsia="仿宋_GB2312;仿宋" w:hAnsi="Arial" w:cs="Arial"/>
          <w:sz w:val="28"/>
        </w:rPr>
        <w:t>平方米，容积率设定为</w:t>
      </w:r>
      <w:r>
        <w:rPr>
          <w:rFonts w:ascii="Arial" w:eastAsia="仿宋_GB2312;仿宋" w:hAnsi="Arial" w:cs="Arial"/>
          <w:sz w:val="28"/>
        </w:rPr>
        <w:t>1.0</w:t>
      </w:r>
      <w:r>
        <w:rPr>
          <w:rFonts w:ascii="Arial" w:eastAsia="仿宋_GB2312;仿宋" w:hAnsi="Arial" w:cs="Arial"/>
          <w:sz w:val="28"/>
        </w:rPr>
        <w:t>，建筑面积设定为</w:t>
      </w:r>
      <w:r>
        <w:rPr>
          <w:rFonts w:ascii="Arial" w:eastAsia="仿宋_GB2312;仿宋" w:hAnsi="Arial" w:cs="Arial"/>
          <w:sz w:val="28"/>
        </w:rPr>
        <w:t>370379.14</w:t>
      </w:r>
      <w:r>
        <w:rPr>
          <w:rFonts w:ascii="Arial" w:eastAsia="仿宋_GB2312;仿宋" w:hAnsi="Arial" w:cs="Arial"/>
          <w:sz w:val="28"/>
        </w:rPr>
        <w:t>平方米。</w:t>
      </w:r>
    </w:p>
    <w:p w14:paraId="73680AD0"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7.</w:t>
      </w:r>
      <w:r>
        <w:rPr>
          <w:rFonts w:ascii="Arial" w:eastAsia="仿宋_GB2312;仿宋" w:hAnsi="Arial" w:cs="Arial"/>
          <w:sz w:val="28"/>
        </w:rPr>
        <w:t>价值类型：</w:t>
      </w:r>
    </w:p>
    <w:p w14:paraId="7973BF00" w14:textId="77777777" w:rsidR="00E70101" w:rsidRDefault="0060680B">
      <w:pPr>
        <w:spacing w:line="360" w:lineRule="auto"/>
        <w:ind w:firstLine="560"/>
        <w:jc w:val="both"/>
      </w:pPr>
      <w:r>
        <w:rPr>
          <w:rFonts w:ascii="Arial" w:eastAsia="仿宋_GB2312;仿宋" w:hAnsi="Arial" w:cs="Arial"/>
          <w:sz w:val="28"/>
        </w:rPr>
        <w:t>本次评估咨询目的：为委托方了解收购国有建设用地使用权可能形成的补偿价格提供参考依据。故本次估算咨询结果为特定条件下的土地使用权价格，即土地使用权收购补偿价格。</w:t>
      </w:r>
    </w:p>
    <w:p w14:paraId="68736380" w14:textId="77777777" w:rsidR="00E70101" w:rsidRDefault="0060680B">
      <w:pPr>
        <w:spacing w:line="360" w:lineRule="auto"/>
        <w:ind w:firstLine="560"/>
        <w:jc w:val="both"/>
        <w:rPr>
          <w:rFonts w:eastAsia="仿宋_GB2312;仿宋"/>
        </w:rPr>
      </w:pPr>
      <w:r>
        <w:rPr>
          <w:rFonts w:ascii="Arial" w:eastAsia="仿宋_GB2312;仿宋" w:hAnsi="Arial" w:cs="Arial"/>
          <w:sz w:val="28"/>
        </w:rPr>
        <w:t>综上所述，本报告所估算的土地价格为：咨询对象在咨询期日</w:t>
      </w:r>
      <w:r>
        <w:rPr>
          <w:rFonts w:ascii="Arial" w:eastAsia="仿宋_GB2312;仿宋" w:hAnsi="Arial" w:cs="Arial"/>
          <w:sz w:val="28"/>
        </w:rPr>
        <w:t>2024</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31</w:t>
      </w:r>
      <w:r>
        <w:rPr>
          <w:rFonts w:ascii="Arial" w:eastAsia="仿宋_GB2312;仿宋" w:hAnsi="Arial" w:cs="Arial"/>
          <w:sz w:val="28"/>
        </w:rPr>
        <w:t>日，设定土地用途为仓储、土地使用权类型为划拨、土地开发程度为宗地红线外</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（通路、通电、通讯、通上水、通下水、通燃气、通热）、宗地内场地平整、容积率为</w:t>
      </w:r>
      <w:r>
        <w:rPr>
          <w:rFonts w:ascii="Arial" w:eastAsia="仿宋_GB2312;仿宋" w:hAnsi="Arial" w:cs="Arial"/>
          <w:sz w:val="28"/>
        </w:rPr>
        <w:t>1.0</w:t>
      </w:r>
      <w:r>
        <w:rPr>
          <w:rFonts w:ascii="Arial" w:eastAsia="仿宋_GB2312;仿宋" w:hAnsi="Arial" w:cs="Arial"/>
          <w:sz w:val="28"/>
        </w:rPr>
        <w:t>，于上述设定条件下国有建设用地土地使用权收购补偿价格。</w:t>
      </w:r>
      <w:r>
        <w:rPr>
          <w:rFonts w:ascii="Arial" w:eastAsia="Arial" w:hAnsi="Arial" w:cs="Arial"/>
          <w:sz w:val="28"/>
        </w:rPr>
        <w:t xml:space="preserve"> </w:t>
      </w:r>
    </w:p>
    <w:p w14:paraId="2DBD131F"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（二）建（构）筑物价格</w:t>
      </w:r>
    </w:p>
    <w:p w14:paraId="49935C2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按照《指引》，房地分开评估时，建（构）筑物价格的估算采用北京市相应的房屋重置成新价评估技术标准。补偿价格参考《北京市房屋重置成新价评估技术标准》</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10</w:t>
      </w:r>
      <w:r>
        <w:rPr>
          <w:rFonts w:ascii="Arial" w:eastAsia="仿宋_GB2312;仿宋" w:hAnsi="Arial" w:cs="Arial"/>
          <w:sz w:val="28"/>
        </w:rPr>
        <w:t>日发布）进行评估。经委托方介绍，设定咨询对象宗地现状不存在建（构）筑物。</w:t>
      </w:r>
    </w:p>
    <w:p w14:paraId="3542765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（三）附属物价格</w:t>
      </w:r>
    </w:p>
    <w:p w14:paraId="51C1E5D4" w14:textId="77777777" w:rsidR="00E70101" w:rsidRDefault="0060680B">
      <w:pPr>
        <w:spacing w:line="360" w:lineRule="auto"/>
        <w:ind w:firstLine="560"/>
        <w:jc w:val="both"/>
      </w:pPr>
      <w:r>
        <w:rPr>
          <w:rFonts w:ascii="Arial" w:eastAsia="仿宋_GB2312;仿宋" w:hAnsi="Arial" w:cs="Arial"/>
          <w:sz w:val="28"/>
        </w:rPr>
        <w:t>附属物包括树木、院墙、院地及其他，补偿价格参照《北京市房屋重置成新价评估技术标准》</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仿宋_GB2312;仿宋" w:eastAsia="仿宋_GB2312;仿宋" w:hAnsi="仿宋_GB2312;仿宋" w:cs="仿宋"/>
          <w:sz w:val="28"/>
        </w:rPr>
        <w:t xml:space="preserve"> 进行评估</w:t>
      </w:r>
      <w:r>
        <w:rPr>
          <w:rFonts w:ascii="Arial" w:eastAsia="仿宋_GB2312;仿宋" w:hAnsi="Arial" w:cs="Arial"/>
          <w:sz w:val="28"/>
        </w:rPr>
        <w:t>、《关于调整〈北京市房屋重置成新价评估技术标准〉相关系数的通知》（</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10</w:t>
      </w:r>
      <w:r>
        <w:rPr>
          <w:rFonts w:ascii="Arial" w:eastAsia="仿宋_GB2312;仿宋" w:hAnsi="Arial" w:cs="Arial"/>
          <w:sz w:val="28"/>
        </w:rPr>
        <w:t>日发布）进行评估。经委托方介绍，设定咨询对象宗地现状不存在附属物。</w:t>
      </w:r>
    </w:p>
    <w:p w14:paraId="169ADF25"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（四）无法恢复使用的设施设备补偿价格</w:t>
      </w:r>
    </w:p>
    <w:p w14:paraId="4E6F3BD9" w14:textId="77777777" w:rsidR="00E70101" w:rsidRDefault="0060680B">
      <w:pPr>
        <w:spacing w:line="360" w:lineRule="auto"/>
        <w:ind w:firstLine="560"/>
        <w:jc w:val="both"/>
      </w:pPr>
      <w:r>
        <w:rPr>
          <w:rFonts w:ascii="Arial" w:eastAsia="仿宋_GB2312;仿宋" w:hAnsi="Arial" w:cs="Arial"/>
          <w:sz w:val="28"/>
        </w:rPr>
        <w:t>经委托方介绍，由于咨询对象宗地并未进行生产使用，不存在因土地收购造成的无法恢复使用的设施设备情况。</w:t>
      </w:r>
    </w:p>
    <w:p w14:paraId="1C57D085"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（五）因土地收购造成的停产停业损失补偿费用</w:t>
      </w:r>
    </w:p>
    <w:p w14:paraId="6FE74C3D"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停产停业损失补偿包括房屋停产停业期间租金、净利润损失、员工生活补助费，参照《北京市国有土地上房屋征收停产停业损失补偿暂行办法》</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2018</w:t>
      </w:r>
      <w:r>
        <w:rPr>
          <w:rFonts w:ascii="Arial" w:eastAsia="仿宋_GB2312;仿宋" w:hAnsi="Arial" w:cs="Arial"/>
          <w:sz w:val="28"/>
        </w:rPr>
        <w:t>）</w:t>
      </w:r>
      <w:r>
        <w:rPr>
          <w:rFonts w:ascii="Arial" w:eastAsia="仿宋_GB2312;仿宋" w:hAnsi="Arial" w:cs="Arial"/>
          <w:sz w:val="28"/>
        </w:rPr>
        <w:t>004</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1764BCC5"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经委托方介绍，由于咨询对象宗地未进行生产使用，不存在</w:t>
      </w:r>
      <w:r>
        <w:rPr>
          <w:rFonts w:ascii="仿宋_GB2312;仿宋" w:eastAsia="仿宋_GB2312;仿宋" w:hAnsi="仿宋_GB2312;仿宋" w:cs="Arial"/>
          <w:sz w:val="28"/>
        </w:rPr>
        <w:t>因土地收购造成的停产停业损失补偿</w:t>
      </w:r>
      <w:r>
        <w:rPr>
          <w:rFonts w:ascii="Arial" w:eastAsia="仿宋_GB2312;仿宋" w:hAnsi="Arial" w:cs="Arial"/>
          <w:sz w:val="28"/>
        </w:rPr>
        <w:t>情况。</w:t>
      </w:r>
    </w:p>
    <w:p w14:paraId="0EAA87BE" w14:textId="77777777" w:rsidR="00E70101" w:rsidRDefault="0060680B">
      <w:pPr>
        <w:snapToGrid w:val="0"/>
        <w:spacing w:line="360" w:lineRule="auto"/>
        <w:ind w:left="560"/>
        <w:jc w:val="both"/>
        <w:rPr>
          <w:rFonts w:ascii="Arial" w:eastAsia="仿宋_GB2312;仿宋" w:hAnsi="Arial" w:cs="Arial"/>
          <w:sz w:val="28"/>
        </w:rPr>
      </w:pPr>
      <w:r>
        <w:rPr>
          <w:rFonts w:ascii="Arial" w:eastAsia="仿宋_GB2312;仿宋" w:hAnsi="Arial" w:cs="Arial"/>
          <w:sz w:val="28"/>
        </w:rPr>
        <w:t>（六）搬迁、临时安置补助费</w:t>
      </w:r>
    </w:p>
    <w:p w14:paraId="3F26440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补偿费用参照《关于国有土地上房屋征收与补偿中有关事项的通知》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hAnsi="Arial" w:cs="Arial"/>
          <w:sz w:val="28"/>
        </w:rPr>
        <w:t>（</w:t>
      </w:r>
      <w:r>
        <w:rPr>
          <w:rFonts w:ascii="Arial" w:eastAsia="仿宋_GB2312;仿宋" w:hAnsi="Arial" w:cs="Arial"/>
          <w:sz w:val="28"/>
        </w:rPr>
        <w:t>2012</w:t>
      </w:r>
      <w:r>
        <w:rPr>
          <w:rFonts w:ascii="Arial"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3A0C0593" w14:textId="77777777" w:rsidR="00E70101" w:rsidRDefault="00E70101">
      <w:pPr>
        <w:spacing w:line="360" w:lineRule="auto"/>
        <w:ind w:firstLine="562"/>
        <w:jc w:val="both"/>
        <w:rPr>
          <w:rFonts w:ascii="Arial" w:eastAsia="仿宋_GB2312;仿宋" w:hAnsi="Arial" w:cs="Arial"/>
          <w:b/>
          <w:sz w:val="28"/>
        </w:rPr>
      </w:pPr>
    </w:p>
    <w:p w14:paraId="7A3EB41D" w14:textId="77777777" w:rsidR="00E70101" w:rsidRDefault="0060680B">
      <w:pPr>
        <w:spacing w:line="360" w:lineRule="auto"/>
        <w:jc w:val="both"/>
        <w:outlineLvl w:val="1"/>
        <w:rPr>
          <w:rFonts w:ascii="Arial" w:eastAsia="仿宋_GB2312;仿宋" w:hAnsi="Arial" w:cs="Arial"/>
          <w:sz w:val="28"/>
        </w:rPr>
      </w:pPr>
      <w:bookmarkStart w:id="33" w:name="__RefHeading___Toc530042248"/>
      <w:r>
        <w:rPr>
          <w:rFonts w:ascii="Arial" w:eastAsia="仿宋_GB2312;仿宋" w:hAnsi="Arial" w:cs="Arial"/>
          <w:b/>
          <w:sz w:val="28"/>
        </w:rPr>
        <w:t>九、咨询结果</w:t>
      </w:r>
      <w:bookmarkEnd w:id="33"/>
    </w:p>
    <w:p w14:paraId="5290A2F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kern w:val="2"/>
          <w:sz w:val="28"/>
        </w:rPr>
        <w:t>评估专业人员根据咨询的目的，按照估算的程序，采用科学的咨询方法（市场比较法和成本逼近法），在认真分析现有资料的基础上，通过仔细测算和认真分析各种影响</w:t>
      </w:r>
      <w:r>
        <w:rPr>
          <w:rFonts w:ascii="Arial" w:eastAsia="仿宋_GB2312;仿宋" w:hAnsi="Arial" w:cs="Arial"/>
          <w:sz w:val="28"/>
        </w:rPr>
        <w:t>土地</w:t>
      </w:r>
      <w:r>
        <w:rPr>
          <w:rFonts w:ascii="Arial" w:eastAsia="仿宋_GB2312;仿宋" w:hAnsi="Arial" w:cs="Arial"/>
          <w:kern w:val="2"/>
          <w:sz w:val="28"/>
        </w:rPr>
        <w:t>价格的因素，</w:t>
      </w:r>
      <w:r>
        <w:rPr>
          <w:rFonts w:ascii="Arial" w:eastAsia="仿宋_GB2312;仿宋" w:hAnsi="Arial" w:cs="Arial"/>
          <w:sz w:val="28"/>
          <w:szCs w:val="28"/>
        </w:rPr>
        <w:t>确定咨询对象</w:t>
      </w:r>
      <w:r>
        <w:rPr>
          <w:rFonts w:ascii="Arial" w:eastAsia="仿宋_GB2312;仿宋" w:hAnsi="Arial" w:cs="Arial"/>
          <w:kern w:val="2"/>
          <w:sz w:val="28"/>
        </w:rPr>
        <w:t>在咨询期日</w:t>
      </w:r>
      <w:r>
        <w:rPr>
          <w:rFonts w:ascii="Arial" w:eastAsia="仿宋_GB2312;仿宋" w:hAnsi="Arial" w:cs="Arial"/>
          <w:kern w:val="2"/>
          <w:sz w:val="28"/>
        </w:rPr>
        <w:t>2024</w:t>
      </w:r>
      <w:r>
        <w:rPr>
          <w:rFonts w:ascii="Arial" w:eastAsia="仿宋_GB2312;仿宋" w:hAnsi="Arial" w:cs="Arial"/>
          <w:kern w:val="2"/>
          <w:sz w:val="28"/>
        </w:rPr>
        <w:t>年</w:t>
      </w:r>
      <w:r>
        <w:rPr>
          <w:rFonts w:ascii="Arial" w:eastAsia="仿宋_GB2312;仿宋" w:hAnsi="Arial" w:cs="Arial"/>
          <w:kern w:val="2"/>
          <w:sz w:val="28"/>
        </w:rPr>
        <w:t>3</w:t>
      </w:r>
      <w:r>
        <w:rPr>
          <w:rFonts w:ascii="Arial" w:eastAsia="仿宋_GB2312;仿宋" w:hAnsi="Arial" w:cs="Arial"/>
          <w:kern w:val="2"/>
          <w:sz w:val="28"/>
        </w:rPr>
        <w:t>月</w:t>
      </w:r>
      <w:r>
        <w:rPr>
          <w:rFonts w:ascii="Arial" w:eastAsia="仿宋_GB2312;仿宋" w:hAnsi="Arial" w:cs="Arial"/>
          <w:kern w:val="2"/>
          <w:sz w:val="28"/>
        </w:rPr>
        <w:t>31</w:t>
      </w:r>
      <w:r>
        <w:rPr>
          <w:rFonts w:ascii="Arial" w:eastAsia="仿宋_GB2312;仿宋" w:hAnsi="Arial" w:cs="Arial"/>
          <w:kern w:val="2"/>
          <w:sz w:val="28"/>
        </w:rPr>
        <w:t>的土地使用权收购补偿价格约为</w:t>
      </w:r>
      <w:r>
        <w:rPr>
          <w:rFonts w:ascii="Arial" w:eastAsia="仿宋_GB2312;仿宋" w:hAnsi="Arial" w:cs="Arial"/>
          <w:b/>
          <w:kern w:val="2"/>
          <w:sz w:val="28"/>
        </w:rPr>
        <w:t>人民币</w:t>
      </w:r>
      <w:r>
        <w:rPr>
          <w:rFonts w:ascii="Arial" w:eastAsia="仿宋_GB2312;仿宋" w:hAnsi="Arial" w:cs="Arial"/>
          <w:b/>
          <w:kern w:val="2"/>
          <w:sz w:val="28"/>
        </w:rPr>
        <w:t>156654</w:t>
      </w:r>
      <w:r>
        <w:rPr>
          <w:rFonts w:ascii="Arial" w:eastAsia="仿宋_GB2312;仿宋" w:hAnsi="Arial" w:cs="Arial"/>
          <w:b/>
          <w:kern w:val="2"/>
          <w:sz w:val="28"/>
        </w:rPr>
        <w:t>万元，大写壹拾伍亿陆仟陆佰伍拾肆万元整</w:t>
      </w:r>
      <w:r>
        <w:rPr>
          <w:rFonts w:ascii="Arial" w:eastAsia="仿宋_GB2312;仿宋" w:hAnsi="Arial" w:cs="Arial"/>
          <w:kern w:val="2"/>
          <w:sz w:val="28"/>
        </w:rPr>
        <w:t>。</w:t>
      </w:r>
      <w:r>
        <w:rPr>
          <w:rFonts w:ascii="Arial" w:eastAsia="仿宋_GB2312;仿宋" w:hAnsi="Arial" w:cs="Arial"/>
          <w:sz w:val="28"/>
        </w:rPr>
        <w:t>咨询结果明细如下：</w:t>
      </w:r>
    </w:p>
    <w:p w14:paraId="11C89CE6" w14:textId="77777777" w:rsidR="00E70101" w:rsidRDefault="0060680B">
      <w:pPr>
        <w:spacing w:line="360" w:lineRule="auto"/>
        <w:ind w:firstLine="560"/>
        <w:jc w:val="both"/>
        <w:rPr>
          <w:rFonts w:ascii="Arial" w:eastAsia="仿宋_GB2312;仿宋" w:hAnsi="Arial" w:cs="Arial"/>
          <w:kern w:val="2"/>
          <w:sz w:val="28"/>
        </w:rPr>
      </w:pPr>
      <w:r>
        <w:rPr>
          <w:rFonts w:ascii="Arial" w:eastAsia="仿宋_GB2312;仿宋" w:hAnsi="Arial" w:cs="Arial"/>
          <w:sz w:val="28"/>
        </w:rPr>
        <w:t>（转下页）</w:t>
      </w:r>
      <w:r>
        <w:br w:type="page"/>
      </w:r>
    </w:p>
    <w:p w14:paraId="5837DBC0" w14:textId="77777777" w:rsidR="00E70101" w:rsidRDefault="0060680B">
      <w:pPr>
        <w:snapToGrid w:val="0"/>
        <w:spacing w:line="360" w:lineRule="auto"/>
        <w:jc w:val="center"/>
        <w:rPr>
          <w:rFonts w:cs="Arial"/>
        </w:rPr>
      </w:pPr>
      <w:r>
        <w:rPr>
          <w:rFonts w:ascii="Arial" w:eastAsia="仿宋_GB2312;仿宋" w:hAnsi="Arial" w:cs="Arial"/>
          <w:b/>
          <w:bCs/>
          <w:sz w:val="28"/>
          <w:szCs w:val="28"/>
        </w:rPr>
        <w:t>收购补偿价格咨询结果</w:t>
      </w:r>
    </w:p>
    <w:tbl>
      <w:tblPr>
        <w:tblW w:w="5000" w:type="pct"/>
        <w:jc w:val="center"/>
        <w:tblLook w:val="0000" w:firstRow="0" w:lastRow="0" w:firstColumn="0" w:lastColumn="0" w:noHBand="0" w:noVBand="0"/>
      </w:tblPr>
      <w:tblGrid>
        <w:gridCol w:w="889"/>
        <w:gridCol w:w="3069"/>
        <w:gridCol w:w="2106"/>
        <w:gridCol w:w="3224"/>
      </w:tblGrid>
      <w:tr w:rsidR="00E70101" w14:paraId="0940D1C3" w14:textId="77777777">
        <w:trPr>
          <w:trHeight w:val="454"/>
          <w:jc w:val="center"/>
        </w:trPr>
        <w:tc>
          <w:tcPr>
            <w:tcW w:w="890" w:type="dxa"/>
            <w:tcBorders>
              <w:top w:val="single" w:sz="4" w:space="0" w:color="000000"/>
              <w:left w:val="single" w:sz="4" w:space="0" w:color="000000"/>
              <w:bottom w:val="single" w:sz="4" w:space="0" w:color="000000"/>
            </w:tcBorders>
            <w:shd w:val="clear" w:color="auto" w:fill="auto"/>
            <w:vAlign w:val="center"/>
          </w:tcPr>
          <w:p w14:paraId="71F6376E"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4" w:type="dxa"/>
            <w:tcBorders>
              <w:top w:val="single" w:sz="4" w:space="0" w:color="000000"/>
              <w:left w:val="single" w:sz="4" w:space="0" w:color="000000"/>
              <w:bottom w:val="single" w:sz="4" w:space="0" w:color="000000"/>
            </w:tcBorders>
            <w:shd w:val="clear" w:color="auto" w:fill="auto"/>
            <w:vAlign w:val="center"/>
          </w:tcPr>
          <w:p w14:paraId="0DB95945"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2108" w:type="dxa"/>
            <w:tcBorders>
              <w:top w:val="single" w:sz="4" w:space="0" w:color="000000"/>
              <w:left w:val="single" w:sz="4" w:space="0" w:color="000000"/>
              <w:bottom w:val="single" w:sz="4" w:space="0" w:color="000000"/>
            </w:tcBorders>
            <w:shd w:val="clear" w:color="auto" w:fill="auto"/>
            <w:vAlign w:val="center"/>
          </w:tcPr>
          <w:p w14:paraId="1AA26B89"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咨询价格</w:t>
            </w:r>
          </w:p>
          <w:p w14:paraId="64041479"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25E85"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E70101" w14:paraId="7528C27E" w14:textId="77777777">
        <w:trPr>
          <w:trHeight w:val="454"/>
          <w:jc w:val="center"/>
        </w:trPr>
        <w:tc>
          <w:tcPr>
            <w:tcW w:w="890" w:type="dxa"/>
            <w:tcBorders>
              <w:left w:val="single" w:sz="4" w:space="0" w:color="000000"/>
              <w:bottom w:val="single" w:sz="4" w:space="0" w:color="000000"/>
            </w:tcBorders>
            <w:shd w:val="clear" w:color="auto" w:fill="auto"/>
            <w:vAlign w:val="center"/>
          </w:tcPr>
          <w:p w14:paraId="16BBD738"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4" w:type="dxa"/>
            <w:tcBorders>
              <w:left w:val="single" w:sz="4" w:space="0" w:color="000000"/>
              <w:bottom w:val="single" w:sz="4" w:space="0" w:color="000000"/>
            </w:tcBorders>
            <w:shd w:val="clear" w:color="auto" w:fill="auto"/>
            <w:vAlign w:val="center"/>
          </w:tcPr>
          <w:p w14:paraId="3F3C4DB8"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2108" w:type="dxa"/>
            <w:tcBorders>
              <w:left w:val="single" w:sz="4" w:space="0" w:color="000000"/>
              <w:bottom w:val="single" w:sz="4" w:space="0" w:color="000000"/>
            </w:tcBorders>
            <w:shd w:val="clear" w:color="auto" w:fill="auto"/>
            <w:vAlign w:val="center"/>
          </w:tcPr>
          <w:p w14:paraId="077E6589"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156654</w:t>
            </w:r>
          </w:p>
        </w:tc>
        <w:tc>
          <w:tcPr>
            <w:tcW w:w="3226" w:type="dxa"/>
            <w:tcBorders>
              <w:left w:val="single" w:sz="4" w:space="0" w:color="000000"/>
              <w:bottom w:val="single" w:sz="4" w:space="0" w:color="000000"/>
              <w:right w:val="single" w:sz="4" w:space="0" w:color="000000"/>
            </w:tcBorders>
            <w:shd w:val="clear" w:color="auto" w:fill="auto"/>
            <w:vAlign w:val="center"/>
          </w:tcPr>
          <w:p w14:paraId="1709FC82" w14:textId="77777777" w:rsidR="00E70101" w:rsidRDefault="0060680B">
            <w:pPr>
              <w:spacing w:line="240" w:lineRule="auto"/>
              <w:jc w:val="center"/>
            </w:pPr>
            <w:r>
              <w:rPr>
                <w:rFonts w:ascii="Arial" w:eastAsia="仿宋_GB2312;仿宋" w:hAnsi="Arial" w:cs="Arial"/>
                <w:sz w:val="28"/>
                <w:szCs w:val="28"/>
              </w:rPr>
              <w:t>采用</w:t>
            </w:r>
            <w:r>
              <w:rPr>
                <w:rFonts w:ascii="Arial" w:eastAsia="仿宋_GB2312;仿宋" w:hAnsi="Arial" w:cs="Arial"/>
                <w:kern w:val="2"/>
                <w:sz w:val="28"/>
              </w:rPr>
              <w:t>市场比较法和成本逼近法</w:t>
            </w:r>
            <w:r>
              <w:rPr>
                <w:rFonts w:ascii="Arial" w:eastAsia="仿宋_GB2312;仿宋" w:hAnsi="Arial" w:cs="Arial"/>
                <w:sz w:val="28"/>
                <w:szCs w:val="28"/>
              </w:rPr>
              <w:t>评估测算</w:t>
            </w:r>
          </w:p>
        </w:tc>
      </w:tr>
      <w:tr w:rsidR="00E70101" w14:paraId="47A8D7D2" w14:textId="77777777">
        <w:trPr>
          <w:trHeight w:val="454"/>
          <w:jc w:val="center"/>
        </w:trPr>
        <w:tc>
          <w:tcPr>
            <w:tcW w:w="890" w:type="dxa"/>
            <w:tcBorders>
              <w:left w:val="single" w:sz="4" w:space="0" w:color="000000"/>
              <w:bottom w:val="single" w:sz="4" w:space="0" w:color="000000"/>
            </w:tcBorders>
            <w:shd w:val="clear" w:color="auto" w:fill="auto"/>
            <w:vAlign w:val="center"/>
          </w:tcPr>
          <w:p w14:paraId="37BA4F9D"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4" w:type="dxa"/>
            <w:tcBorders>
              <w:left w:val="single" w:sz="4" w:space="0" w:color="000000"/>
              <w:bottom w:val="single" w:sz="4" w:space="0" w:color="000000"/>
            </w:tcBorders>
            <w:shd w:val="clear" w:color="auto" w:fill="auto"/>
            <w:vAlign w:val="center"/>
          </w:tcPr>
          <w:p w14:paraId="018D0CFC"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2108" w:type="dxa"/>
            <w:tcBorders>
              <w:left w:val="single" w:sz="4" w:space="0" w:color="000000"/>
              <w:bottom w:val="single" w:sz="4" w:space="0" w:color="000000"/>
            </w:tcBorders>
            <w:shd w:val="clear" w:color="auto" w:fill="auto"/>
            <w:vAlign w:val="center"/>
          </w:tcPr>
          <w:p w14:paraId="1B37D5F3"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481779CF"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1E07615B" w14:textId="77777777">
        <w:trPr>
          <w:trHeight w:val="454"/>
          <w:jc w:val="center"/>
        </w:trPr>
        <w:tc>
          <w:tcPr>
            <w:tcW w:w="890" w:type="dxa"/>
            <w:tcBorders>
              <w:left w:val="single" w:sz="4" w:space="0" w:color="000000"/>
              <w:bottom w:val="single" w:sz="4" w:space="0" w:color="000000"/>
            </w:tcBorders>
            <w:shd w:val="clear" w:color="auto" w:fill="auto"/>
            <w:vAlign w:val="center"/>
          </w:tcPr>
          <w:p w14:paraId="336C7EBD"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4" w:type="dxa"/>
            <w:tcBorders>
              <w:left w:val="single" w:sz="4" w:space="0" w:color="000000"/>
              <w:bottom w:val="single" w:sz="4" w:space="0" w:color="000000"/>
            </w:tcBorders>
            <w:shd w:val="clear" w:color="auto" w:fill="auto"/>
            <w:vAlign w:val="center"/>
          </w:tcPr>
          <w:p w14:paraId="6446DE44"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2108" w:type="dxa"/>
            <w:tcBorders>
              <w:left w:val="single" w:sz="4" w:space="0" w:color="000000"/>
              <w:bottom w:val="single" w:sz="4" w:space="0" w:color="000000"/>
            </w:tcBorders>
            <w:shd w:val="clear" w:color="auto" w:fill="auto"/>
            <w:vAlign w:val="center"/>
          </w:tcPr>
          <w:p w14:paraId="0DC9CD18"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11CDC4E6"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77CAE982" w14:textId="77777777">
        <w:trPr>
          <w:trHeight w:val="454"/>
          <w:jc w:val="center"/>
        </w:trPr>
        <w:tc>
          <w:tcPr>
            <w:tcW w:w="890" w:type="dxa"/>
            <w:tcBorders>
              <w:left w:val="single" w:sz="4" w:space="0" w:color="000000"/>
              <w:bottom w:val="single" w:sz="4" w:space="0" w:color="000000"/>
            </w:tcBorders>
            <w:shd w:val="clear" w:color="auto" w:fill="auto"/>
            <w:vAlign w:val="center"/>
          </w:tcPr>
          <w:p w14:paraId="1C2EA392"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4" w:type="dxa"/>
            <w:tcBorders>
              <w:left w:val="single" w:sz="4" w:space="0" w:color="000000"/>
              <w:bottom w:val="single" w:sz="4" w:space="0" w:color="000000"/>
            </w:tcBorders>
            <w:shd w:val="clear" w:color="auto" w:fill="auto"/>
            <w:vAlign w:val="center"/>
          </w:tcPr>
          <w:p w14:paraId="4445E4C4"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2108" w:type="dxa"/>
            <w:tcBorders>
              <w:left w:val="single" w:sz="4" w:space="0" w:color="000000"/>
              <w:bottom w:val="single" w:sz="4" w:space="0" w:color="000000"/>
            </w:tcBorders>
            <w:shd w:val="clear" w:color="auto" w:fill="auto"/>
            <w:vAlign w:val="center"/>
          </w:tcPr>
          <w:p w14:paraId="48660D0B"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0E0F30AC"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10DB6421" w14:textId="77777777">
        <w:trPr>
          <w:trHeight w:val="454"/>
          <w:jc w:val="center"/>
        </w:trPr>
        <w:tc>
          <w:tcPr>
            <w:tcW w:w="890" w:type="dxa"/>
            <w:tcBorders>
              <w:left w:val="single" w:sz="4" w:space="0" w:color="000000"/>
              <w:bottom w:val="single" w:sz="4" w:space="0" w:color="000000"/>
            </w:tcBorders>
            <w:shd w:val="clear" w:color="auto" w:fill="auto"/>
            <w:vAlign w:val="center"/>
          </w:tcPr>
          <w:p w14:paraId="3E6D14D1"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4" w:type="dxa"/>
            <w:tcBorders>
              <w:left w:val="single" w:sz="4" w:space="0" w:color="000000"/>
              <w:bottom w:val="single" w:sz="4" w:space="0" w:color="000000"/>
            </w:tcBorders>
            <w:shd w:val="clear" w:color="auto" w:fill="auto"/>
            <w:vAlign w:val="center"/>
          </w:tcPr>
          <w:p w14:paraId="79C461AD"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2108" w:type="dxa"/>
            <w:tcBorders>
              <w:left w:val="single" w:sz="4" w:space="0" w:color="000000"/>
              <w:bottom w:val="single" w:sz="4" w:space="0" w:color="000000"/>
            </w:tcBorders>
            <w:shd w:val="clear" w:color="auto" w:fill="auto"/>
            <w:vAlign w:val="center"/>
          </w:tcPr>
          <w:p w14:paraId="7DE41C2F"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331A3E79"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325D6FEA" w14:textId="77777777">
        <w:trPr>
          <w:trHeight w:val="454"/>
          <w:jc w:val="center"/>
        </w:trPr>
        <w:tc>
          <w:tcPr>
            <w:tcW w:w="890" w:type="dxa"/>
            <w:tcBorders>
              <w:left w:val="single" w:sz="4" w:space="0" w:color="000000"/>
              <w:bottom w:val="single" w:sz="4" w:space="0" w:color="000000"/>
            </w:tcBorders>
            <w:shd w:val="clear" w:color="auto" w:fill="auto"/>
            <w:vAlign w:val="center"/>
          </w:tcPr>
          <w:p w14:paraId="4B9CF3FE"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4" w:type="dxa"/>
            <w:tcBorders>
              <w:left w:val="single" w:sz="4" w:space="0" w:color="000000"/>
              <w:bottom w:val="single" w:sz="4" w:space="0" w:color="000000"/>
            </w:tcBorders>
            <w:shd w:val="clear" w:color="auto" w:fill="auto"/>
            <w:vAlign w:val="center"/>
          </w:tcPr>
          <w:p w14:paraId="5F494557"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2108" w:type="dxa"/>
            <w:tcBorders>
              <w:left w:val="single" w:sz="4" w:space="0" w:color="000000"/>
              <w:bottom w:val="single" w:sz="4" w:space="0" w:color="000000"/>
            </w:tcBorders>
            <w:shd w:val="clear" w:color="auto" w:fill="auto"/>
            <w:vAlign w:val="center"/>
          </w:tcPr>
          <w:p w14:paraId="18F6144B"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33753420" w14:textId="77777777" w:rsidR="00E70101" w:rsidRDefault="0060680B">
            <w:pPr>
              <w:spacing w:line="240" w:lineRule="auto"/>
              <w:jc w:val="center"/>
              <w:rPr>
                <w:rFonts w:ascii="Arial" w:eastAsia="仿宋_GB2312;仿宋" w:hAnsi="Arial" w:cs="Arial"/>
                <w:sz w:val="28"/>
                <w:szCs w:val="28"/>
              </w:rPr>
            </w:pPr>
            <w:r>
              <w:rPr>
                <w:rFonts w:ascii="Arial" w:eastAsia="Arial" w:hAnsi="Arial" w:cs="Arial"/>
                <w:sz w:val="28"/>
                <w:szCs w:val="28"/>
              </w:rPr>
              <w:t xml:space="preserve"> </w:t>
            </w:r>
            <w:r>
              <w:rPr>
                <w:rFonts w:ascii="Arial" w:eastAsia="仿宋_GB2312;仿宋" w:hAnsi="Arial" w:cs="Arial"/>
                <w:sz w:val="28"/>
                <w:szCs w:val="28"/>
              </w:rPr>
              <w:t>——</w:t>
            </w:r>
          </w:p>
        </w:tc>
      </w:tr>
      <w:tr w:rsidR="00E70101" w14:paraId="64955CF2" w14:textId="77777777">
        <w:trPr>
          <w:trHeight w:val="454"/>
          <w:jc w:val="center"/>
        </w:trPr>
        <w:tc>
          <w:tcPr>
            <w:tcW w:w="890" w:type="dxa"/>
            <w:tcBorders>
              <w:left w:val="single" w:sz="4" w:space="0" w:color="000000"/>
              <w:bottom w:val="single" w:sz="4" w:space="0" w:color="000000"/>
            </w:tcBorders>
            <w:shd w:val="clear" w:color="auto" w:fill="auto"/>
            <w:vAlign w:val="center"/>
          </w:tcPr>
          <w:p w14:paraId="459B3801"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4" w:type="dxa"/>
            <w:tcBorders>
              <w:left w:val="single" w:sz="4" w:space="0" w:color="000000"/>
              <w:bottom w:val="single" w:sz="4" w:space="0" w:color="000000"/>
            </w:tcBorders>
            <w:shd w:val="clear" w:color="auto" w:fill="auto"/>
            <w:vAlign w:val="center"/>
          </w:tcPr>
          <w:p w14:paraId="6EC04997"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2108" w:type="dxa"/>
            <w:tcBorders>
              <w:left w:val="single" w:sz="4" w:space="0" w:color="000000"/>
              <w:bottom w:val="single" w:sz="4" w:space="0" w:color="000000"/>
            </w:tcBorders>
            <w:shd w:val="clear" w:color="auto" w:fill="auto"/>
            <w:vAlign w:val="center"/>
          </w:tcPr>
          <w:p w14:paraId="61D40DC7"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156654</w:t>
            </w:r>
          </w:p>
        </w:tc>
        <w:tc>
          <w:tcPr>
            <w:tcW w:w="3226" w:type="dxa"/>
            <w:tcBorders>
              <w:left w:val="single" w:sz="4" w:space="0" w:color="000000"/>
              <w:bottom w:val="single" w:sz="4" w:space="0" w:color="000000"/>
              <w:right w:val="single" w:sz="4" w:space="0" w:color="000000"/>
            </w:tcBorders>
            <w:shd w:val="clear" w:color="auto" w:fill="auto"/>
            <w:vAlign w:val="center"/>
          </w:tcPr>
          <w:p w14:paraId="1F21891A"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511B9A16" w14:textId="77777777" w:rsidR="00E70101" w:rsidRDefault="0060680B">
      <w:pPr>
        <w:spacing w:before="120" w:line="360" w:lineRule="auto"/>
        <w:ind w:firstLine="700"/>
        <w:jc w:val="both"/>
        <w:rPr>
          <w:rFonts w:ascii="Arial" w:eastAsia="仿宋_GB2312;仿宋" w:hAnsi="Arial" w:cs="Arial"/>
          <w:sz w:val="28"/>
        </w:rPr>
      </w:pPr>
      <w:r>
        <w:rPr>
          <w:rFonts w:ascii="Arial" w:eastAsia="仿宋_GB2312;仿宋" w:hAnsi="Arial" w:cs="Arial"/>
          <w:kern w:val="2"/>
          <w:sz w:val="28"/>
        </w:rPr>
        <w:t>详见《土地咨询结果一览表》</w:t>
      </w:r>
    </w:p>
    <w:p w14:paraId="2AF32698" w14:textId="77777777" w:rsidR="00E70101" w:rsidRDefault="0060680B">
      <w:pPr>
        <w:spacing w:line="360" w:lineRule="auto"/>
        <w:ind w:firstLine="560"/>
        <w:jc w:val="both"/>
        <w:rPr>
          <w:rFonts w:ascii="Arial" w:eastAsia="仿宋_GB2312;仿宋" w:hAnsi="Arial" w:cs="Arial"/>
          <w:sz w:val="28"/>
        </w:rPr>
        <w:sectPr w:rsidR="00E70101">
          <w:headerReference w:type="default" r:id="rId52"/>
          <w:footerReference w:type="default" r:id="rId53"/>
          <w:headerReference w:type="first" r:id="rId54"/>
          <w:footerReference w:type="first" r:id="rId55"/>
          <w:pgSz w:w="11906" w:h="16838"/>
          <w:pgMar w:top="1843" w:right="1134" w:bottom="1134" w:left="1474" w:header="1134" w:footer="907" w:gutter="0"/>
          <w:cols w:space="720"/>
          <w:formProt w:val="0"/>
          <w:titlePg/>
          <w:docGrid w:linePitch="326"/>
        </w:sectPr>
      </w:pPr>
      <w:r>
        <w:rPr>
          <w:rFonts w:ascii="Arial" w:eastAsia="仿宋_GB2312;仿宋" w:hAnsi="Arial" w:cs="Arial"/>
          <w:sz w:val="28"/>
        </w:rPr>
        <w:t>注：其中土地使用权价格测算各方法权重的确定详见《土地咨询技术报告》中咨询方法与咨询过程一节。</w:t>
      </w:r>
    </w:p>
    <w:p w14:paraId="4D1C5E93" w14:textId="77777777" w:rsidR="00E70101" w:rsidRDefault="0060680B">
      <w:pPr>
        <w:spacing w:line="240" w:lineRule="auto"/>
        <w:outlineLvl w:val="1"/>
      </w:pPr>
      <w:bookmarkStart w:id="34" w:name="__RefHeading___Toc530042249"/>
      <w:bookmarkEnd w:id="34"/>
      <w:r>
        <w:rPr>
          <w:rFonts w:ascii="Arial" w:eastAsia="仿宋_GB2312;仿宋" w:hAnsi="Arial" w:cs="Arial"/>
          <w:bCs/>
          <w:sz w:val="28"/>
        </w:rPr>
        <w:t>附</w:t>
      </w:r>
      <w:r>
        <w:rPr>
          <w:rFonts w:ascii="Arial" w:eastAsia="Arial" w:hAnsi="Arial" w:cs="Arial"/>
          <w:b/>
          <w:sz w:val="28"/>
        </w:rPr>
        <w:t xml:space="preserve">                                           </w:t>
      </w:r>
      <w:r>
        <w:rPr>
          <w:rFonts w:ascii="Arial" w:eastAsia="仿宋_GB2312;仿宋" w:hAnsi="Arial" w:cs="Arial"/>
          <w:b/>
          <w:sz w:val="28"/>
        </w:rPr>
        <w:t>咨询结果一览表</w:t>
      </w:r>
    </w:p>
    <w:p w14:paraId="54650092" w14:textId="77777777" w:rsidR="00E70101" w:rsidRDefault="0060680B">
      <w:pPr>
        <w:spacing w:line="240" w:lineRule="auto"/>
      </w:pPr>
      <w:r>
        <w:rPr>
          <w:rFonts w:ascii="Arial" w:eastAsia="仿宋_GB2312;仿宋" w:hAnsi="Arial" w:cs="Arial"/>
          <w:bCs/>
          <w:sz w:val="18"/>
        </w:rPr>
        <w:t>受托单位：北京康正宏基房地产评估有限公司</w:t>
      </w:r>
      <w:r>
        <w:rPr>
          <w:rFonts w:ascii="Arial" w:eastAsia="仿宋_GB2312;仿宋" w:hAnsi="Arial" w:cs="Arial"/>
          <w:bCs/>
          <w:sz w:val="18"/>
        </w:rPr>
        <w:t xml:space="preserve">   </w:t>
      </w:r>
      <w:r>
        <w:rPr>
          <w:rFonts w:ascii="Arial" w:eastAsia="仿宋_GB2312;仿宋" w:hAnsi="Arial" w:cs="Arial"/>
          <w:bCs/>
          <w:sz w:val="18"/>
        </w:rPr>
        <w:t>咨询报告编号：康正评字</w:t>
      </w:r>
      <w:r>
        <w:rPr>
          <w:rFonts w:ascii="Arial" w:eastAsia="仿宋_GB2312;仿宋" w:hAnsi="Arial" w:cs="Arial"/>
          <w:bCs/>
          <w:sz w:val="18"/>
        </w:rPr>
        <w:t>2024-1-0271-F01SGCB6</w:t>
      </w:r>
      <w:r>
        <w:rPr>
          <w:rFonts w:ascii="Arial" w:eastAsia="仿宋_GB2312;仿宋" w:hAnsi="Arial" w:cs="Arial"/>
          <w:bCs/>
          <w:sz w:val="18"/>
        </w:rPr>
        <w:t>号</w:t>
      </w:r>
      <w:r>
        <w:rPr>
          <w:rFonts w:ascii="Arial" w:eastAsia="仿宋_GB2312;仿宋" w:hAnsi="Arial" w:cs="Arial"/>
          <w:bCs/>
          <w:sz w:val="18"/>
        </w:rPr>
        <w:t xml:space="preserve">   </w:t>
      </w:r>
      <w:r>
        <w:rPr>
          <w:rFonts w:ascii="Arial" w:eastAsia="仿宋_GB2312;仿宋" w:hAnsi="Arial" w:cs="Arial"/>
          <w:bCs/>
          <w:sz w:val="18"/>
        </w:rPr>
        <w:t>咨询期日：</w:t>
      </w:r>
      <w:r>
        <w:rPr>
          <w:rFonts w:ascii="Arial" w:eastAsia="仿宋_GB2312;仿宋" w:hAnsi="Arial" w:cs="Arial"/>
          <w:bCs/>
          <w:sz w:val="18"/>
        </w:rPr>
        <w:t>2023</w:t>
      </w:r>
      <w:r>
        <w:rPr>
          <w:rFonts w:ascii="Arial" w:eastAsia="仿宋_GB2312;仿宋" w:hAnsi="Arial" w:cs="Arial"/>
          <w:bCs/>
          <w:sz w:val="18"/>
        </w:rPr>
        <w:t>年</w:t>
      </w:r>
      <w:r>
        <w:rPr>
          <w:rFonts w:ascii="Arial" w:eastAsia="仿宋_GB2312;仿宋" w:hAnsi="Arial" w:cs="Arial"/>
          <w:bCs/>
          <w:sz w:val="18"/>
        </w:rPr>
        <w:t>9</w:t>
      </w:r>
      <w:r>
        <w:rPr>
          <w:rFonts w:ascii="Arial" w:eastAsia="仿宋_GB2312;仿宋" w:hAnsi="Arial" w:cs="Arial"/>
          <w:bCs/>
          <w:sz w:val="18"/>
        </w:rPr>
        <w:t>月</w:t>
      </w:r>
      <w:r>
        <w:rPr>
          <w:rFonts w:ascii="Arial" w:eastAsia="仿宋_GB2312;仿宋" w:hAnsi="Arial" w:cs="Arial"/>
          <w:bCs/>
          <w:sz w:val="18"/>
        </w:rPr>
        <w:t>4</w:t>
      </w:r>
      <w:r>
        <w:rPr>
          <w:rFonts w:ascii="Arial" w:eastAsia="仿宋_GB2312;仿宋" w:hAnsi="Arial" w:cs="Arial"/>
          <w:bCs/>
          <w:sz w:val="18"/>
        </w:rPr>
        <w:t>日</w:t>
      </w:r>
      <w:r>
        <w:rPr>
          <w:rFonts w:ascii="Arial" w:eastAsia="仿宋_GB2312;仿宋" w:hAnsi="Arial" w:cs="Arial"/>
          <w:bCs/>
          <w:sz w:val="18"/>
        </w:rPr>
        <w:t xml:space="preserve">   </w:t>
      </w:r>
      <w:r>
        <w:rPr>
          <w:rFonts w:ascii="Arial" w:eastAsia="仿宋_GB2312;仿宋" w:hAnsi="Arial" w:cs="Arial"/>
          <w:bCs/>
          <w:sz w:val="18"/>
        </w:rPr>
        <w:t>咨询期日</w:t>
      </w:r>
      <w:r>
        <w:t>的国有建设用地使用权性质：划拨</w:t>
      </w:r>
    </w:p>
    <w:tbl>
      <w:tblPr>
        <w:tblW w:w="14479" w:type="dxa"/>
        <w:tblLook w:val="0000" w:firstRow="0" w:lastRow="0" w:firstColumn="0" w:lastColumn="0" w:noHBand="0" w:noVBand="0"/>
      </w:tblPr>
      <w:tblGrid>
        <w:gridCol w:w="709"/>
        <w:gridCol w:w="567"/>
        <w:gridCol w:w="709"/>
        <w:gridCol w:w="567"/>
        <w:gridCol w:w="425"/>
        <w:gridCol w:w="425"/>
        <w:gridCol w:w="426"/>
        <w:gridCol w:w="425"/>
        <w:gridCol w:w="567"/>
        <w:gridCol w:w="425"/>
        <w:gridCol w:w="1843"/>
        <w:gridCol w:w="1843"/>
        <w:gridCol w:w="1275"/>
        <w:gridCol w:w="993"/>
        <w:gridCol w:w="1275"/>
        <w:gridCol w:w="2005"/>
      </w:tblGrid>
      <w:tr w:rsidR="00E70101" w14:paraId="77C2E0A3" w14:textId="77777777">
        <w:trPr>
          <w:trHeight w:val="255"/>
        </w:trPr>
        <w:tc>
          <w:tcPr>
            <w:tcW w:w="709" w:type="dxa"/>
            <w:vMerge w:val="restart"/>
            <w:tcBorders>
              <w:top w:val="single" w:sz="8" w:space="0" w:color="000000"/>
              <w:left w:val="single" w:sz="8" w:space="0" w:color="000000"/>
              <w:bottom w:val="single" w:sz="6" w:space="0" w:color="000000"/>
            </w:tcBorders>
            <w:shd w:val="clear" w:color="auto" w:fill="auto"/>
            <w:vAlign w:val="center"/>
          </w:tcPr>
          <w:p w14:paraId="41D3D2B5" w14:textId="77777777" w:rsidR="00E70101" w:rsidRDefault="0060680B">
            <w:pPr>
              <w:spacing w:line="240" w:lineRule="auto"/>
              <w:jc w:val="center"/>
            </w:pPr>
            <w:r>
              <w:rPr>
                <w:rFonts w:ascii="Arial" w:eastAsia="仿宋_GB2312;仿宋" w:hAnsi="Arial" w:cs="Arial"/>
                <w:sz w:val="18"/>
                <w:szCs w:val="18"/>
              </w:rPr>
              <w:t>咨询期日的土地使用者</w:t>
            </w:r>
          </w:p>
        </w:tc>
        <w:tc>
          <w:tcPr>
            <w:tcW w:w="567" w:type="dxa"/>
            <w:vMerge w:val="restart"/>
            <w:tcBorders>
              <w:top w:val="single" w:sz="8" w:space="0" w:color="000000"/>
              <w:left w:val="single" w:sz="6" w:space="0" w:color="000000"/>
              <w:bottom w:val="single" w:sz="6" w:space="0" w:color="000000"/>
            </w:tcBorders>
            <w:shd w:val="clear" w:color="auto" w:fill="auto"/>
            <w:vAlign w:val="center"/>
          </w:tcPr>
          <w:p w14:paraId="76473248"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宗地编号</w:t>
            </w:r>
          </w:p>
        </w:tc>
        <w:tc>
          <w:tcPr>
            <w:tcW w:w="709" w:type="dxa"/>
            <w:vMerge w:val="restart"/>
            <w:tcBorders>
              <w:top w:val="single" w:sz="8" w:space="0" w:color="000000"/>
              <w:left w:val="single" w:sz="6" w:space="0" w:color="000000"/>
              <w:bottom w:val="single" w:sz="6" w:space="0" w:color="000000"/>
            </w:tcBorders>
            <w:shd w:val="clear" w:color="auto" w:fill="auto"/>
            <w:vAlign w:val="center"/>
          </w:tcPr>
          <w:p w14:paraId="2460EDC4"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宗地名称</w:t>
            </w:r>
          </w:p>
        </w:tc>
        <w:tc>
          <w:tcPr>
            <w:tcW w:w="567" w:type="dxa"/>
            <w:vMerge w:val="restart"/>
            <w:tcBorders>
              <w:top w:val="single" w:sz="8" w:space="0" w:color="000000"/>
              <w:left w:val="single" w:sz="6" w:space="0" w:color="000000"/>
              <w:bottom w:val="single" w:sz="6" w:space="0" w:color="000000"/>
            </w:tcBorders>
            <w:shd w:val="clear" w:color="auto" w:fill="auto"/>
            <w:vAlign w:val="center"/>
          </w:tcPr>
          <w:p w14:paraId="358E4A8D"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土地使用证编号</w:t>
            </w:r>
          </w:p>
        </w:tc>
        <w:tc>
          <w:tcPr>
            <w:tcW w:w="1276" w:type="dxa"/>
            <w:gridSpan w:val="3"/>
            <w:tcBorders>
              <w:top w:val="single" w:sz="8" w:space="0" w:color="000000"/>
              <w:left w:val="single" w:sz="6" w:space="0" w:color="000000"/>
              <w:bottom w:val="single" w:sz="6" w:space="0" w:color="000000"/>
            </w:tcBorders>
            <w:shd w:val="clear" w:color="auto" w:fill="auto"/>
            <w:vAlign w:val="center"/>
          </w:tcPr>
          <w:p w14:paraId="2ECECE9A" w14:textId="77777777" w:rsidR="00E70101" w:rsidRDefault="0060680B">
            <w:pPr>
              <w:widowControl/>
              <w:spacing w:line="240" w:lineRule="auto"/>
              <w:jc w:val="center"/>
            </w:pPr>
            <w:r>
              <w:rPr>
                <w:rFonts w:ascii="Arial" w:eastAsia="仿宋_GB2312;仿宋" w:hAnsi="Arial" w:cs="Arial"/>
                <w:sz w:val="18"/>
                <w:szCs w:val="18"/>
              </w:rPr>
              <w:t>咨询期日的用途</w:t>
            </w:r>
          </w:p>
        </w:tc>
        <w:tc>
          <w:tcPr>
            <w:tcW w:w="1417" w:type="dxa"/>
            <w:gridSpan w:val="3"/>
            <w:tcBorders>
              <w:top w:val="single" w:sz="8" w:space="0" w:color="000000"/>
              <w:left w:val="single" w:sz="6" w:space="0" w:color="000000"/>
              <w:bottom w:val="single" w:sz="6" w:space="0" w:color="000000"/>
            </w:tcBorders>
            <w:shd w:val="clear" w:color="auto" w:fill="auto"/>
            <w:vAlign w:val="center"/>
          </w:tcPr>
          <w:p w14:paraId="4ED8B972"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容积率</w:t>
            </w:r>
          </w:p>
        </w:tc>
        <w:tc>
          <w:tcPr>
            <w:tcW w:w="1843" w:type="dxa"/>
            <w:vMerge w:val="restart"/>
            <w:tcBorders>
              <w:top w:val="single" w:sz="8" w:space="0" w:color="000000"/>
              <w:left w:val="single" w:sz="6" w:space="0" w:color="000000"/>
              <w:bottom w:val="single" w:sz="6" w:space="0" w:color="000000"/>
            </w:tcBorders>
            <w:shd w:val="clear" w:color="auto" w:fill="auto"/>
            <w:vAlign w:val="center"/>
          </w:tcPr>
          <w:p w14:paraId="6B4F1989" w14:textId="77777777" w:rsidR="00E70101" w:rsidRDefault="0060680B">
            <w:pPr>
              <w:spacing w:line="240" w:lineRule="auto"/>
              <w:jc w:val="center"/>
            </w:pPr>
            <w:r>
              <w:rPr>
                <w:rFonts w:ascii="Arial" w:eastAsia="仿宋_GB2312;仿宋" w:hAnsi="Arial" w:cs="Arial"/>
                <w:sz w:val="18"/>
                <w:szCs w:val="18"/>
              </w:rPr>
              <w:t>咨询期日实际土地开发程度</w:t>
            </w:r>
          </w:p>
        </w:tc>
        <w:tc>
          <w:tcPr>
            <w:tcW w:w="1843" w:type="dxa"/>
            <w:vMerge w:val="restart"/>
            <w:tcBorders>
              <w:top w:val="single" w:sz="8" w:space="0" w:color="000000"/>
              <w:left w:val="single" w:sz="6" w:space="0" w:color="000000"/>
              <w:bottom w:val="single" w:sz="6" w:space="0" w:color="000000"/>
            </w:tcBorders>
            <w:shd w:val="clear" w:color="auto" w:fill="auto"/>
            <w:vAlign w:val="center"/>
          </w:tcPr>
          <w:p w14:paraId="549395C7" w14:textId="77777777" w:rsidR="00E70101" w:rsidRDefault="0060680B">
            <w:pPr>
              <w:spacing w:line="240" w:lineRule="auto"/>
              <w:jc w:val="center"/>
            </w:pPr>
            <w:r>
              <w:rPr>
                <w:rFonts w:ascii="Arial" w:eastAsia="仿宋_GB2312;仿宋" w:hAnsi="Arial" w:cs="Arial"/>
                <w:sz w:val="18"/>
                <w:szCs w:val="18"/>
              </w:rPr>
              <w:t>咨询设定土地开发程度</w:t>
            </w:r>
          </w:p>
        </w:tc>
        <w:tc>
          <w:tcPr>
            <w:tcW w:w="1275" w:type="dxa"/>
            <w:vMerge w:val="restart"/>
            <w:tcBorders>
              <w:top w:val="single" w:sz="8" w:space="0" w:color="000000"/>
              <w:left w:val="single" w:sz="6" w:space="0" w:color="000000"/>
              <w:bottom w:val="single" w:sz="6" w:space="0" w:color="000000"/>
            </w:tcBorders>
            <w:shd w:val="clear" w:color="auto" w:fill="auto"/>
            <w:vAlign w:val="center"/>
          </w:tcPr>
          <w:p w14:paraId="3CE5DA9F" w14:textId="77777777" w:rsidR="00E70101" w:rsidRDefault="0060680B">
            <w:pPr>
              <w:spacing w:line="240" w:lineRule="auto"/>
              <w:jc w:val="center"/>
            </w:pPr>
            <w:r>
              <w:rPr>
                <w:rFonts w:ascii="Arial" w:eastAsia="仿宋_GB2312;仿宋" w:hAnsi="Arial" w:cs="Arial"/>
                <w:sz w:val="18"/>
                <w:szCs w:val="18"/>
              </w:rPr>
              <w:t>土地补偿面积或房屋建筑面积（</w:t>
            </w:r>
            <w:r>
              <w:rPr>
                <w:rFonts w:ascii="Arial" w:hAnsi="Arial" w:cs="Arial"/>
                <w:sz w:val="18"/>
                <w:szCs w:val="18"/>
              </w:rPr>
              <w:t>㎡</w:t>
            </w:r>
            <w:r>
              <w:rPr>
                <w:rFonts w:ascii="Arial" w:eastAsia="仿宋_GB2312;仿宋" w:hAnsi="Arial" w:cs="Arial"/>
                <w:sz w:val="18"/>
                <w:szCs w:val="18"/>
              </w:rPr>
              <w:t>）</w:t>
            </w:r>
          </w:p>
        </w:tc>
        <w:tc>
          <w:tcPr>
            <w:tcW w:w="993" w:type="dxa"/>
            <w:vMerge w:val="restart"/>
            <w:tcBorders>
              <w:top w:val="single" w:sz="8" w:space="0" w:color="000000"/>
              <w:left w:val="single" w:sz="6" w:space="0" w:color="000000"/>
              <w:bottom w:val="single" w:sz="6" w:space="0" w:color="000000"/>
            </w:tcBorders>
            <w:shd w:val="clear" w:color="auto" w:fill="auto"/>
            <w:vAlign w:val="center"/>
          </w:tcPr>
          <w:p w14:paraId="5900CBBE"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土地单位面积地价</w:t>
            </w:r>
          </w:p>
          <w:p w14:paraId="0E952AE4" w14:textId="77777777" w:rsidR="00E70101" w:rsidRDefault="0060680B">
            <w:pPr>
              <w:spacing w:line="240" w:lineRule="auto"/>
              <w:jc w:val="center"/>
            </w:pPr>
            <w:r>
              <w:rPr>
                <w:rFonts w:ascii="Arial" w:eastAsia="仿宋_GB2312;仿宋" w:hAnsi="Arial" w:cs="Arial"/>
                <w:sz w:val="18"/>
                <w:szCs w:val="18"/>
              </w:rPr>
              <w:t>（元</w:t>
            </w:r>
            <w:r>
              <w:rPr>
                <w:rFonts w:ascii="Arial" w:eastAsia="仿宋_GB2312;仿宋" w:hAnsi="Arial" w:cs="Arial"/>
                <w:sz w:val="18"/>
                <w:szCs w:val="18"/>
              </w:rPr>
              <w:t>/</w:t>
            </w:r>
            <w:r>
              <w:rPr>
                <w:rFonts w:ascii="Arial" w:hAnsi="Arial" w:cs="Arial"/>
                <w:sz w:val="18"/>
                <w:szCs w:val="18"/>
              </w:rPr>
              <w:t>㎡</w:t>
            </w:r>
            <w:r>
              <w:rPr>
                <w:rFonts w:ascii="Arial" w:eastAsia="仿宋_GB2312;仿宋" w:hAnsi="Arial" w:cs="Arial"/>
                <w:sz w:val="18"/>
                <w:szCs w:val="18"/>
              </w:rPr>
              <w:t>）</w:t>
            </w:r>
          </w:p>
        </w:tc>
        <w:tc>
          <w:tcPr>
            <w:tcW w:w="1275" w:type="dxa"/>
            <w:vMerge w:val="restart"/>
            <w:tcBorders>
              <w:top w:val="single" w:sz="8" w:space="0" w:color="000000"/>
              <w:left w:val="single" w:sz="6" w:space="0" w:color="000000"/>
              <w:bottom w:val="single" w:sz="6" w:space="0" w:color="000000"/>
            </w:tcBorders>
            <w:shd w:val="clear" w:color="auto" w:fill="auto"/>
            <w:vAlign w:val="center"/>
          </w:tcPr>
          <w:p w14:paraId="0B9B31C4" w14:textId="77777777" w:rsidR="00E70101" w:rsidRDefault="0060680B">
            <w:pPr>
              <w:spacing w:line="240" w:lineRule="auto"/>
              <w:jc w:val="center"/>
            </w:pPr>
            <w:r>
              <w:rPr>
                <w:rFonts w:ascii="Arial" w:eastAsia="仿宋_GB2312;仿宋" w:hAnsi="Arial" w:cs="Arial"/>
                <w:sz w:val="18"/>
                <w:szCs w:val="18"/>
              </w:rPr>
              <w:t>咨询价格（万元）</w:t>
            </w:r>
          </w:p>
        </w:tc>
        <w:tc>
          <w:tcPr>
            <w:tcW w:w="2005" w:type="dxa"/>
            <w:vMerge w:val="restart"/>
            <w:tcBorders>
              <w:top w:val="single" w:sz="8" w:space="0" w:color="000000"/>
              <w:left w:val="single" w:sz="6" w:space="0" w:color="000000"/>
              <w:bottom w:val="single" w:sz="6" w:space="0" w:color="000000"/>
              <w:right w:val="single" w:sz="8" w:space="0" w:color="000000"/>
            </w:tcBorders>
            <w:shd w:val="clear" w:color="auto" w:fill="auto"/>
            <w:vAlign w:val="center"/>
          </w:tcPr>
          <w:p w14:paraId="5BD0E3E0"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备注</w:t>
            </w:r>
          </w:p>
        </w:tc>
      </w:tr>
      <w:tr w:rsidR="00E70101" w14:paraId="3697C26E" w14:textId="77777777">
        <w:trPr>
          <w:trHeight w:val="814"/>
        </w:trPr>
        <w:tc>
          <w:tcPr>
            <w:tcW w:w="709" w:type="dxa"/>
            <w:vMerge/>
            <w:tcBorders>
              <w:top w:val="single" w:sz="8" w:space="0" w:color="000000"/>
              <w:left w:val="single" w:sz="8" w:space="0" w:color="000000"/>
              <w:bottom w:val="single" w:sz="6" w:space="0" w:color="000000"/>
            </w:tcBorders>
            <w:shd w:val="clear" w:color="auto" w:fill="auto"/>
            <w:vAlign w:val="center"/>
          </w:tcPr>
          <w:p w14:paraId="0A30CC5F"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vMerge/>
            <w:tcBorders>
              <w:top w:val="single" w:sz="8" w:space="0" w:color="000000"/>
              <w:left w:val="single" w:sz="6" w:space="0" w:color="000000"/>
              <w:bottom w:val="single" w:sz="6" w:space="0" w:color="000000"/>
            </w:tcBorders>
            <w:shd w:val="clear" w:color="auto" w:fill="auto"/>
            <w:vAlign w:val="center"/>
          </w:tcPr>
          <w:p w14:paraId="0D1D156F" w14:textId="77777777" w:rsidR="00E70101" w:rsidRDefault="00E70101">
            <w:pPr>
              <w:widowControl/>
              <w:snapToGrid w:val="0"/>
              <w:spacing w:line="240" w:lineRule="auto"/>
              <w:jc w:val="center"/>
              <w:rPr>
                <w:rFonts w:ascii="Arial" w:eastAsia="仿宋_GB2312;仿宋" w:hAnsi="Arial" w:cs="Arial"/>
                <w:sz w:val="18"/>
                <w:szCs w:val="18"/>
              </w:rPr>
            </w:pPr>
          </w:p>
        </w:tc>
        <w:tc>
          <w:tcPr>
            <w:tcW w:w="709" w:type="dxa"/>
            <w:vMerge/>
            <w:tcBorders>
              <w:top w:val="single" w:sz="8" w:space="0" w:color="000000"/>
              <w:left w:val="single" w:sz="6" w:space="0" w:color="000000"/>
              <w:bottom w:val="single" w:sz="6" w:space="0" w:color="000000"/>
            </w:tcBorders>
            <w:shd w:val="clear" w:color="auto" w:fill="auto"/>
            <w:vAlign w:val="center"/>
          </w:tcPr>
          <w:p w14:paraId="2FCBEA4A"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vMerge/>
            <w:tcBorders>
              <w:top w:val="single" w:sz="8" w:space="0" w:color="000000"/>
              <w:left w:val="single" w:sz="6" w:space="0" w:color="000000"/>
              <w:bottom w:val="single" w:sz="6" w:space="0" w:color="000000"/>
            </w:tcBorders>
            <w:shd w:val="clear" w:color="auto" w:fill="auto"/>
            <w:vAlign w:val="center"/>
          </w:tcPr>
          <w:p w14:paraId="3CE7DDBE"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tcBorders>
              <w:top w:val="single" w:sz="6" w:space="0" w:color="000000"/>
              <w:left w:val="single" w:sz="6" w:space="0" w:color="000000"/>
              <w:bottom w:val="single" w:sz="6" w:space="0" w:color="000000"/>
            </w:tcBorders>
            <w:shd w:val="clear" w:color="auto" w:fill="auto"/>
            <w:vAlign w:val="center"/>
          </w:tcPr>
          <w:p w14:paraId="26329918"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证载</w:t>
            </w:r>
          </w:p>
        </w:tc>
        <w:tc>
          <w:tcPr>
            <w:tcW w:w="425" w:type="dxa"/>
            <w:tcBorders>
              <w:top w:val="single" w:sz="6" w:space="0" w:color="000000"/>
              <w:left w:val="single" w:sz="6" w:space="0" w:color="000000"/>
              <w:bottom w:val="single" w:sz="6" w:space="0" w:color="000000"/>
            </w:tcBorders>
            <w:shd w:val="clear" w:color="auto" w:fill="auto"/>
            <w:vAlign w:val="center"/>
          </w:tcPr>
          <w:p w14:paraId="7E27E3BD"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实际</w:t>
            </w:r>
          </w:p>
        </w:tc>
        <w:tc>
          <w:tcPr>
            <w:tcW w:w="426" w:type="dxa"/>
            <w:tcBorders>
              <w:top w:val="single" w:sz="6" w:space="0" w:color="000000"/>
              <w:left w:val="single" w:sz="6" w:space="0" w:color="000000"/>
              <w:bottom w:val="single" w:sz="6" w:space="0" w:color="000000"/>
            </w:tcBorders>
            <w:shd w:val="clear" w:color="auto" w:fill="auto"/>
            <w:vAlign w:val="center"/>
          </w:tcPr>
          <w:p w14:paraId="5B58C870"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设定</w:t>
            </w:r>
          </w:p>
        </w:tc>
        <w:tc>
          <w:tcPr>
            <w:tcW w:w="425" w:type="dxa"/>
            <w:tcBorders>
              <w:top w:val="single" w:sz="6" w:space="0" w:color="000000"/>
              <w:left w:val="single" w:sz="6" w:space="0" w:color="000000"/>
              <w:bottom w:val="single" w:sz="6" w:space="0" w:color="000000"/>
            </w:tcBorders>
            <w:shd w:val="clear" w:color="auto" w:fill="auto"/>
            <w:vAlign w:val="center"/>
          </w:tcPr>
          <w:p w14:paraId="780E5769"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规划</w:t>
            </w:r>
          </w:p>
        </w:tc>
        <w:tc>
          <w:tcPr>
            <w:tcW w:w="567" w:type="dxa"/>
            <w:tcBorders>
              <w:top w:val="single" w:sz="6" w:space="0" w:color="000000"/>
              <w:left w:val="single" w:sz="6" w:space="0" w:color="000000"/>
              <w:bottom w:val="single" w:sz="6" w:space="0" w:color="000000"/>
            </w:tcBorders>
            <w:shd w:val="clear" w:color="auto" w:fill="auto"/>
            <w:vAlign w:val="center"/>
          </w:tcPr>
          <w:p w14:paraId="593C5878"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实际</w:t>
            </w:r>
          </w:p>
        </w:tc>
        <w:tc>
          <w:tcPr>
            <w:tcW w:w="425" w:type="dxa"/>
            <w:tcBorders>
              <w:top w:val="single" w:sz="6" w:space="0" w:color="000000"/>
              <w:left w:val="single" w:sz="6" w:space="0" w:color="000000"/>
              <w:bottom w:val="single" w:sz="6" w:space="0" w:color="000000"/>
            </w:tcBorders>
            <w:shd w:val="clear" w:color="auto" w:fill="auto"/>
            <w:vAlign w:val="center"/>
          </w:tcPr>
          <w:p w14:paraId="7B1AE136"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设定</w:t>
            </w:r>
          </w:p>
        </w:tc>
        <w:tc>
          <w:tcPr>
            <w:tcW w:w="1843" w:type="dxa"/>
            <w:vMerge/>
            <w:tcBorders>
              <w:top w:val="single" w:sz="8" w:space="0" w:color="000000"/>
              <w:left w:val="single" w:sz="6" w:space="0" w:color="000000"/>
              <w:bottom w:val="single" w:sz="6" w:space="0" w:color="000000"/>
            </w:tcBorders>
            <w:shd w:val="clear" w:color="auto" w:fill="auto"/>
            <w:vAlign w:val="center"/>
          </w:tcPr>
          <w:p w14:paraId="513ECADA" w14:textId="77777777" w:rsidR="00E70101" w:rsidRDefault="00E70101">
            <w:pPr>
              <w:widowControl/>
              <w:snapToGrid w:val="0"/>
              <w:spacing w:line="240" w:lineRule="auto"/>
              <w:jc w:val="center"/>
              <w:rPr>
                <w:rFonts w:ascii="Arial" w:eastAsia="仿宋_GB2312;仿宋" w:hAnsi="Arial" w:cs="Arial"/>
                <w:sz w:val="18"/>
                <w:szCs w:val="18"/>
              </w:rPr>
            </w:pPr>
          </w:p>
        </w:tc>
        <w:tc>
          <w:tcPr>
            <w:tcW w:w="1843" w:type="dxa"/>
            <w:vMerge/>
            <w:tcBorders>
              <w:top w:val="single" w:sz="8" w:space="0" w:color="000000"/>
              <w:left w:val="single" w:sz="6" w:space="0" w:color="000000"/>
              <w:bottom w:val="single" w:sz="6" w:space="0" w:color="000000"/>
            </w:tcBorders>
            <w:shd w:val="clear" w:color="auto" w:fill="auto"/>
            <w:vAlign w:val="center"/>
          </w:tcPr>
          <w:p w14:paraId="70F8FF4F" w14:textId="77777777" w:rsidR="00E70101" w:rsidRDefault="00E70101">
            <w:pPr>
              <w:widowControl/>
              <w:snapToGrid w:val="0"/>
              <w:spacing w:line="240" w:lineRule="auto"/>
              <w:jc w:val="center"/>
              <w:rPr>
                <w:rFonts w:ascii="Arial" w:eastAsia="仿宋_GB2312;仿宋" w:hAnsi="Arial" w:cs="Arial"/>
                <w:sz w:val="18"/>
                <w:szCs w:val="18"/>
              </w:rPr>
            </w:pPr>
          </w:p>
        </w:tc>
        <w:tc>
          <w:tcPr>
            <w:tcW w:w="1275" w:type="dxa"/>
            <w:vMerge/>
            <w:tcBorders>
              <w:top w:val="single" w:sz="8" w:space="0" w:color="000000"/>
              <w:left w:val="single" w:sz="6" w:space="0" w:color="000000"/>
              <w:bottom w:val="single" w:sz="6" w:space="0" w:color="000000"/>
            </w:tcBorders>
            <w:shd w:val="clear" w:color="auto" w:fill="auto"/>
            <w:vAlign w:val="center"/>
          </w:tcPr>
          <w:p w14:paraId="1B676C0B" w14:textId="77777777" w:rsidR="00E70101" w:rsidRDefault="00E70101">
            <w:pPr>
              <w:widowControl/>
              <w:snapToGrid w:val="0"/>
              <w:spacing w:line="240" w:lineRule="auto"/>
              <w:jc w:val="center"/>
              <w:rPr>
                <w:rFonts w:ascii="Arial" w:eastAsia="仿宋_GB2312;仿宋" w:hAnsi="Arial" w:cs="Arial"/>
                <w:sz w:val="18"/>
                <w:szCs w:val="18"/>
              </w:rPr>
            </w:pPr>
          </w:p>
        </w:tc>
        <w:tc>
          <w:tcPr>
            <w:tcW w:w="993" w:type="dxa"/>
            <w:vMerge/>
            <w:tcBorders>
              <w:top w:val="single" w:sz="8" w:space="0" w:color="000000"/>
              <w:left w:val="single" w:sz="6" w:space="0" w:color="000000"/>
              <w:bottom w:val="single" w:sz="6" w:space="0" w:color="000000"/>
            </w:tcBorders>
            <w:shd w:val="clear" w:color="auto" w:fill="auto"/>
            <w:vAlign w:val="center"/>
          </w:tcPr>
          <w:p w14:paraId="69A89CAA" w14:textId="77777777" w:rsidR="00E70101" w:rsidRDefault="00E70101">
            <w:pPr>
              <w:widowControl/>
              <w:snapToGrid w:val="0"/>
              <w:spacing w:line="240" w:lineRule="auto"/>
              <w:jc w:val="center"/>
              <w:rPr>
                <w:rFonts w:ascii="Arial" w:eastAsia="仿宋_GB2312;仿宋" w:hAnsi="Arial" w:cs="Arial"/>
                <w:sz w:val="18"/>
                <w:szCs w:val="18"/>
              </w:rPr>
            </w:pPr>
          </w:p>
        </w:tc>
        <w:tc>
          <w:tcPr>
            <w:tcW w:w="1275" w:type="dxa"/>
            <w:vMerge/>
            <w:tcBorders>
              <w:top w:val="single" w:sz="8" w:space="0" w:color="000000"/>
              <w:left w:val="single" w:sz="6" w:space="0" w:color="000000"/>
              <w:bottom w:val="single" w:sz="6" w:space="0" w:color="000000"/>
            </w:tcBorders>
            <w:shd w:val="clear" w:color="auto" w:fill="auto"/>
            <w:vAlign w:val="center"/>
          </w:tcPr>
          <w:p w14:paraId="048F0838" w14:textId="77777777" w:rsidR="00E70101" w:rsidRDefault="00E70101">
            <w:pPr>
              <w:widowControl/>
              <w:snapToGrid w:val="0"/>
              <w:spacing w:line="240" w:lineRule="auto"/>
              <w:jc w:val="center"/>
              <w:rPr>
                <w:rFonts w:ascii="Arial" w:eastAsia="仿宋_GB2312;仿宋" w:hAnsi="Arial" w:cs="Arial"/>
                <w:sz w:val="18"/>
                <w:szCs w:val="18"/>
              </w:rPr>
            </w:pPr>
          </w:p>
        </w:tc>
        <w:tc>
          <w:tcPr>
            <w:tcW w:w="2005" w:type="dxa"/>
            <w:vMerge/>
            <w:tcBorders>
              <w:top w:val="single" w:sz="8" w:space="0" w:color="000000"/>
              <w:left w:val="single" w:sz="6" w:space="0" w:color="000000"/>
              <w:bottom w:val="single" w:sz="6" w:space="0" w:color="000000"/>
              <w:right w:val="single" w:sz="8" w:space="0" w:color="000000"/>
            </w:tcBorders>
            <w:shd w:val="clear" w:color="auto" w:fill="auto"/>
            <w:vAlign w:val="center"/>
          </w:tcPr>
          <w:p w14:paraId="7E3AF361" w14:textId="77777777" w:rsidR="00E70101" w:rsidRDefault="00E70101">
            <w:pPr>
              <w:widowControl/>
              <w:snapToGrid w:val="0"/>
              <w:spacing w:line="240" w:lineRule="auto"/>
              <w:jc w:val="center"/>
              <w:rPr>
                <w:rFonts w:ascii="Arial" w:eastAsia="仿宋_GB2312;仿宋" w:hAnsi="Arial" w:cs="Arial"/>
                <w:sz w:val="18"/>
                <w:szCs w:val="18"/>
              </w:rPr>
            </w:pPr>
          </w:p>
        </w:tc>
      </w:tr>
      <w:tr w:rsidR="00E70101" w14:paraId="2E7B3854" w14:textId="77777777">
        <w:trPr>
          <w:trHeight w:val="255"/>
        </w:trPr>
        <w:tc>
          <w:tcPr>
            <w:tcW w:w="709" w:type="dxa"/>
            <w:vMerge w:val="restart"/>
            <w:tcBorders>
              <w:top w:val="single" w:sz="6" w:space="0" w:color="000000"/>
              <w:left w:val="single" w:sz="8" w:space="0" w:color="000000"/>
              <w:bottom w:val="single" w:sz="6" w:space="0" w:color="000000"/>
            </w:tcBorders>
            <w:shd w:val="clear" w:color="auto" w:fill="auto"/>
            <w:vAlign w:val="center"/>
          </w:tcPr>
          <w:p w14:paraId="770AC8E7"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北京对外经贸控股有限责任公司</w:t>
            </w:r>
          </w:p>
        </w:tc>
        <w:tc>
          <w:tcPr>
            <w:tcW w:w="567" w:type="dxa"/>
            <w:vMerge w:val="restart"/>
            <w:tcBorders>
              <w:top w:val="single" w:sz="6" w:space="0" w:color="000000"/>
              <w:left w:val="single" w:sz="6" w:space="0" w:color="000000"/>
              <w:bottom w:val="single" w:sz="6" w:space="0" w:color="000000"/>
            </w:tcBorders>
            <w:shd w:val="clear" w:color="auto" w:fill="auto"/>
            <w:vAlign w:val="center"/>
          </w:tcPr>
          <w:p w14:paraId="73CA490A" w14:textId="77777777" w:rsidR="00E70101" w:rsidRDefault="0060680B">
            <w:pPr>
              <w:widowControl/>
              <w:spacing w:line="240" w:lineRule="auto"/>
              <w:rPr>
                <w:rFonts w:ascii="Arial" w:eastAsia="仿宋_GB2312;仿宋" w:hAnsi="Arial" w:cs="Arial"/>
                <w:sz w:val="18"/>
                <w:szCs w:val="18"/>
              </w:rPr>
            </w:pPr>
            <w:r>
              <w:rPr>
                <w:rFonts w:ascii="Arial" w:eastAsia="仿宋_GB2312;仿宋" w:hAnsi="Arial" w:cs="Arial"/>
                <w:sz w:val="18"/>
                <w:szCs w:val="18"/>
              </w:rPr>
              <w:t>-</w:t>
            </w:r>
          </w:p>
        </w:tc>
        <w:tc>
          <w:tcPr>
            <w:tcW w:w="709" w:type="dxa"/>
            <w:vMerge w:val="restart"/>
            <w:tcBorders>
              <w:top w:val="single" w:sz="6" w:space="0" w:color="000000"/>
              <w:left w:val="single" w:sz="6" w:space="0" w:color="000000"/>
              <w:bottom w:val="single" w:sz="6" w:space="0" w:color="000000"/>
            </w:tcBorders>
            <w:shd w:val="clear" w:color="auto" w:fill="auto"/>
            <w:vAlign w:val="center"/>
          </w:tcPr>
          <w:p w14:paraId="3261000A"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北京市昌平区北七家镇八仙庄村仓储用地</w:t>
            </w:r>
          </w:p>
        </w:tc>
        <w:tc>
          <w:tcPr>
            <w:tcW w:w="567" w:type="dxa"/>
            <w:vMerge w:val="restart"/>
            <w:tcBorders>
              <w:top w:val="single" w:sz="6" w:space="0" w:color="000000"/>
              <w:left w:val="single" w:sz="6" w:space="0" w:color="000000"/>
              <w:bottom w:val="single" w:sz="6" w:space="0" w:color="000000"/>
            </w:tcBorders>
            <w:shd w:val="clear" w:color="auto" w:fill="auto"/>
            <w:vAlign w:val="center"/>
          </w:tcPr>
          <w:p w14:paraId="4E4B5FC4"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vMerge w:val="restart"/>
            <w:tcBorders>
              <w:top w:val="single" w:sz="6" w:space="0" w:color="000000"/>
              <w:left w:val="single" w:sz="6" w:space="0" w:color="000000"/>
              <w:bottom w:val="single" w:sz="6" w:space="0" w:color="000000"/>
            </w:tcBorders>
            <w:shd w:val="clear" w:color="auto" w:fill="auto"/>
            <w:vAlign w:val="center"/>
          </w:tcPr>
          <w:p w14:paraId="3CA5BDC4"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仓储</w:t>
            </w:r>
          </w:p>
        </w:tc>
        <w:tc>
          <w:tcPr>
            <w:tcW w:w="425" w:type="dxa"/>
            <w:vMerge w:val="restart"/>
            <w:tcBorders>
              <w:top w:val="single" w:sz="6" w:space="0" w:color="000000"/>
              <w:left w:val="single" w:sz="6" w:space="0" w:color="000000"/>
              <w:bottom w:val="single" w:sz="6" w:space="0" w:color="000000"/>
            </w:tcBorders>
            <w:shd w:val="clear" w:color="auto" w:fill="auto"/>
            <w:vAlign w:val="center"/>
          </w:tcPr>
          <w:p w14:paraId="3D6DE0B2"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仓储</w:t>
            </w:r>
          </w:p>
        </w:tc>
        <w:tc>
          <w:tcPr>
            <w:tcW w:w="426" w:type="dxa"/>
            <w:vMerge w:val="restart"/>
            <w:tcBorders>
              <w:top w:val="single" w:sz="6" w:space="0" w:color="000000"/>
              <w:left w:val="single" w:sz="6" w:space="0" w:color="000000"/>
              <w:bottom w:val="single" w:sz="6" w:space="0" w:color="000000"/>
            </w:tcBorders>
            <w:shd w:val="clear" w:color="auto" w:fill="auto"/>
            <w:vAlign w:val="center"/>
          </w:tcPr>
          <w:p w14:paraId="3B51D3FF"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仓储</w:t>
            </w:r>
          </w:p>
        </w:tc>
        <w:tc>
          <w:tcPr>
            <w:tcW w:w="425" w:type="dxa"/>
            <w:vMerge w:val="restart"/>
            <w:tcBorders>
              <w:top w:val="single" w:sz="6" w:space="0" w:color="000000"/>
              <w:left w:val="single" w:sz="6" w:space="0" w:color="000000"/>
              <w:bottom w:val="single" w:sz="6" w:space="0" w:color="000000"/>
            </w:tcBorders>
            <w:shd w:val="clear" w:color="auto" w:fill="auto"/>
            <w:vAlign w:val="center"/>
          </w:tcPr>
          <w:p w14:paraId="4D3EB47A"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567" w:type="dxa"/>
            <w:tcBorders>
              <w:top w:val="single" w:sz="6" w:space="0" w:color="000000"/>
              <w:left w:val="single" w:sz="6" w:space="0" w:color="000000"/>
              <w:bottom w:val="single" w:sz="6" w:space="0" w:color="000000"/>
            </w:tcBorders>
            <w:shd w:val="clear" w:color="auto" w:fill="auto"/>
            <w:vAlign w:val="center"/>
          </w:tcPr>
          <w:p w14:paraId="799E9A29"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1</w:t>
            </w:r>
          </w:p>
        </w:tc>
        <w:tc>
          <w:tcPr>
            <w:tcW w:w="425" w:type="dxa"/>
            <w:tcBorders>
              <w:top w:val="single" w:sz="6" w:space="0" w:color="000000"/>
              <w:left w:val="single" w:sz="6" w:space="0" w:color="000000"/>
              <w:bottom w:val="single" w:sz="6" w:space="0" w:color="000000"/>
            </w:tcBorders>
            <w:shd w:val="clear" w:color="auto" w:fill="auto"/>
            <w:vAlign w:val="center"/>
          </w:tcPr>
          <w:p w14:paraId="548D2209"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1</w:t>
            </w:r>
          </w:p>
        </w:tc>
        <w:tc>
          <w:tcPr>
            <w:tcW w:w="1843" w:type="dxa"/>
            <w:tcBorders>
              <w:top w:val="single" w:sz="6" w:space="0" w:color="000000"/>
              <w:left w:val="single" w:sz="6" w:space="0" w:color="000000"/>
              <w:bottom w:val="single" w:sz="6" w:space="0" w:color="000000"/>
            </w:tcBorders>
            <w:shd w:val="clear" w:color="auto" w:fill="auto"/>
            <w:vAlign w:val="center"/>
          </w:tcPr>
          <w:p w14:paraId="455F98F2" w14:textId="77777777" w:rsidR="00E70101" w:rsidRDefault="0060680B">
            <w:pPr>
              <w:widowControl/>
              <w:spacing w:line="240" w:lineRule="auto"/>
              <w:jc w:val="center"/>
            </w:pPr>
            <w:r>
              <w:rPr>
                <w:rFonts w:ascii="Arial" w:eastAsia="仿宋_GB2312;仿宋" w:hAnsi="Arial" w:cs="Arial"/>
                <w:sz w:val="18"/>
                <w:szCs w:val="18"/>
              </w:rPr>
              <w:t>宗地红线外</w:t>
            </w:r>
            <w:r>
              <w:rPr>
                <w:rFonts w:ascii="Arial" w:eastAsia="仿宋_GB2312;仿宋" w:hAnsi="Arial" w:cs="Arial"/>
                <w:sz w:val="18"/>
                <w:szCs w:val="18"/>
              </w:rPr>
              <w:t>“</w:t>
            </w:r>
            <w:r>
              <w:rPr>
                <w:rFonts w:ascii="Arial" w:eastAsia="仿宋_GB2312;仿宋" w:hAnsi="Arial" w:cs="Arial"/>
                <w:sz w:val="18"/>
                <w:szCs w:val="18"/>
              </w:rPr>
              <w:t>七通</w:t>
            </w:r>
            <w:r>
              <w:rPr>
                <w:rFonts w:ascii="Arial" w:eastAsia="仿宋_GB2312;仿宋" w:hAnsi="Arial" w:cs="Arial"/>
                <w:sz w:val="18"/>
                <w:szCs w:val="18"/>
              </w:rPr>
              <w:t>”</w:t>
            </w:r>
            <w:r>
              <w:rPr>
                <w:rFonts w:ascii="Arial" w:eastAsia="仿宋_GB2312;仿宋" w:hAnsi="Arial" w:cs="Arial"/>
                <w:sz w:val="18"/>
                <w:szCs w:val="18"/>
              </w:rPr>
              <w:t>（通路、通电、通讯、通上水、通下水、通燃气、通热），宗地红线内</w:t>
            </w:r>
            <w:r>
              <w:rPr>
                <w:rFonts w:ascii="Arial" w:eastAsia="仿宋_GB2312;仿宋" w:hAnsi="Arial" w:cs="Arial"/>
                <w:sz w:val="18"/>
                <w:szCs w:val="18"/>
              </w:rPr>
              <w:t>“</w:t>
            </w:r>
            <w:r>
              <w:rPr>
                <w:rFonts w:ascii="Arial" w:eastAsia="仿宋_GB2312;仿宋" w:hAnsi="Arial" w:cs="Arial"/>
                <w:sz w:val="18"/>
                <w:szCs w:val="18"/>
              </w:rPr>
              <w:t>场地平整</w:t>
            </w: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7F7B6868" w14:textId="77777777" w:rsidR="00E70101" w:rsidRDefault="0060680B">
            <w:pPr>
              <w:widowControl/>
              <w:spacing w:line="240" w:lineRule="auto"/>
              <w:jc w:val="center"/>
            </w:pPr>
            <w:r>
              <w:rPr>
                <w:rFonts w:ascii="Arial" w:eastAsia="仿宋_GB2312;仿宋" w:hAnsi="Arial" w:cs="Arial"/>
                <w:sz w:val="18"/>
                <w:szCs w:val="18"/>
              </w:rPr>
              <w:t>宗地红线外</w:t>
            </w:r>
            <w:r>
              <w:rPr>
                <w:rFonts w:ascii="Arial" w:eastAsia="仿宋_GB2312;仿宋" w:hAnsi="Arial" w:cs="Arial"/>
                <w:sz w:val="18"/>
                <w:szCs w:val="18"/>
              </w:rPr>
              <w:t>“</w:t>
            </w:r>
            <w:r>
              <w:rPr>
                <w:rFonts w:ascii="Arial" w:eastAsia="仿宋_GB2312;仿宋" w:hAnsi="Arial" w:cs="Arial"/>
                <w:sz w:val="18"/>
                <w:szCs w:val="18"/>
              </w:rPr>
              <w:t>七通</w:t>
            </w:r>
            <w:r>
              <w:rPr>
                <w:rFonts w:ascii="Arial" w:eastAsia="仿宋_GB2312;仿宋" w:hAnsi="Arial" w:cs="Arial"/>
                <w:sz w:val="18"/>
                <w:szCs w:val="18"/>
              </w:rPr>
              <w:t>”</w:t>
            </w:r>
            <w:r>
              <w:rPr>
                <w:rFonts w:ascii="Arial" w:eastAsia="仿宋_GB2312;仿宋" w:hAnsi="Arial" w:cs="Arial"/>
                <w:sz w:val="18"/>
                <w:szCs w:val="18"/>
              </w:rPr>
              <w:t>（通路、通电、通讯、通上水、通下水、通燃气、通热），宗地红线内</w:t>
            </w:r>
            <w:r>
              <w:rPr>
                <w:rFonts w:ascii="Arial" w:eastAsia="仿宋_GB2312;仿宋" w:hAnsi="Arial" w:cs="Arial"/>
                <w:sz w:val="18"/>
                <w:szCs w:val="18"/>
              </w:rPr>
              <w:t>“</w:t>
            </w:r>
            <w:r>
              <w:rPr>
                <w:rFonts w:ascii="Arial" w:eastAsia="仿宋_GB2312;仿宋" w:hAnsi="Arial" w:cs="Arial"/>
                <w:sz w:val="18"/>
                <w:szCs w:val="18"/>
              </w:rPr>
              <w:t>场地平整</w:t>
            </w: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3C615E95"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370379.14</w:t>
            </w:r>
          </w:p>
        </w:tc>
        <w:tc>
          <w:tcPr>
            <w:tcW w:w="993" w:type="dxa"/>
            <w:tcBorders>
              <w:top w:val="single" w:sz="6" w:space="0" w:color="000000"/>
              <w:left w:val="single" w:sz="6" w:space="0" w:color="000000"/>
              <w:bottom w:val="single" w:sz="6" w:space="0" w:color="000000"/>
            </w:tcBorders>
            <w:shd w:val="clear" w:color="auto" w:fill="auto"/>
            <w:vAlign w:val="center"/>
          </w:tcPr>
          <w:p w14:paraId="7E765D41"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4230</w:t>
            </w:r>
          </w:p>
        </w:tc>
        <w:tc>
          <w:tcPr>
            <w:tcW w:w="1275" w:type="dxa"/>
            <w:tcBorders>
              <w:top w:val="single" w:sz="6" w:space="0" w:color="000000"/>
              <w:left w:val="single" w:sz="6" w:space="0" w:color="000000"/>
              <w:bottom w:val="single" w:sz="6" w:space="0" w:color="000000"/>
            </w:tcBorders>
            <w:shd w:val="clear" w:color="auto" w:fill="auto"/>
            <w:vAlign w:val="center"/>
          </w:tcPr>
          <w:p w14:paraId="1DE492BB"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156654</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64DDDD2F"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土地使用权价格</w:t>
            </w:r>
          </w:p>
        </w:tc>
      </w:tr>
      <w:tr w:rsidR="00E70101" w14:paraId="5A4F5528" w14:textId="77777777">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482CC9B4" w14:textId="77777777" w:rsidR="00E70101" w:rsidRDefault="00E70101">
            <w:pPr>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7942DA66" w14:textId="77777777" w:rsidR="00E70101" w:rsidRDefault="00E70101">
            <w:pPr>
              <w:widowControl/>
              <w:snapToGrid w:val="0"/>
              <w:spacing w:line="240" w:lineRule="auto"/>
              <w:jc w:val="center"/>
              <w:rPr>
                <w:rFonts w:ascii="Arial" w:eastAsia="仿宋_GB2312;仿宋" w:hAnsi="Arial" w:cs="Arial"/>
                <w:sz w:val="18"/>
                <w:szCs w:val="18"/>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14C17D5C"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5DF2E11A"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49B28281"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60456375" w14:textId="77777777" w:rsidR="00E70101" w:rsidRDefault="00E70101">
            <w:pPr>
              <w:widowControl/>
              <w:snapToGrid w:val="0"/>
              <w:spacing w:line="240" w:lineRule="auto"/>
              <w:jc w:val="center"/>
              <w:rPr>
                <w:rFonts w:ascii="Arial" w:eastAsia="仿宋_GB2312;仿宋" w:hAnsi="Arial" w:cs="Arial"/>
                <w:sz w:val="18"/>
                <w:szCs w:val="18"/>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61055C1D"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25ABB1DC"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shd w:val="clear" w:color="auto" w:fill="auto"/>
            <w:vAlign w:val="center"/>
          </w:tcPr>
          <w:p w14:paraId="46D2F8EC"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shd w:val="clear" w:color="auto" w:fill="auto"/>
            <w:vAlign w:val="center"/>
          </w:tcPr>
          <w:p w14:paraId="26A451D3"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08E3C833"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2583F703"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52A8078E"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shd w:val="clear" w:color="auto" w:fill="auto"/>
            <w:vAlign w:val="center"/>
          </w:tcPr>
          <w:p w14:paraId="1336A7C8"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32CF6B4A"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0</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5A53C23C"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建（构）筑物价格</w:t>
            </w:r>
          </w:p>
        </w:tc>
      </w:tr>
      <w:tr w:rsidR="00E70101" w14:paraId="707231BA" w14:textId="77777777">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3082C5CF" w14:textId="77777777" w:rsidR="00E70101" w:rsidRDefault="00E70101">
            <w:pPr>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23EB6DB8" w14:textId="77777777" w:rsidR="00E70101" w:rsidRDefault="00E70101">
            <w:pPr>
              <w:widowControl/>
              <w:snapToGrid w:val="0"/>
              <w:spacing w:line="240" w:lineRule="auto"/>
              <w:jc w:val="center"/>
              <w:rPr>
                <w:rFonts w:ascii="Arial" w:eastAsia="仿宋_GB2312;仿宋" w:hAnsi="Arial" w:cs="Arial"/>
                <w:sz w:val="18"/>
                <w:szCs w:val="18"/>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19DCE551"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4A56141D"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634E8582"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5664B86C" w14:textId="77777777" w:rsidR="00E70101" w:rsidRDefault="00E70101">
            <w:pPr>
              <w:widowControl/>
              <w:snapToGrid w:val="0"/>
              <w:spacing w:line="240" w:lineRule="auto"/>
              <w:jc w:val="center"/>
              <w:rPr>
                <w:rFonts w:ascii="Arial" w:eastAsia="仿宋_GB2312;仿宋" w:hAnsi="Arial" w:cs="Arial"/>
                <w:sz w:val="18"/>
                <w:szCs w:val="18"/>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7103EC29"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3E87D46F"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shd w:val="clear" w:color="auto" w:fill="auto"/>
            <w:vAlign w:val="center"/>
          </w:tcPr>
          <w:p w14:paraId="7BED83C2"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shd w:val="clear" w:color="auto" w:fill="auto"/>
            <w:vAlign w:val="center"/>
          </w:tcPr>
          <w:p w14:paraId="61E496B8"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19770AC1"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06E455E6"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00C00C7C"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shd w:val="clear" w:color="auto" w:fill="auto"/>
            <w:vAlign w:val="center"/>
          </w:tcPr>
          <w:p w14:paraId="62AB9FCD"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6D1E627F"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0</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41B5A470"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附属物价格</w:t>
            </w:r>
          </w:p>
        </w:tc>
      </w:tr>
      <w:tr w:rsidR="00E70101" w14:paraId="3E9A3674" w14:textId="77777777">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67EAB2FD" w14:textId="77777777" w:rsidR="00E70101" w:rsidRDefault="00E70101">
            <w:pPr>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31E18F05" w14:textId="77777777" w:rsidR="00E70101" w:rsidRDefault="00E70101">
            <w:pPr>
              <w:widowControl/>
              <w:snapToGrid w:val="0"/>
              <w:spacing w:line="240" w:lineRule="auto"/>
              <w:jc w:val="center"/>
              <w:rPr>
                <w:rFonts w:ascii="Arial" w:eastAsia="仿宋_GB2312;仿宋" w:hAnsi="Arial" w:cs="Arial"/>
                <w:sz w:val="18"/>
                <w:szCs w:val="18"/>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35387701"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523A2014"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1AED7A62"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237CB049" w14:textId="77777777" w:rsidR="00E70101" w:rsidRDefault="00E70101">
            <w:pPr>
              <w:widowControl/>
              <w:snapToGrid w:val="0"/>
              <w:spacing w:line="240" w:lineRule="auto"/>
              <w:jc w:val="center"/>
              <w:rPr>
                <w:rFonts w:ascii="Arial" w:eastAsia="仿宋_GB2312;仿宋" w:hAnsi="Arial" w:cs="Arial"/>
                <w:sz w:val="18"/>
                <w:szCs w:val="18"/>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01839A38"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30C00493"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shd w:val="clear" w:color="auto" w:fill="auto"/>
            <w:vAlign w:val="center"/>
          </w:tcPr>
          <w:p w14:paraId="517C5804"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shd w:val="clear" w:color="auto" w:fill="auto"/>
            <w:vAlign w:val="center"/>
          </w:tcPr>
          <w:p w14:paraId="2A4963EA"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5C8ACAB1"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538EDB77"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2A86450A"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shd w:val="clear" w:color="auto" w:fill="auto"/>
            <w:vAlign w:val="center"/>
          </w:tcPr>
          <w:p w14:paraId="7C135E2E"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0E110AD7"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0</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3ED9A4F6"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无法恢复使用的设施设备补偿价格</w:t>
            </w:r>
          </w:p>
        </w:tc>
      </w:tr>
      <w:tr w:rsidR="00E70101" w14:paraId="57760A5A" w14:textId="77777777">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3D27C5C0" w14:textId="77777777" w:rsidR="00E70101" w:rsidRDefault="00E70101">
            <w:pPr>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39DA26C6" w14:textId="77777777" w:rsidR="00E70101" w:rsidRDefault="00E70101">
            <w:pPr>
              <w:widowControl/>
              <w:snapToGrid w:val="0"/>
              <w:spacing w:line="240" w:lineRule="auto"/>
              <w:jc w:val="center"/>
              <w:rPr>
                <w:rFonts w:ascii="Arial" w:eastAsia="仿宋_GB2312;仿宋" w:hAnsi="Arial" w:cs="Arial"/>
                <w:sz w:val="18"/>
                <w:szCs w:val="18"/>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010E5379"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1DA4FEC2"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5DCE1BFD"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47149123" w14:textId="77777777" w:rsidR="00E70101" w:rsidRDefault="00E70101">
            <w:pPr>
              <w:widowControl/>
              <w:snapToGrid w:val="0"/>
              <w:spacing w:line="240" w:lineRule="auto"/>
              <w:jc w:val="center"/>
              <w:rPr>
                <w:rFonts w:ascii="Arial" w:eastAsia="仿宋_GB2312;仿宋" w:hAnsi="Arial" w:cs="Arial"/>
                <w:sz w:val="18"/>
                <w:szCs w:val="18"/>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7B10D429"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4FA8310A"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shd w:val="clear" w:color="auto" w:fill="auto"/>
            <w:vAlign w:val="center"/>
          </w:tcPr>
          <w:p w14:paraId="026E2820"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shd w:val="clear" w:color="auto" w:fill="auto"/>
            <w:vAlign w:val="center"/>
          </w:tcPr>
          <w:p w14:paraId="5705FEC8"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1C0C307A"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1AAC7F6E"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66A160E5"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shd w:val="clear" w:color="auto" w:fill="auto"/>
            <w:vAlign w:val="center"/>
          </w:tcPr>
          <w:p w14:paraId="580F2B66"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5900CBB5"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0</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0E93CEED"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停产停业损失补偿费用</w:t>
            </w:r>
          </w:p>
        </w:tc>
      </w:tr>
      <w:tr w:rsidR="00E70101" w14:paraId="11A24990" w14:textId="77777777">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6677F7A2" w14:textId="77777777" w:rsidR="00E70101" w:rsidRDefault="00E70101">
            <w:pPr>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2363F2FF" w14:textId="77777777" w:rsidR="00E70101" w:rsidRDefault="00E70101">
            <w:pPr>
              <w:widowControl/>
              <w:snapToGrid w:val="0"/>
              <w:spacing w:line="240" w:lineRule="auto"/>
              <w:jc w:val="center"/>
              <w:rPr>
                <w:rFonts w:ascii="Arial" w:eastAsia="仿宋_GB2312;仿宋" w:hAnsi="Arial" w:cs="Arial"/>
                <w:sz w:val="18"/>
                <w:szCs w:val="18"/>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4C6DDEC0"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2E075BD8"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6B5B3D1D"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264484F6" w14:textId="77777777" w:rsidR="00E70101" w:rsidRDefault="00E70101">
            <w:pPr>
              <w:widowControl/>
              <w:snapToGrid w:val="0"/>
              <w:spacing w:line="240" w:lineRule="auto"/>
              <w:jc w:val="center"/>
              <w:rPr>
                <w:rFonts w:ascii="Arial" w:eastAsia="仿宋_GB2312;仿宋" w:hAnsi="Arial" w:cs="Arial"/>
                <w:sz w:val="18"/>
                <w:szCs w:val="18"/>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2DAD9BEC"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78437C4E"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shd w:val="clear" w:color="auto" w:fill="auto"/>
            <w:vAlign w:val="center"/>
          </w:tcPr>
          <w:p w14:paraId="5004B8CB"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shd w:val="clear" w:color="auto" w:fill="auto"/>
            <w:vAlign w:val="center"/>
          </w:tcPr>
          <w:p w14:paraId="60321258"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7BF6A88F"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40AD7A0C"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5A300130"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shd w:val="clear" w:color="auto" w:fill="auto"/>
            <w:vAlign w:val="center"/>
          </w:tcPr>
          <w:p w14:paraId="7EAA7EAD"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6DCAB6CB"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0</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14D38502"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搬迁、临时安置补偿费用</w:t>
            </w:r>
          </w:p>
        </w:tc>
      </w:tr>
      <w:tr w:rsidR="00E70101" w14:paraId="27651CE0" w14:textId="77777777">
        <w:trPr>
          <w:trHeight w:val="369"/>
        </w:trPr>
        <w:tc>
          <w:tcPr>
            <w:tcW w:w="3828" w:type="dxa"/>
            <w:gridSpan w:val="7"/>
            <w:tcBorders>
              <w:top w:val="single" w:sz="4" w:space="0" w:color="000000"/>
              <w:left w:val="single" w:sz="8" w:space="0" w:color="000000"/>
              <w:bottom w:val="single" w:sz="8" w:space="0" w:color="000000"/>
            </w:tcBorders>
            <w:shd w:val="clear" w:color="auto" w:fill="auto"/>
            <w:vAlign w:val="center"/>
          </w:tcPr>
          <w:p w14:paraId="19ECD6C2"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合计</w:t>
            </w:r>
          </w:p>
        </w:tc>
        <w:tc>
          <w:tcPr>
            <w:tcW w:w="425" w:type="dxa"/>
            <w:tcBorders>
              <w:top w:val="single" w:sz="6" w:space="0" w:color="000000"/>
              <w:left w:val="single" w:sz="6" w:space="0" w:color="000000"/>
              <w:bottom w:val="single" w:sz="8" w:space="0" w:color="000000"/>
            </w:tcBorders>
            <w:shd w:val="clear" w:color="auto" w:fill="auto"/>
            <w:vAlign w:val="center"/>
          </w:tcPr>
          <w:p w14:paraId="2DF781DB"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8" w:space="0" w:color="000000"/>
            </w:tcBorders>
            <w:shd w:val="clear" w:color="auto" w:fill="auto"/>
            <w:vAlign w:val="center"/>
          </w:tcPr>
          <w:p w14:paraId="0B3D7CF0"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8" w:space="0" w:color="000000"/>
            </w:tcBorders>
            <w:shd w:val="clear" w:color="auto" w:fill="auto"/>
            <w:vAlign w:val="center"/>
          </w:tcPr>
          <w:p w14:paraId="50EEB683"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8" w:space="0" w:color="000000"/>
            </w:tcBorders>
            <w:shd w:val="clear" w:color="auto" w:fill="auto"/>
            <w:vAlign w:val="center"/>
          </w:tcPr>
          <w:p w14:paraId="70DCA9B0"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8" w:space="0" w:color="000000"/>
            </w:tcBorders>
            <w:shd w:val="clear" w:color="auto" w:fill="auto"/>
            <w:vAlign w:val="center"/>
          </w:tcPr>
          <w:p w14:paraId="5C66A691"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8" w:space="0" w:color="000000"/>
            </w:tcBorders>
            <w:shd w:val="clear" w:color="auto" w:fill="auto"/>
            <w:vAlign w:val="center"/>
          </w:tcPr>
          <w:p w14:paraId="6910FC96"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8" w:space="0" w:color="000000"/>
            </w:tcBorders>
            <w:shd w:val="clear" w:color="auto" w:fill="auto"/>
            <w:vAlign w:val="center"/>
          </w:tcPr>
          <w:p w14:paraId="4BB7069F" w14:textId="77777777" w:rsidR="00E70101" w:rsidRDefault="0060680B">
            <w:pPr>
              <w:spacing w:line="240" w:lineRule="auto"/>
              <w:jc w:val="center"/>
              <w:rPr>
                <w:rFonts w:ascii="Arial"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8" w:space="0" w:color="000000"/>
            </w:tcBorders>
            <w:shd w:val="clear" w:color="auto" w:fill="auto"/>
            <w:vAlign w:val="center"/>
          </w:tcPr>
          <w:p w14:paraId="4785CC77"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156654</w:t>
            </w:r>
          </w:p>
        </w:tc>
        <w:tc>
          <w:tcPr>
            <w:tcW w:w="2005" w:type="dxa"/>
            <w:tcBorders>
              <w:top w:val="single" w:sz="6" w:space="0" w:color="000000"/>
              <w:left w:val="single" w:sz="6" w:space="0" w:color="000000"/>
              <w:bottom w:val="single" w:sz="8" w:space="0" w:color="000000"/>
              <w:right w:val="single" w:sz="8" w:space="0" w:color="000000"/>
            </w:tcBorders>
            <w:shd w:val="clear" w:color="auto" w:fill="auto"/>
            <w:vAlign w:val="center"/>
          </w:tcPr>
          <w:p w14:paraId="7301CEBD"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r>
    </w:tbl>
    <w:p w14:paraId="6D118CB9" w14:textId="77777777" w:rsidR="00E70101" w:rsidRDefault="0060680B">
      <w:pPr>
        <w:spacing w:line="360" w:lineRule="auto"/>
        <w:rPr>
          <w:rFonts w:ascii="Arial" w:eastAsia="仿宋_GB2312;仿宋" w:hAnsi="Arial" w:cs="Arial"/>
          <w:sz w:val="18"/>
          <w:szCs w:val="18"/>
        </w:rPr>
        <w:sectPr w:rsidR="00E70101">
          <w:headerReference w:type="default" r:id="rId56"/>
          <w:footerReference w:type="default" r:id="rId57"/>
          <w:headerReference w:type="first" r:id="rId58"/>
          <w:footerReference w:type="first" r:id="rId59"/>
          <w:pgSz w:w="16838" w:h="11906" w:orient="landscape"/>
          <w:pgMar w:top="1508" w:right="1134" w:bottom="1134" w:left="1474" w:header="1134" w:footer="907" w:gutter="0"/>
          <w:cols w:space="720"/>
          <w:formProt w:val="0"/>
          <w:titlePg/>
          <w:docGrid w:linePitch="326"/>
        </w:sectPr>
      </w:pPr>
      <w:r>
        <w:rPr>
          <w:rFonts w:ascii="Arial" w:eastAsia="仿宋_GB2312;仿宋" w:hAnsi="Arial" w:cs="Arial"/>
          <w:sz w:val="18"/>
          <w:szCs w:val="18"/>
        </w:rPr>
        <w:t>币种：人民币</w:t>
      </w:r>
    </w:p>
    <w:p w14:paraId="55507CC2" w14:textId="77777777" w:rsidR="00E70101" w:rsidRDefault="0060680B">
      <w:pPr>
        <w:spacing w:line="360" w:lineRule="auto"/>
        <w:outlineLvl w:val="1"/>
      </w:pPr>
      <w:bookmarkStart w:id="35" w:name="__RefHeading___Toc530042250"/>
      <w:bookmarkEnd w:id="35"/>
      <w:r>
        <w:rPr>
          <w:rFonts w:ascii="Arial" w:eastAsia="仿宋_GB2312;仿宋" w:hAnsi="Arial" w:cs="Arial"/>
          <w:b/>
          <w:sz w:val="28"/>
        </w:rPr>
        <w:t>十、需要特殊说明的事项</w:t>
      </w:r>
    </w:p>
    <w:p w14:paraId="0BCEF985" w14:textId="77777777" w:rsidR="00E70101" w:rsidRDefault="0060680B">
      <w:pPr>
        <w:snapToGrid w:val="0"/>
        <w:spacing w:line="360" w:lineRule="auto"/>
        <w:jc w:val="both"/>
        <w:textAlignment w:val="bottom"/>
      </w:pPr>
      <w:r>
        <w:rPr>
          <w:rFonts w:ascii="Arial" w:eastAsia="仿宋_GB2312;仿宋" w:hAnsi="Arial" w:cs="Arial"/>
          <w:sz w:val="28"/>
        </w:rPr>
        <w:t>（一）咨询的前提条件和假设条件</w:t>
      </w:r>
    </w:p>
    <w:p w14:paraId="62008B85" w14:textId="77777777" w:rsidR="00693E9D" w:rsidRDefault="0060680B" w:rsidP="00693E9D">
      <w:pPr>
        <w:snapToGrid w:val="0"/>
        <w:spacing w:line="360" w:lineRule="auto"/>
        <w:ind w:firstLine="555"/>
        <w:jc w:val="both"/>
        <w:textAlignment w:val="bottom"/>
      </w:pPr>
      <w:r>
        <w:rPr>
          <w:rFonts w:ascii="Arial" w:eastAsia="仿宋_GB2312;仿宋" w:hAnsi="Arial" w:cs="Arial"/>
          <w:sz w:val="28"/>
        </w:rPr>
        <w:t>1.</w:t>
      </w:r>
      <w:r>
        <w:rPr>
          <w:rFonts w:ascii="Arial" w:eastAsia="仿宋_GB2312;仿宋" w:hAnsi="Arial" w:cs="Arial"/>
          <w:sz w:val="28"/>
        </w:rPr>
        <w:t>委托方提供的资料属实，没有保留及隐瞒。</w:t>
      </w:r>
    </w:p>
    <w:p w14:paraId="267EEFB9" w14:textId="49F5650D" w:rsidR="00E70101" w:rsidRDefault="0060680B" w:rsidP="00693E9D">
      <w:pPr>
        <w:snapToGrid w:val="0"/>
        <w:spacing w:line="360" w:lineRule="auto"/>
        <w:ind w:firstLine="555"/>
        <w:jc w:val="both"/>
        <w:textAlignment w:val="bottom"/>
      </w:pPr>
      <w:r>
        <w:rPr>
          <w:rFonts w:ascii="Arial" w:eastAsia="仿宋_GB2312;仿宋" w:hAnsi="Arial" w:cs="Arial"/>
          <w:sz w:val="28"/>
        </w:rPr>
        <w:t>2.</w:t>
      </w:r>
      <w:r>
        <w:rPr>
          <w:rFonts w:ascii="Arial" w:eastAsia="仿宋_GB2312;仿宋" w:hAnsi="Arial" w:cs="Arial"/>
          <w:sz w:val="28"/>
        </w:rPr>
        <w:t>任何有关咨询对象的运作方式、程序符合国家、地方的有关法律、法规。</w:t>
      </w:r>
    </w:p>
    <w:p w14:paraId="28C58293" w14:textId="77777777" w:rsidR="00E70101" w:rsidRDefault="0060680B">
      <w:pPr>
        <w:spacing w:line="360" w:lineRule="auto"/>
        <w:ind w:right="17"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委托方合法取得咨询对象划拨国有建设用地使用权。</w:t>
      </w:r>
    </w:p>
    <w:p w14:paraId="3C2EFA80"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根据委托方介绍，本次评估咨询对象用途为仓储用地，故本次评估设定用途为仓储用地。</w:t>
      </w:r>
    </w:p>
    <w:p w14:paraId="714CC3B5" w14:textId="77777777" w:rsidR="00E70101" w:rsidRDefault="0060680B">
      <w:pPr>
        <w:spacing w:line="360" w:lineRule="auto"/>
        <w:ind w:firstLine="560"/>
        <w:jc w:val="both"/>
      </w:pPr>
      <w:r>
        <w:rPr>
          <w:rFonts w:ascii="Arial" w:eastAsia="仿宋_GB2312;仿宋" w:hAnsi="Arial" w:cs="Arial"/>
          <w:sz w:val="28"/>
        </w:rPr>
        <w:t>5.</w:t>
      </w:r>
      <w:r>
        <w:rPr>
          <w:rFonts w:ascii="Arial" w:eastAsia="仿宋_GB2312;仿宋" w:hAnsi="Arial" w:cs="Arial"/>
          <w:sz w:val="28"/>
        </w:rPr>
        <w:t>根据委托方介绍及评估专业人员调查，本次评估咨询对象实际土地开发程度为宗地红线外</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（通路、通电、通讯、通上水、通下水、通燃气、通热）、宗地红线内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。根据本次咨询目的，本次估算设定土地开发程度即为实际开发程度红线外市政基础设施达</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（通路、通电、通讯、通上水、通下水、通燃气、通热）、宗地红线内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w:t>
      </w:r>
    </w:p>
    <w:p w14:paraId="28FCF456" w14:textId="77777777" w:rsidR="00E70101" w:rsidRDefault="0060680B">
      <w:pPr>
        <w:spacing w:line="360" w:lineRule="auto"/>
        <w:ind w:firstLine="560"/>
        <w:jc w:val="both"/>
      </w:pPr>
      <w:r>
        <w:rPr>
          <w:rFonts w:ascii="Arial" w:eastAsia="仿宋_GB2312;仿宋" w:hAnsi="Arial" w:cs="Arial"/>
          <w:sz w:val="28"/>
        </w:rPr>
        <w:t>6.</w:t>
      </w:r>
      <w:r>
        <w:rPr>
          <w:rFonts w:ascii="Arial" w:eastAsia="仿宋_GB2312;仿宋" w:hAnsi="Arial" w:cs="Arial"/>
          <w:sz w:val="28"/>
        </w:rPr>
        <w:t>根据委托方介绍，截至咨询期日，咨询对象未设定抵押、租赁等他项权利。</w:t>
      </w:r>
    </w:p>
    <w:p w14:paraId="0B364B35" w14:textId="77777777" w:rsidR="00E70101" w:rsidRDefault="0060680B">
      <w:pPr>
        <w:snapToGrid w:val="0"/>
        <w:spacing w:line="360" w:lineRule="auto"/>
        <w:jc w:val="both"/>
        <w:textAlignment w:val="bottom"/>
      </w:pPr>
      <w:r>
        <w:rPr>
          <w:rFonts w:ascii="Arial" w:eastAsia="仿宋_GB2312;仿宋" w:hAnsi="Arial" w:cs="Arial"/>
          <w:sz w:val="28"/>
        </w:rPr>
        <w:t>（二）咨询结果和咨询报告的使用</w:t>
      </w:r>
    </w:p>
    <w:p w14:paraId="3CEFDA10" w14:textId="77777777" w:rsidR="00E70101" w:rsidRDefault="0060680B">
      <w:pPr>
        <w:snapToGrid w:val="0"/>
        <w:spacing w:line="360" w:lineRule="auto"/>
        <w:ind w:firstLine="585"/>
        <w:jc w:val="both"/>
        <w:textAlignment w:val="auto"/>
      </w:pPr>
      <w:r>
        <w:rPr>
          <w:rFonts w:ascii="Arial" w:eastAsia="仿宋_GB2312;仿宋" w:hAnsi="Arial" w:cs="Arial"/>
          <w:sz w:val="28"/>
        </w:rPr>
        <w:t>1.</w:t>
      </w:r>
      <w:r>
        <w:rPr>
          <w:rFonts w:ascii="Arial" w:eastAsia="仿宋_GB2312;仿宋" w:hAnsi="Arial" w:cs="Arial"/>
          <w:sz w:val="28"/>
        </w:rPr>
        <w:t>本咨询报告的依据为国务院、国土资源部、住建部、北京市人民政府及有关部门颁布的有关法律、法规、政策文件、委托方提供的资料、受托咨询方掌握的有关资料以及评估专业人员实地勘察所获取的资料。</w:t>
      </w:r>
    </w:p>
    <w:p w14:paraId="588D7F4A" w14:textId="77777777" w:rsidR="00E70101" w:rsidRDefault="0060680B">
      <w:pPr>
        <w:snapToGrid w:val="0"/>
        <w:spacing w:line="360" w:lineRule="auto"/>
        <w:ind w:firstLine="585"/>
        <w:jc w:val="both"/>
        <w:textAlignment w:val="auto"/>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委托方</w:t>
      </w:r>
      <w:r>
        <w:rPr>
          <w:rFonts w:ascii="Arial" w:eastAsia="仿宋_GB2312;仿宋" w:hAnsi="Arial" w:cs="Arial"/>
          <w:kern w:val="2"/>
          <w:sz w:val="28"/>
        </w:rPr>
        <w:t>应对其提供的权属证明以及其他资料的真实性、完整性和合法性负责。如因资料失实或资料提供人有所隐匿而导致咨询结果失真，受托单位不承担相应的责任。</w:t>
      </w:r>
    </w:p>
    <w:p w14:paraId="47590DCD" w14:textId="77777777" w:rsidR="00E70101" w:rsidRDefault="0060680B">
      <w:pPr>
        <w:snapToGrid w:val="0"/>
        <w:spacing w:line="360" w:lineRule="auto"/>
        <w:ind w:firstLine="585"/>
        <w:jc w:val="both"/>
        <w:textAlignment w:val="auto"/>
      </w:pPr>
      <w:r>
        <w:rPr>
          <w:rFonts w:ascii="Arial" w:eastAsia="仿宋_GB2312;仿宋" w:hAnsi="Arial" w:cs="Arial"/>
          <w:sz w:val="28"/>
        </w:rPr>
        <w:t>3.</w:t>
      </w:r>
      <w:r>
        <w:rPr>
          <w:rFonts w:ascii="Arial" w:eastAsia="仿宋_GB2312;仿宋" w:hAnsi="Arial" w:cs="Arial"/>
          <w:sz w:val="28"/>
        </w:rPr>
        <w:t>本报告咨询结果为咨询期日下的土地收购补偿价格，随着时间的推移，该价格需要做相应的调整直至重新评估。</w:t>
      </w:r>
    </w:p>
    <w:p w14:paraId="3E735C19" w14:textId="77777777" w:rsidR="00E70101" w:rsidRDefault="0060680B">
      <w:pPr>
        <w:snapToGrid w:val="0"/>
        <w:spacing w:line="360" w:lineRule="auto"/>
        <w:ind w:firstLine="585"/>
        <w:jc w:val="both"/>
        <w:textAlignment w:val="auto"/>
      </w:pPr>
      <w:r>
        <w:rPr>
          <w:rFonts w:ascii="Arial" w:eastAsia="仿宋_GB2312;仿宋" w:hAnsi="Arial" w:cs="Arial"/>
          <w:sz w:val="28"/>
        </w:rPr>
        <w:t>4.</w:t>
      </w:r>
      <w:r>
        <w:rPr>
          <w:rFonts w:ascii="Arial" w:eastAsia="仿宋_GB2312;仿宋" w:hAnsi="Arial" w:cs="Arial"/>
          <w:sz w:val="28"/>
        </w:rPr>
        <w:t>本次评估咨询报告分为</w:t>
      </w:r>
      <w:r>
        <w:rPr>
          <w:rFonts w:ascii="Arial" w:eastAsia="仿宋_GB2312;仿宋" w:hAnsi="Arial" w:cs="Arial"/>
          <w:sz w:val="28"/>
        </w:rPr>
        <w:t>“</w:t>
      </w:r>
      <w:r>
        <w:rPr>
          <w:rFonts w:ascii="Arial" w:eastAsia="仿宋_GB2312;仿宋" w:hAnsi="Arial" w:cs="Arial"/>
          <w:sz w:val="28"/>
        </w:rPr>
        <w:t>土地咨询报告</w:t>
      </w:r>
      <w:r>
        <w:rPr>
          <w:rFonts w:ascii="Arial" w:eastAsia="仿宋_GB2312;仿宋" w:hAnsi="Arial" w:cs="Arial"/>
          <w:sz w:val="28"/>
        </w:rPr>
        <w:t>”</w:t>
      </w:r>
      <w:r>
        <w:rPr>
          <w:rFonts w:ascii="Arial" w:eastAsia="仿宋_GB2312;仿宋" w:hAnsi="Arial" w:cs="Arial"/>
          <w:sz w:val="28"/>
        </w:rPr>
        <w:t>和</w:t>
      </w:r>
      <w:r>
        <w:rPr>
          <w:rFonts w:ascii="Arial" w:eastAsia="仿宋_GB2312;仿宋" w:hAnsi="Arial" w:cs="Arial"/>
          <w:sz w:val="28"/>
        </w:rPr>
        <w:t>“</w:t>
      </w:r>
      <w:r>
        <w:rPr>
          <w:rFonts w:ascii="Arial" w:eastAsia="仿宋_GB2312;仿宋" w:hAnsi="Arial" w:cs="Arial"/>
          <w:sz w:val="28"/>
        </w:rPr>
        <w:t>土地咨询技术报告</w:t>
      </w:r>
      <w:r>
        <w:rPr>
          <w:rFonts w:ascii="Arial" w:eastAsia="仿宋_GB2312;仿宋" w:hAnsi="Arial" w:cs="Arial"/>
          <w:sz w:val="28"/>
        </w:rPr>
        <w:t>”</w:t>
      </w:r>
      <w:r>
        <w:rPr>
          <w:rFonts w:ascii="Arial" w:eastAsia="仿宋_GB2312;仿宋" w:hAnsi="Arial" w:cs="Arial"/>
          <w:sz w:val="28"/>
        </w:rPr>
        <w:t>两部分，</w:t>
      </w:r>
      <w:r>
        <w:rPr>
          <w:rFonts w:ascii="Arial" w:eastAsia="仿宋_GB2312;仿宋" w:hAnsi="Arial" w:cs="Arial"/>
          <w:sz w:val="28"/>
        </w:rPr>
        <w:t>“</w:t>
      </w:r>
      <w:r>
        <w:rPr>
          <w:rFonts w:ascii="Arial" w:eastAsia="仿宋_GB2312;仿宋" w:hAnsi="Arial" w:cs="Arial"/>
          <w:sz w:val="28"/>
        </w:rPr>
        <w:t>土地咨询报告</w:t>
      </w:r>
      <w:r>
        <w:rPr>
          <w:rFonts w:ascii="Arial" w:eastAsia="仿宋_GB2312;仿宋" w:hAnsi="Arial" w:cs="Arial"/>
          <w:sz w:val="28"/>
        </w:rPr>
        <w:t>”</w:t>
      </w:r>
      <w:r>
        <w:rPr>
          <w:rFonts w:ascii="Arial" w:eastAsia="仿宋_GB2312;仿宋" w:hAnsi="Arial" w:cs="Arial"/>
          <w:sz w:val="28"/>
        </w:rPr>
        <w:t>供委托方使用，</w:t>
      </w:r>
      <w:r>
        <w:rPr>
          <w:rFonts w:ascii="Arial" w:eastAsia="仿宋_GB2312;仿宋" w:hAnsi="Arial" w:cs="Arial"/>
          <w:sz w:val="28"/>
        </w:rPr>
        <w:t>“</w:t>
      </w:r>
      <w:r>
        <w:rPr>
          <w:rFonts w:ascii="Arial" w:eastAsia="仿宋_GB2312;仿宋" w:hAnsi="Arial" w:cs="Arial"/>
          <w:sz w:val="28"/>
        </w:rPr>
        <w:t>土地咨询技术报告</w:t>
      </w:r>
      <w:r>
        <w:rPr>
          <w:rFonts w:ascii="Arial" w:eastAsia="仿宋_GB2312;仿宋" w:hAnsi="Arial" w:cs="Arial"/>
          <w:sz w:val="28"/>
        </w:rPr>
        <w:t>”</w:t>
      </w:r>
      <w:r>
        <w:rPr>
          <w:rFonts w:ascii="Arial" w:eastAsia="仿宋_GB2312;仿宋" w:hAnsi="Arial" w:cs="Arial"/>
          <w:sz w:val="28"/>
        </w:rPr>
        <w:t>仅供受托单位存档。</w:t>
      </w:r>
    </w:p>
    <w:p w14:paraId="6AA0F0C3" w14:textId="77777777" w:rsidR="00E70101" w:rsidRDefault="0060680B">
      <w:pPr>
        <w:snapToGrid w:val="0"/>
        <w:spacing w:line="360" w:lineRule="auto"/>
        <w:ind w:firstLine="570"/>
        <w:jc w:val="both"/>
      </w:pPr>
      <w:r>
        <w:rPr>
          <w:rFonts w:ascii="Arial" w:eastAsia="仿宋_GB2312;仿宋" w:hAnsi="Arial" w:cs="Arial"/>
          <w:sz w:val="28"/>
        </w:rPr>
        <w:t>5.</w:t>
      </w:r>
      <w:r>
        <w:rPr>
          <w:rFonts w:ascii="Arial" w:eastAsia="仿宋_GB2312;仿宋" w:hAnsi="Arial" w:cs="Arial"/>
          <w:sz w:val="28"/>
        </w:rPr>
        <w:t>本咨询报告只能由咨询报告载明的报告使用者使用，且只能用于本报告载明的唯一咨询目的和用途。</w:t>
      </w:r>
    </w:p>
    <w:p w14:paraId="3B416632" w14:textId="77777777" w:rsidR="00E70101" w:rsidRDefault="0060680B">
      <w:pPr>
        <w:snapToGrid w:val="0"/>
        <w:spacing w:line="360" w:lineRule="auto"/>
        <w:ind w:firstLine="570"/>
        <w:jc w:val="both"/>
      </w:pPr>
      <w:r>
        <w:rPr>
          <w:rFonts w:ascii="Arial" w:eastAsia="仿宋_GB2312;仿宋" w:hAnsi="Arial" w:cs="Arial"/>
          <w:sz w:val="28"/>
        </w:rPr>
        <w:t>6.</w:t>
      </w:r>
      <w:r>
        <w:rPr>
          <w:rFonts w:ascii="Arial" w:eastAsia="仿宋_GB2312;仿宋" w:hAnsi="Arial" w:cs="Arial"/>
          <w:sz w:val="28"/>
        </w:rPr>
        <w:t>委托方或者本咨询报告使用人应按照法律规定和咨询报告载明的使用范围使用本咨询报告。委托方或者咨询报告使用人违反前述规定使用本咨询报告的，受托单位和评估专业人员不承担责任。</w:t>
      </w:r>
    </w:p>
    <w:p w14:paraId="56FA6195" w14:textId="77777777" w:rsidR="00E70101" w:rsidRDefault="0060680B">
      <w:pPr>
        <w:snapToGrid w:val="0"/>
        <w:spacing w:line="360" w:lineRule="auto"/>
        <w:ind w:firstLine="570"/>
        <w:jc w:val="both"/>
      </w:pPr>
      <w:r>
        <w:rPr>
          <w:rFonts w:ascii="Arial" w:eastAsia="仿宋_GB2312;仿宋" w:hAnsi="Arial" w:cs="Arial"/>
          <w:sz w:val="28"/>
        </w:rPr>
        <w:t>7.</w:t>
      </w:r>
      <w:r>
        <w:rPr>
          <w:rFonts w:ascii="Arial" w:eastAsia="仿宋_GB2312;仿宋" w:hAnsi="Arial" w:cs="Arial"/>
          <w:sz w:val="28"/>
        </w:rPr>
        <w:t>除委托方、咨询委托合同中约定的其他咨询报告使用人和法律、行政法规规定的咨询报告使用人之外，其他任何机构和个人不能成为咨询报告的使用人。</w:t>
      </w:r>
    </w:p>
    <w:p w14:paraId="5E7E6DAA" w14:textId="77777777" w:rsidR="00E70101" w:rsidRDefault="0060680B">
      <w:pPr>
        <w:snapToGrid w:val="0"/>
        <w:spacing w:line="360" w:lineRule="auto"/>
        <w:ind w:firstLine="570"/>
        <w:jc w:val="both"/>
      </w:pPr>
      <w:r>
        <w:rPr>
          <w:rFonts w:ascii="Arial" w:eastAsia="仿宋_GB2312;仿宋" w:hAnsi="Arial" w:cs="Arial"/>
          <w:sz w:val="28"/>
        </w:rPr>
        <w:t>8.</w:t>
      </w:r>
      <w:r>
        <w:rPr>
          <w:rFonts w:ascii="Arial" w:eastAsia="仿宋_GB2312;仿宋" w:hAnsi="Arial" w:cs="Arial"/>
          <w:sz w:val="28"/>
        </w:rPr>
        <w:t>咨询报告使用人应当正确理解咨询结论。咨询结论不等同于咨询对象可实现价格，咨询结论不应当被认为是对咨询对象可实现价格的保证。</w:t>
      </w:r>
    </w:p>
    <w:p w14:paraId="3341F91C" w14:textId="77777777" w:rsidR="00E70101" w:rsidRDefault="0060680B">
      <w:pPr>
        <w:snapToGrid w:val="0"/>
        <w:spacing w:line="360" w:lineRule="auto"/>
        <w:ind w:firstLine="570"/>
        <w:jc w:val="both"/>
      </w:pPr>
      <w:r>
        <w:rPr>
          <w:rFonts w:ascii="Arial" w:eastAsia="仿宋_GB2312;仿宋" w:hAnsi="Arial" w:cs="Arial"/>
          <w:sz w:val="28"/>
        </w:rPr>
        <w:t>9.</w:t>
      </w:r>
      <w:r>
        <w:rPr>
          <w:rFonts w:ascii="Arial" w:eastAsia="仿宋_GB2312;仿宋" w:hAnsi="Arial" w:cs="Arial"/>
          <w:sz w:val="28"/>
        </w:rPr>
        <w:t>本报告所确定的土地价格仅为收购的国有建设用地使用权的补偿可能形成的价格，若违反特定用途使用本土地咨询报告和咨询结果，由此引出的一切法律责任由使用者自负。</w:t>
      </w:r>
    </w:p>
    <w:p w14:paraId="04FE85A9" w14:textId="77777777" w:rsidR="00E70101" w:rsidRDefault="0060680B">
      <w:pPr>
        <w:snapToGrid w:val="0"/>
        <w:spacing w:line="360" w:lineRule="auto"/>
        <w:ind w:firstLine="570"/>
        <w:jc w:val="both"/>
        <w:rPr>
          <w:rFonts w:ascii="Arial" w:eastAsia="仿宋_GB2312;仿宋" w:hAnsi="Arial" w:cs="Arial"/>
          <w:sz w:val="28"/>
        </w:rPr>
      </w:pPr>
      <w:r>
        <w:rPr>
          <w:rFonts w:ascii="Arial" w:eastAsia="仿宋_GB2312;仿宋" w:hAnsi="Arial" w:cs="Arial"/>
          <w:sz w:val="28"/>
        </w:rPr>
        <w:t>10.</w:t>
      </w:r>
      <w:r>
        <w:rPr>
          <w:rFonts w:ascii="Arial" w:eastAsia="仿宋_GB2312;仿宋" w:hAnsi="Arial" w:cs="Arial"/>
          <w:sz w:val="28"/>
        </w:rPr>
        <w:t>报告有效期限为报告出具之日起壹年内有效。有效期自</w:t>
      </w:r>
      <w:r>
        <w:rPr>
          <w:rFonts w:ascii="Arial" w:eastAsia="仿宋_GB2312;仿宋" w:hAnsi="Arial" w:cs="Arial"/>
          <w:sz w:val="28"/>
        </w:rPr>
        <w:t>2024</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日起至</w:t>
      </w: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日止</w:t>
      </w:r>
      <w:r>
        <w:rPr>
          <w:rFonts w:ascii="Arial" w:eastAsia="仿宋_GB2312;仿宋" w:hAnsi="Arial" w:cs="Arial"/>
          <w:kern w:val="2"/>
          <w:sz w:val="28"/>
        </w:rPr>
        <w:t>。</w:t>
      </w:r>
    </w:p>
    <w:p w14:paraId="335A59BF" w14:textId="67082109" w:rsidR="00E70101" w:rsidRDefault="0060680B">
      <w:pPr>
        <w:snapToGrid w:val="0"/>
        <w:spacing w:line="360" w:lineRule="auto"/>
        <w:ind w:firstLine="570"/>
        <w:jc w:val="both"/>
      </w:pPr>
      <w:r>
        <w:rPr>
          <w:rFonts w:ascii="Arial" w:eastAsia="楷体_GB2312;楷体" w:hAnsi="Arial" w:cs="Arial"/>
          <w:kern w:val="2"/>
          <w:sz w:val="28"/>
        </w:rPr>
        <w:t>11</w:t>
      </w:r>
      <w:r>
        <w:rPr>
          <w:rFonts w:ascii="Arial" w:eastAsia="仿宋_GB2312;仿宋" w:hAnsi="Arial" w:cs="Arial"/>
          <w:sz w:val="28"/>
        </w:rPr>
        <w:t>.</w:t>
      </w:r>
      <w:r>
        <w:rPr>
          <w:rFonts w:ascii="Arial" w:eastAsia="仿宋_GB2312;仿宋" w:hAnsi="Arial" w:cs="Arial"/>
          <w:sz w:val="28"/>
        </w:rPr>
        <w:t>本次土地咨询报告的使用权归</w:t>
      </w:r>
      <w:r w:rsidR="004E1915" w:rsidRPr="004E1915">
        <w:rPr>
          <w:rFonts w:ascii="Arial" w:eastAsia="仿宋_GB2312;仿宋" w:hAnsi="Arial" w:cs="Arial" w:hint="eastAsia"/>
          <w:sz w:val="28"/>
        </w:rPr>
        <w:t>北京保障房中心有限公司</w:t>
      </w:r>
      <w:r>
        <w:rPr>
          <w:rFonts w:ascii="Arial" w:eastAsia="仿宋_GB2312;仿宋" w:hAnsi="Arial" w:cs="Arial"/>
          <w:sz w:val="28"/>
        </w:rPr>
        <w:t>，土地咨询报告由北京康正宏基房地产评估有限公司负责解释。</w:t>
      </w:r>
    </w:p>
    <w:p w14:paraId="2C31B474" w14:textId="77777777" w:rsidR="00E70101" w:rsidRDefault="0060680B">
      <w:pPr>
        <w:snapToGrid w:val="0"/>
        <w:spacing w:line="360" w:lineRule="auto"/>
        <w:jc w:val="both"/>
        <w:textAlignment w:val="bottom"/>
        <w:rPr>
          <w:rFonts w:ascii="Arial" w:eastAsia="仿宋_GB2312;仿宋" w:hAnsi="Arial" w:cs="Arial"/>
          <w:sz w:val="28"/>
        </w:rPr>
      </w:pPr>
      <w:r>
        <w:rPr>
          <w:rFonts w:ascii="Arial" w:eastAsia="仿宋_GB2312;仿宋" w:hAnsi="Arial" w:cs="Arial"/>
          <w:sz w:val="28"/>
        </w:rPr>
        <w:t>（三）需要特殊说明的事项</w:t>
      </w:r>
    </w:p>
    <w:p w14:paraId="09E4853C" w14:textId="77777777" w:rsidR="00E70101" w:rsidRDefault="0060680B">
      <w:pPr>
        <w:snapToGrid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资料来源说明</w:t>
      </w:r>
    </w:p>
    <w:p w14:paraId="1ED80007" w14:textId="77777777" w:rsidR="00E70101" w:rsidRDefault="0060680B">
      <w:pPr>
        <w:snapToGrid w:val="0"/>
        <w:spacing w:line="360" w:lineRule="auto"/>
        <w:ind w:firstLine="560"/>
        <w:jc w:val="both"/>
        <w:textAlignment w:val="bottom"/>
      </w:pPr>
      <w:r>
        <w:rPr>
          <w:rFonts w:ascii="Arial" w:eastAsia="仿宋_GB2312;仿宋" w:hAnsi="Arial" w:cs="Arial"/>
          <w:sz w:val="28"/>
        </w:rPr>
        <w:t>（</w:t>
      </w:r>
      <w:r>
        <w:rPr>
          <w:rFonts w:ascii="Arial" w:eastAsia="仿宋_GB2312;仿宋" w:hAnsi="Arial" w:cs="Arial"/>
          <w:sz w:val="28"/>
        </w:rPr>
        <w:t>1</w:t>
      </w:r>
      <w:r>
        <w:rPr>
          <w:rFonts w:ascii="Arial" w:eastAsia="仿宋_GB2312;仿宋" w:hAnsi="Arial" w:cs="Arial"/>
          <w:sz w:val="28"/>
        </w:rPr>
        <w:t>）咨询对象的土地、房屋权属资料、土地利用状况、评估项目相关资料由委托方提供。</w:t>
      </w:r>
    </w:p>
    <w:p w14:paraId="5F85CCFB" w14:textId="77777777" w:rsidR="00E70101" w:rsidRDefault="0060680B">
      <w:pPr>
        <w:snapToGrid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2</w:t>
      </w:r>
      <w:r>
        <w:rPr>
          <w:rFonts w:ascii="Arial" w:eastAsia="仿宋_GB2312;仿宋" w:hAnsi="Arial" w:cs="Arial"/>
          <w:sz w:val="28"/>
        </w:rPr>
        <w:t>）土地区位条件、地产市场交易资料、土地利用现状照片等相关资料由评估专业人员实地调查取得。</w:t>
      </w:r>
    </w:p>
    <w:p w14:paraId="2B159B1E" w14:textId="77777777" w:rsidR="00E70101" w:rsidRDefault="0060680B">
      <w:pPr>
        <w:snapToGrid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3</w:t>
      </w:r>
      <w:r>
        <w:rPr>
          <w:rFonts w:ascii="Arial" w:eastAsia="仿宋_GB2312;仿宋" w:hAnsi="Arial" w:cs="Arial"/>
          <w:sz w:val="28"/>
        </w:rPr>
        <w:t>）区域经济发展状况、统计数据、城市规划资料、基准地价资料等由评估专业人员通过政府相关部门获取。</w:t>
      </w:r>
    </w:p>
    <w:p w14:paraId="76EC90E2" w14:textId="77777777" w:rsidR="00E70101" w:rsidRDefault="0060680B">
      <w:pPr>
        <w:snapToGrid w:val="0"/>
        <w:spacing w:line="360" w:lineRule="auto"/>
        <w:ind w:firstLine="560"/>
        <w:jc w:val="both"/>
        <w:textAlignment w:val="bottom"/>
      </w:pPr>
      <w:r>
        <w:rPr>
          <w:rFonts w:ascii="Arial" w:eastAsia="仿宋_GB2312;仿宋" w:hAnsi="Arial" w:cs="Arial"/>
          <w:sz w:val="28"/>
        </w:rPr>
        <w:t>（</w:t>
      </w:r>
      <w:r>
        <w:rPr>
          <w:rFonts w:ascii="Arial" w:eastAsia="仿宋_GB2312;仿宋" w:hAnsi="Arial" w:cs="Arial"/>
          <w:sz w:val="28"/>
        </w:rPr>
        <w:t>4</w:t>
      </w:r>
      <w:r>
        <w:rPr>
          <w:rFonts w:ascii="Arial" w:eastAsia="仿宋_GB2312;仿宋" w:hAnsi="Arial" w:cs="Arial"/>
          <w:sz w:val="28"/>
        </w:rPr>
        <w:t>）咨询中的相关参数资料由评估专业人员通过政府部门相关文件规定、公开媒体等多种途径获取。</w:t>
      </w:r>
    </w:p>
    <w:p w14:paraId="6C7F16C6" w14:textId="77777777" w:rsidR="00E70101" w:rsidRDefault="0060680B">
      <w:pPr>
        <w:snapToGrid w:val="0"/>
        <w:spacing w:line="360" w:lineRule="auto"/>
        <w:ind w:firstLine="560"/>
        <w:jc w:val="both"/>
        <w:textAlignment w:val="bottom"/>
      </w:pPr>
      <w:r>
        <w:rPr>
          <w:rFonts w:ascii="Arial" w:eastAsia="仿宋_GB2312;仿宋" w:hAnsi="Arial" w:cs="Arial"/>
          <w:sz w:val="28"/>
        </w:rPr>
        <w:t>（</w:t>
      </w:r>
      <w:r>
        <w:rPr>
          <w:rFonts w:ascii="Arial" w:eastAsia="仿宋_GB2312;仿宋" w:hAnsi="Arial" w:cs="Arial"/>
          <w:sz w:val="28"/>
        </w:rPr>
        <w:t>5</w:t>
      </w:r>
      <w:r>
        <w:rPr>
          <w:rFonts w:ascii="Arial" w:eastAsia="仿宋_GB2312;仿宋" w:hAnsi="Arial" w:cs="Arial"/>
          <w:sz w:val="28"/>
        </w:rPr>
        <w:t>）评估专业人员结合执业经验，对上述相关评估资料的真实性、合法性、有效性、适用性进行了尽职核实、专业判断。委托方对所提供资料的真实性负责，受托单位对所收集资料的真实性、准确性负责。</w:t>
      </w:r>
    </w:p>
    <w:p w14:paraId="6299A0B0" w14:textId="77777777" w:rsidR="00E70101" w:rsidRDefault="0060680B">
      <w:pPr>
        <w:snapToGrid w:val="0"/>
        <w:spacing w:line="360" w:lineRule="auto"/>
        <w:ind w:firstLine="560"/>
        <w:jc w:val="both"/>
      </w:pPr>
      <w:r>
        <w:rPr>
          <w:rFonts w:ascii="Arial" w:eastAsia="仿宋_GB2312;仿宋" w:hAnsi="Arial" w:cs="Arial"/>
          <w:sz w:val="28"/>
          <w:szCs w:val="28"/>
        </w:rPr>
        <w:t>2.</w:t>
      </w:r>
      <w:r>
        <w:rPr>
          <w:rFonts w:ascii="Arial" w:eastAsia="仿宋_GB2312;仿宋" w:hAnsi="Arial" w:cs="Arial"/>
          <w:sz w:val="28"/>
          <w:szCs w:val="28"/>
        </w:rPr>
        <w:t>本报告咨询结果是在满足地价定义所设定条件下的土地使用权价格，若咨询对象的土地利用方式、咨询期日、土地使用年期、土地用途、土地面积、建筑面积等影响地价的因素发生变化，该咨询价格应作相应调整。</w:t>
      </w:r>
    </w:p>
    <w:p w14:paraId="3AB67C65" w14:textId="77777777" w:rsidR="00E70101" w:rsidRDefault="0060680B">
      <w:pPr>
        <w:snapToGrid w:val="0"/>
        <w:spacing w:line="360" w:lineRule="auto"/>
        <w:ind w:firstLine="560"/>
        <w:jc w:val="both"/>
      </w:pPr>
      <w:r>
        <w:rPr>
          <w:rFonts w:ascii="Arial" w:eastAsia="仿宋_GB2312;仿宋" w:hAnsi="Arial" w:cs="Arial"/>
          <w:sz w:val="28"/>
          <w:szCs w:val="28"/>
        </w:rPr>
        <w:t>3.</w:t>
      </w:r>
      <w:r>
        <w:rPr>
          <w:rFonts w:ascii="Arial" w:eastAsia="仿宋_GB2312;仿宋" w:hAnsi="Arial" w:cs="Arial"/>
          <w:sz w:val="28"/>
          <w:szCs w:val="28"/>
        </w:rPr>
        <w:t>本机构参与本次评估的评估专业人员与委托方无足以影响评估报告及咨询结果公正性的关系。</w:t>
      </w:r>
    </w:p>
    <w:p w14:paraId="05CEFD38" w14:textId="77777777" w:rsidR="00E70101" w:rsidRDefault="0060680B">
      <w:pPr>
        <w:snapToGrid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szCs w:val="28"/>
        </w:rPr>
        <w:t>经国务院批准，自</w:t>
      </w:r>
      <w:r>
        <w:rPr>
          <w:rFonts w:ascii="Arial" w:eastAsia="仿宋_GB2312;仿宋" w:hAnsi="Arial" w:cs="Arial"/>
          <w:sz w:val="28"/>
          <w:szCs w:val="28"/>
        </w:rPr>
        <w:t>2016</w:t>
      </w:r>
      <w:r>
        <w:rPr>
          <w:rFonts w:ascii="Arial" w:eastAsia="仿宋_GB2312;仿宋" w:hAnsi="Arial" w:cs="Arial"/>
          <w:sz w:val="28"/>
          <w:szCs w:val="28"/>
        </w:rPr>
        <w:t>年</w:t>
      </w:r>
      <w:r>
        <w:rPr>
          <w:rFonts w:ascii="Arial" w:eastAsia="仿宋_GB2312;仿宋" w:hAnsi="Arial" w:cs="Arial"/>
          <w:sz w:val="28"/>
          <w:szCs w:val="28"/>
        </w:rPr>
        <w:t>5</w:t>
      </w:r>
      <w:r>
        <w:rPr>
          <w:rFonts w:ascii="Arial" w:eastAsia="仿宋_GB2312;仿宋" w:hAnsi="Arial" w:cs="Arial"/>
          <w:sz w:val="28"/>
          <w:szCs w:val="28"/>
        </w:rPr>
        <w:t>月</w:t>
      </w:r>
      <w:r>
        <w:rPr>
          <w:rFonts w:ascii="Arial" w:eastAsia="仿宋_GB2312;仿宋" w:hAnsi="Arial" w:cs="Arial"/>
          <w:sz w:val="28"/>
          <w:szCs w:val="28"/>
        </w:rPr>
        <w:t>1</w:t>
      </w:r>
      <w:r>
        <w:rPr>
          <w:rFonts w:ascii="Arial" w:eastAsia="仿宋_GB2312;仿宋" w:hAnsi="Arial" w:cs="Arial"/>
          <w:sz w:val="28"/>
          <w:szCs w:val="28"/>
        </w:rPr>
        <w:t>日起，在全国范围内全面推开营业税改征增值税试点，建筑业、房地产业、金融业、生活服务业等全部营业税纳税人，纳入试点范围，由缴纳营业税改为缴纳增值税。根据咨询目的、报告使用用途及必要性原则要求，本报告采纳简易计税方法记取增值税进行测算。</w:t>
      </w:r>
    </w:p>
    <w:p w14:paraId="70D50E9B" w14:textId="77777777" w:rsidR="00E70101" w:rsidRDefault="0060680B">
      <w:pPr>
        <w:snapToGrid w:val="0"/>
        <w:spacing w:line="360" w:lineRule="auto"/>
        <w:ind w:firstLine="560"/>
        <w:jc w:val="both"/>
        <w:rPr>
          <w:rFonts w:ascii="Arial" w:eastAsia="仿宋_GB2312;仿宋" w:hAnsi="Arial" w:cs="Arial"/>
          <w:sz w:val="28"/>
          <w:szCs w:val="28"/>
        </w:rPr>
      </w:pPr>
      <w:r>
        <w:rPr>
          <w:rFonts w:ascii="Arial" w:eastAsia="仿宋_GB2312;仿宋" w:hAnsi="Arial" w:cs="Arial"/>
          <w:sz w:val="28"/>
        </w:rPr>
        <w:t>5.</w:t>
      </w:r>
      <w:r>
        <w:rPr>
          <w:rFonts w:ascii="Arial" w:eastAsia="仿宋_GB2312;仿宋" w:hAnsi="Arial" w:cs="Arial"/>
          <w:sz w:val="28"/>
        </w:rPr>
        <w:t>本咨询报告中数据全部采用电算化连续计算得出，由于在报告中计算的数据均按四舍五入保留两位小数或取整，故可能出现个别等式左右不完全相等的情况，但不影响计算结果及最终评估结论的准确性。</w:t>
      </w:r>
    </w:p>
    <w:p w14:paraId="389E322A" w14:textId="77777777" w:rsidR="00E70101" w:rsidRDefault="0060680B">
      <w:pPr>
        <w:spacing w:line="360" w:lineRule="auto"/>
        <w:ind w:right="17" w:firstLine="560"/>
        <w:jc w:val="both"/>
        <w:rPr>
          <w:rFonts w:ascii="Arial" w:eastAsia="仿宋_GB2312;仿宋" w:hAnsi="Arial" w:cs="Arial"/>
          <w:sz w:val="28"/>
        </w:rPr>
      </w:pPr>
      <w:r>
        <w:rPr>
          <w:rFonts w:ascii="Arial" w:eastAsia="仿宋_GB2312;仿宋" w:hAnsi="Arial" w:cs="Arial"/>
          <w:sz w:val="28"/>
          <w:szCs w:val="28"/>
        </w:rPr>
        <w:t>6.</w:t>
      </w:r>
      <w:r>
        <w:rPr>
          <w:rFonts w:ascii="Arial" w:eastAsia="仿宋_GB2312;仿宋" w:hAnsi="Arial" w:cs="Arial"/>
          <w:sz w:val="28"/>
          <w:szCs w:val="28"/>
        </w:rPr>
        <w:t>上述事项会对咨询结论及咨询报告的使用产生影响，在此提请报告使用者予以关注。</w:t>
      </w:r>
    </w:p>
    <w:p w14:paraId="27F757CA" w14:textId="77777777" w:rsidR="00E70101" w:rsidRDefault="00E70101">
      <w:pPr>
        <w:spacing w:line="360" w:lineRule="auto"/>
        <w:outlineLvl w:val="1"/>
        <w:rPr>
          <w:rFonts w:ascii="Arial" w:eastAsia="仿宋_GB2312;仿宋" w:hAnsi="Arial" w:cs="Arial"/>
          <w:b/>
          <w:sz w:val="28"/>
        </w:rPr>
      </w:pPr>
    </w:p>
    <w:p w14:paraId="56EFB4C0" w14:textId="77777777" w:rsidR="00E70101" w:rsidRDefault="00E70101">
      <w:pPr>
        <w:spacing w:line="360" w:lineRule="auto"/>
        <w:rPr>
          <w:rFonts w:ascii="Arial" w:eastAsia="仿宋_GB2312;仿宋" w:hAnsi="Arial" w:cs="Arial"/>
          <w:b/>
          <w:sz w:val="28"/>
        </w:rPr>
      </w:pPr>
    </w:p>
    <w:p w14:paraId="44F617D2" w14:textId="77777777" w:rsidR="00E70101" w:rsidRDefault="0060680B">
      <w:pPr>
        <w:spacing w:line="360" w:lineRule="auto"/>
        <w:outlineLvl w:val="1"/>
        <w:rPr>
          <w:rFonts w:ascii="Arial" w:eastAsia="仿宋_GB2312;仿宋" w:hAnsi="Arial" w:cs="Arial"/>
          <w:b/>
          <w:sz w:val="28"/>
        </w:rPr>
      </w:pPr>
      <w:bookmarkStart w:id="36" w:name="__RefHeading___Toc530042252"/>
      <w:r>
        <w:rPr>
          <w:rFonts w:ascii="Arial" w:eastAsia="仿宋_GB2312;仿宋" w:hAnsi="Arial" w:cs="Arial"/>
          <w:b/>
          <w:sz w:val="28"/>
        </w:rPr>
        <w:t>十一、</w:t>
      </w:r>
      <w:bookmarkEnd w:id="36"/>
      <w:r>
        <w:rPr>
          <w:rFonts w:ascii="Arial" w:eastAsia="仿宋_GB2312;仿宋" w:hAnsi="Arial" w:cs="Arial"/>
          <w:b/>
          <w:sz w:val="28"/>
        </w:rPr>
        <w:t>土地咨询机构</w:t>
      </w:r>
    </w:p>
    <w:p w14:paraId="2FFCA69C" w14:textId="77777777" w:rsidR="00E70101" w:rsidRDefault="00E70101">
      <w:pPr>
        <w:spacing w:line="360" w:lineRule="auto"/>
        <w:rPr>
          <w:rFonts w:ascii="Arial" w:eastAsia="仿宋_GB2312;仿宋" w:hAnsi="Arial" w:cs="Arial"/>
          <w:b/>
          <w:sz w:val="28"/>
        </w:rPr>
      </w:pPr>
    </w:p>
    <w:tbl>
      <w:tblPr>
        <w:tblW w:w="4445" w:type="dxa"/>
        <w:jc w:val="right"/>
        <w:tblCellMar>
          <w:top w:w="28" w:type="dxa"/>
          <w:left w:w="85" w:type="dxa"/>
          <w:bottom w:w="28" w:type="dxa"/>
          <w:right w:w="85" w:type="dxa"/>
        </w:tblCellMar>
        <w:tblLook w:val="0000" w:firstRow="0" w:lastRow="0" w:firstColumn="0" w:lastColumn="0" w:noHBand="0" w:noVBand="0"/>
      </w:tblPr>
      <w:tblGrid>
        <w:gridCol w:w="4445"/>
      </w:tblGrid>
      <w:tr w:rsidR="00E70101" w14:paraId="65BADC4B" w14:textId="77777777">
        <w:trPr>
          <w:jc w:val="right"/>
        </w:trPr>
        <w:tc>
          <w:tcPr>
            <w:tcW w:w="4445" w:type="dxa"/>
            <w:shd w:val="clear" w:color="auto" w:fill="auto"/>
          </w:tcPr>
          <w:p w14:paraId="0A9087EA" w14:textId="77777777" w:rsidR="00E70101" w:rsidRDefault="0060680B">
            <w:pPr>
              <w:spacing w:line="360" w:lineRule="auto"/>
            </w:pPr>
            <w:r>
              <w:rPr>
                <w:rFonts w:ascii="Arial" w:eastAsia="Arial" w:hAnsi="Arial" w:cs="Arial"/>
                <w:sz w:val="28"/>
              </w:rPr>
              <w:t xml:space="preserve">                              </w:t>
            </w:r>
            <w:r>
              <w:rPr>
                <w:rFonts w:ascii="Arial" w:eastAsia="仿宋_GB2312;仿宋" w:hAnsi="Arial" w:cs="Arial"/>
                <w:sz w:val="28"/>
                <w:szCs w:val="21"/>
              </w:rPr>
              <w:t>北京康正宏基房地产评估有限公司</w:t>
            </w:r>
          </w:p>
        </w:tc>
      </w:tr>
      <w:tr w:rsidR="00E70101" w14:paraId="033CBC8A" w14:textId="77777777">
        <w:trPr>
          <w:trHeight w:val="1431"/>
          <w:jc w:val="right"/>
        </w:trPr>
        <w:tc>
          <w:tcPr>
            <w:tcW w:w="4445" w:type="dxa"/>
            <w:shd w:val="clear" w:color="auto" w:fill="auto"/>
          </w:tcPr>
          <w:p w14:paraId="4CA2239B" w14:textId="77777777" w:rsidR="00E70101" w:rsidRDefault="0060680B">
            <w:pPr>
              <w:spacing w:line="480" w:lineRule="auto"/>
              <w:rPr>
                <w:rFonts w:ascii="Arial" w:eastAsia="仿宋_GB2312;仿宋" w:hAnsi="Arial" w:cs="Arial"/>
                <w:sz w:val="28"/>
                <w:szCs w:val="21"/>
              </w:rPr>
            </w:pPr>
            <w:r>
              <w:rPr>
                <w:rFonts w:ascii="Arial" w:eastAsia="仿宋_GB2312;仿宋" w:hAnsi="Arial" w:cs="Arial"/>
                <w:sz w:val="28"/>
                <w:szCs w:val="21"/>
              </w:rPr>
              <w:t>法定代表人：</w:t>
            </w:r>
          </w:p>
        </w:tc>
      </w:tr>
      <w:tr w:rsidR="00E70101" w14:paraId="12427309" w14:textId="77777777">
        <w:trPr>
          <w:cantSplit/>
          <w:jc w:val="right"/>
        </w:trPr>
        <w:tc>
          <w:tcPr>
            <w:tcW w:w="4445" w:type="dxa"/>
            <w:shd w:val="clear" w:color="auto" w:fill="auto"/>
          </w:tcPr>
          <w:p w14:paraId="4C19BBB2" w14:textId="77777777" w:rsidR="00E70101" w:rsidRDefault="0060680B">
            <w:pPr>
              <w:spacing w:line="240" w:lineRule="auto"/>
              <w:jc w:val="right"/>
              <w:rPr>
                <w:rFonts w:ascii="Arial" w:eastAsia="仿宋_GB2312;仿宋" w:hAnsi="Arial" w:cs="Arial"/>
                <w:sz w:val="28"/>
                <w:szCs w:val="21"/>
              </w:rPr>
            </w:pPr>
            <w:r>
              <w:rPr>
                <w:rFonts w:ascii="Arial" w:eastAsia="仿宋_GB2312;仿宋" w:hAnsi="Arial" w:cs="Arial"/>
                <w:sz w:val="28"/>
                <w:szCs w:val="21"/>
              </w:rPr>
              <w:t>二〇二四年四月二日</w:t>
            </w:r>
          </w:p>
        </w:tc>
      </w:tr>
    </w:tbl>
    <w:p w14:paraId="1A43E2CF" w14:textId="77777777" w:rsidR="00E70101" w:rsidRDefault="00E70101">
      <w:pPr>
        <w:spacing w:line="360" w:lineRule="auto"/>
        <w:rPr>
          <w:rFonts w:ascii="Arial" w:eastAsia="仿宋_GB2312;仿宋" w:hAnsi="Arial" w:cs="Arial"/>
          <w:sz w:val="28"/>
        </w:rPr>
      </w:pPr>
    </w:p>
    <w:p w14:paraId="3960DE11" w14:textId="77777777" w:rsidR="00E70101" w:rsidRDefault="0060680B">
      <w:pPr>
        <w:spacing w:line="360" w:lineRule="auto"/>
        <w:ind w:firstLine="4480"/>
        <w:jc w:val="right"/>
        <w:rPr>
          <w:rFonts w:ascii="Arial" w:eastAsia="仿宋_GB2312;仿宋" w:hAnsi="Arial" w:cs="Arial"/>
          <w:sz w:val="28"/>
        </w:rPr>
      </w:pPr>
      <w:r>
        <w:br w:type="page"/>
      </w:r>
    </w:p>
    <w:p w14:paraId="5433F4DC" w14:textId="77777777" w:rsidR="00E70101" w:rsidRDefault="0060680B">
      <w:pPr>
        <w:spacing w:line="360" w:lineRule="auto"/>
        <w:jc w:val="center"/>
        <w:outlineLvl w:val="0"/>
      </w:pPr>
      <w:bookmarkStart w:id="37" w:name="__RefHeading___Toc530042253"/>
      <w:bookmarkEnd w:id="37"/>
      <w:r>
        <w:rPr>
          <w:rFonts w:ascii="Arial" w:hAnsi="Arial" w:cs="Arial"/>
          <w:b/>
          <w:sz w:val="32"/>
        </w:rPr>
        <w:t>第二部分</w:t>
      </w:r>
      <w:r>
        <w:rPr>
          <w:rFonts w:ascii="Arial" w:eastAsia="Arial" w:hAnsi="Arial" w:cs="Arial"/>
          <w:b/>
          <w:sz w:val="32"/>
        </w:rPr>
        <w:t xml:space="preserve">  </w:t>
      </w:r>
      <w:r>
        <w:rPr>
          <w:rFonts w:ascii="Arial" w:hAnsi="Arial" w:cs="Arial"/>
          <w:b/>
          <w:sz w:val="32"/>
        </w:rPr>
        <w:t>咨询对象描述及土地价格影响因素分析</w:t>
      </w:r>
    </w:p>
    <w:p w14:paraId="68458F16" w14:textId="77777777" w:rsidR="00E70101" w:rsidRDefault="00E70101">
      <w:pPr>
        <w:spacing w:line="360" w:lineRule="auto"/>
        <w:rPr>
          <w:rFonts w:ascii="Arial" w:eastAsia="仿宋_GB2312;仿宋" w:hAnsi="Arial" w:cs="Arial"/>
          <w:b/>
          <w:sz w:val="28"/>
        </w:rPr>
      </w:pPr>
    </w:p>
    <w:p w14:paraId="4F8F1FCD" w14:textId="77777777" w:rsidR="00E70101" w:rsidRDefault="0060680B">
      <w:pPr>
        <w:spacing w:line="360" w:lineRule="auto"/>
        <w:outlineLvl w:val="1"/>
      </w:pPr>
      <w:bookmarkStart w:id="38" w:name="__RefHeading___Toc530042254"/>
      <w:bookmarkEnd w:id="38"/>
      <w:r>
        <w:rPr>
          <w:rFonts w:ascii="Arial" w:eastAsia="仿宋_GB2312;仿宋" w:hAnsi="Arial" w:cs="Arial"/>
          <w:b/>
          <w:sz w:val="28"/>
        </w:rPr>
        <w:t>一、咨询对象描述</w:t>
      </w:r>
    </w:p>
    <w:p w14:paraId="40C3C906"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（一）土地登记状况</w:t>
      </w:r>
    </w:p>
    <w:p w14:paraId="3203C4F2" w14:textId="77777777" w:rsidR="00E70101" w:rsidRDefault="0060680B">
      <w:pPr>
        <w:spacing w:line="360" w:lineRule="auto"/>
        <w:ind w:firstLine="560"/>
        <w:jc w:val="both"/>
      </w:pPr>
      <w:r>
        <w:rPr>
          <w:rFonts w:ascii="Arial" w:eastAsia="仿宋_GB2312;仿宋" w:hAnsi="Arial" w:cs="Arial"/>
          <w:bCs/>
          <w:sz w:val="28"/>
        </w:rPr>
        <w:t>根据委托方介绍，咨询对象土地使用权类型为划拨，北京对外经贸控股有限责任公司拥有咨询对象划拨国有建设用地使用权，咨询对象土地面积为</w:t>
      </w:r>
      <w:r>
        <w:rPr>
          <w:rFonts w:ascii="Arial" w:eastAsia="仿宋_GB2312;仿宋" w:hAnsi="Arial" w:cs="Arial"/>
          <w:bCs/>
          <w:sz w:val="28"/>
        </w:rPr>
        <w:t>370379.14</w:t>
      </w:r>
      <w:r>
        <w:rPr>
          <w:rFonts w:ascii="Arial" w:eastAsia="仿宋_GB2312;仿宋" w:hAnsi="Arial" w:cs="Arial"/>
          <w:bCs/>
          <w:sz w:val="28"/>
        </w:rPr>
        <w:t>平方米。</w:t>
      </w:r>
    </w:p>
    <w:p w14:paraId="55A7429E" w14:textId="77777777" w:rsidR="00E70101" w:rsidRDefault="0060680B">
      <w:pPr>
        <w:spacing w:line="360" w:lineRule="auto"/>
        <w:ind w:firstLine="560"/>
        <w:jc w:val="both"/>
        <w:rPr>
          <w:rFonts w:ascii="Arial" w:eastAsia="仿宋_GB2312;仿宋" w:hAnsi="Arial" w:cs="Arial"/>
          <w:bCs/>
          <w:sz w:val="28"/>
        </w:rPr>
      </w:pPr>
      <w:r>
        <w:rPr>
          <w:rFonts w:ascii="Arial" w:eastAsia="仿宋_GB2312;仿宋" w:hAnsi="Arial" w:cs="Arial"/>
          <w:bCs/>
          <w:sz w:val="28"/>
        </w:rPr>
        <w:t>土地使用权人：北京对外经贸控股有限责任公司</w:t>
      </w:r>
      <w:r>
        <w:rPr>
          <w:rFonts w:ascii="Arial" w:eastAsia="Arial" w:hAnsi="Arial" w:cs="Arial"/>
          <w:sz w:val="28"/>
        </w:rPr>
        <w:t xml:space="preserve"> </w:t>
      </w:r>
    </w:p>
    <w:p w14:paraId="0CB384EA"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bCs/>
          <w:sz w:val="28"/>
        </w:rPr>
        <w:t>坐落：北京市昌平区北七家镇八仙庄村仓储用地</w:t>
      </w:r>
    </w:p>
    <w:p w14:paraId="5DFEAC7E" w14:textId="77777777" w:rsidR="00E70101" w:rsidRDefault="0060680B">
      <w:pPr>
        <w:tabs>
          <w:tab w:val="left" w:pos="2112"/>
        </w:tabs>
        <w:spacing w:line="360" w:lineRule="auto"/>
        <w:ind w:firstLine="560"/>
        <w:jc w:val="both"/>
        <w:rPr>
          <w:rFonts w:ascii="Arial" w:eastAsia="仿宋_GB2312;仿宋" w:hAnsi="Arial" w:cs="Arial"/>
          <w:sz w:val="28"/>
        </w:rPr>
      </w:pPr>
      <w:r>
        <w:rPr>
          <w:rFonts w:ascii="Arial" w:eastAsia="仿宋_GB2312;仿宋" w:hAnsi="Arial" w:cs="Arial"/>
          <w:sz w:val="28"/>
        </w:rPr>
        <w:t>地号：</w:t>
      </w:r>
      <w:r>
        <w:rPr>
          <w:rFonts w:ascii="Arial" w:eastAsia="仿宋_GB2312;仿宋" w:hAnsi="Arial" w:cs="Arial"/>
          <w:sz w:val="28"/>
        </w:rPr>
        <w:t>-</w:t>
      </w:r>
      <w:r>
        <w:rPr>
          <w:rFonts w:ascii="Arial" w:eastAsia="仿宋_GB2312;仿宋" w:hAnsi="Arial" w:cs="Arial"/>
          <w:sz w:val="28"/>
        </w:rPr>
        <w:tab/>
      </w:r>
    </w:p>
    <w:p w14:paraId="0E2C536A"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图号：</w:t>
      </w:r>
      <w:r>
        <w:rPr>
          <w:rFonts w:ascii="Arial" w:eastAsia="仿宋_GB2312;仿宋" w:hAnsi="Arial" w:cs="Arial"/>
          <w:sz w:val="28"/>
        </w:rPr>
        <w:t>-</w:t>
      </w:r>
    </w:p>
    <w:p w14:paraId="5588C3BA"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地类（用途）：仓储</w:t>
      </w:r>
    </w:p>
    <w:p w14:paraId="7AC99593" w14:textId="77777777" w:rsidR="00E70101" w:rsidRDefault="0060680B">
      <w:pPr>
        <w:spacing w:line="360" w:lineRule="auto"/>
        <w:ind w:firstLine="560"/>
        <w:jc w:val="both"/>
        <w:rPr>
          <w:rFonts w:eastAsia="仿宋_GB2312;仿宋"/>
        </w:rPr>
      </w:pPr>
      <w:r>
        <w:rPr>
          <w:rFonts w:ascii="Arial" w:eastAsia="仿宋_GB2312;仿宋" w:hAnsi="Arial" w:cs="Arial"/>
          <w:sz w:val="28"/>
        </w:rPr>
        <w:t>土地面积：</w:t>
      </w:r>
      <w:r>
        <w:rPr>
          <w:rFonts w:ascii="Arial" w:eastAsia="仿宋_GB2312;仿宋" w:hAnsi="Arial" w:cs="Arial"/>
          <w:sz w:val="28"/>
        </w:rPr>
        <w:t>370379.14</w:t>
      </w:r>
      <w:r>
        <w:rPr>
          <w:rFonts w:ascii="Arial" w:eastAsia="仿宋_GB2312;仿宋" w:hAnsi="Arial" w:cs="Arial"/>
          <w:sz w:val="28"/>
        </w:rPr>
        <w:t>平方米</w:t>
      </w:r>
      <w:r>
        <w:rPr>
          <w:rFonts w:ascii="Arial" w:eastAsia="Arial" w:hAnsi="Arial" w:cs="Arial"/>
          <w:sz w:val="28"/>
        </w:rPr>
        <w:t xml:space="preserve"> </w:t>
      </w:r>
    </w:p>
    <w:p w14:paraId="227C34E5"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咨询对象现状四至：东至现状空地，南至现状楼房，西至现状空地，北至北京祥龙大学。</w:t>
      </w:r>
    </w:p>
    <w:p w14:paraId="1205FED9" w14:textId="77777777" w:rsidR="00E70101" w:rsidRDefault="0060680B">
      <w:pPr>
        <w:spacing w:line="360" w:lineRule="auto"/>
        <w:ind w:firstLine="560"/>
        <w:jc w:val="both"/>
      </w:pPr>
      <w:r>
        <w:rPr>
          <w:rFonts w:ascii="Arial" w:eastAsia="仿宋_GB2312;仿宋" w:hAnsi="Arial" w:cs="Arial"/>
          <w:sz w:val="28"/>
        </w:rPr>
        <w:t>土地级别：根据《北京市人民政府关于更新出让国有建设用地使用权基准地价的通知》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的规定，咨询对象属于工业类七级地价区</w:t>
      </w:r>
      <w:r>
        <w:rPr>
          <w:rFonts w:ascii="Arial" w:eastAsia="仿宋_GB2312;仿宋" w:hAnsi="Arial" w:cs="Arial"/>
          <w:sz w:val="28"/>
        </w:rPr>
        <w:t>VII-</w:t>
      </w:r>
      <w:r>
        <w:rPr>
          <w:rFonts w:ascii="Arial" w:eastAsia="仿宋_GB2312;仿宋" w:hAnsi="Arial" w:cs="Arial"/>
          <w:sz w:val="28"/>
        </w:rPr>
        <w:t>昌</w:t>
      </w:r>
      <w:r>
        <w:rPr>
          <w:rFonts w:ascii="Arial" w:eastAsia="仿宋_GB2312;仿宋" w:hAnsi="Arial" w:cs="Arial"/>
          <w:sz w:val="28"/>
        </w:rPr>
        <w:t>3</w:t>
      </w:r>
      <w:r>
        <w:rPr>
          <w:rFonts w:ascii="Arial" w:eastAsia="仿宋_GB2312;仿宋" w:hAnsi="Arial" w:cs="Arial"/>
          <w:sz w:val="28"/>
        </w:rPr>
        <w:t>区片。</w:t>
      </w:r>
    </w:p>
    <w:p w14:paraId="0B0E9384"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（二）土地权利状况</w:t>
      </w:r>
    </w:p>
    <w:p w14:paraId="493DE9C6" w14:textId="77777777" w:rsidR="00E70101" w:rsidRDefault="0060680B">
      <w:pPr>
        <w:spacing w:line="360" w:lineRule="auto"/>
        <w:ind w:firstLine="560"/>
        <w:jc w:val="both"/>
      </w:pPr>
      <w:r>
        <w:rPr>
          <w:rFonts w:ascii="Arial" w:eastAsia="仿宋_GB2312;仿宋" w:hAnsi="Arial" w:cs="Arial"/>
          <w:sz w:val="28"/>
        </w:rPr>
        <w:t>经委托方介绍，咨询对象为国有土地，土地所有权为国家所有，土地使用权人为北京对外经贸控股有限责任公司。截至咨询期日，咨询对象未设定抵押、租赁等他项权利。</w:t>
      </w:r>
    </w:p>
    <w:p w14:paraId="673E1AF5"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（三）土地利用状况</w:t>
      </w:r>
    </w:p>
    <w:p w14:paraId="549D148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土地规划设计条件</w:t>
      </w:r>
    </w:p>
    <w:p w14:paraId="29294B9F" w14:textId="52427CB4"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根据委托方介绍，咨询对象用地面积为</w:t>
      </w:r>
      <w:r>
        <w:rPr>
          <w:rFonts w:ascii="Arial" w:eastAsia="仿宋_GB2312;仿宋" w:hAnsi="Arial" w:cs="Arial"/>
          <w:sz w:val="28"/>
        </w:rPr>
        <w:t>370379.14</w:t>
      </w:r>
      <w:r>
        <w:rPr>
          <w:rFonts w:ascii="Arial" w:eastAsia="仿宋_GB2312;仿宋" w:hAnsi="Arial" w:cs="Arial"/>
          <w:sz w:val="28"/>
        </w:rPr>
        <w:t>平方米，容积率设定为</w:t>
      </w:r>
      <w:r>
        <w:rPr>
          <w:rFonts w:ascii="Arial" w:eastAsia="仿宋_GB2312;仿宋" w:hAnsi="Arial" w:cs="Arial"/>
          <w:sz w:val="28"/>
        </w:rPr>
        <w:t>1.0</w:t>
      </w:r>
      <w:r>
        <w:rPr>
          <w:rFonts w:ascii="Arial" w:eastAsia="仿宋_GB2312;仿宋" w:hAnsi="Arial" w:cs="Arial"/>
          <w:sz w:val="28"/>
        </w:rPr>
        <w:t>，建筑面积设定为</w:t>
      </w:r>
      <w:r>
        <w:rPr>
          <w:rFonts w:ascii="Arial" w:eastAsia="仿宋_GB2312;仿宋" w:hAnsi="Arial" w:cs="Arial"/>
          <w:sz w:val="28"/>
        </w:rPr>
        <w:t>370379.14</w:t>
      </w:r>
      <w:r>
        <w:rPr>
          <w:rFonts w:ascii="Arial" w:eastAsia="仿宋_GB2312;仿宋" w:hAnsi="Arial" w:cs="Arial"/>
          <w:sz w:val="28"/>
        </w:rPr>
        <w:t>平方米。</w:t>
      </w:r>
    </w:p>
    <w:p w14:paraId="3046DEAA" w14:textId="77777777" w:rsidR="00E70101" w:rsidRDefault="0060680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2.</w:t>
      </w:r>
      <w:r>
        <w:rPr>
          <w:rFonts w:ascii="Arial" w:eastAsia="仿宋_GB2312;仿宋" w:hAnsi="Arial" w:cs="Arial"/>
          <w:spacing w:val="-12"/>
          <w:sz w:val="28"/>
        </w:rPr>
        <w:t>土地利用现状</w:t>
      </w:r>
    </w:p>
    <w:p w14:paraId="29D8F9AC" w14:textId="77777777" w:rsidR="00E70101" w:rsidRDefault="0060680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w:t>
      </w:r>
      <w:r>
        <w:rPr>
          <w:rFonts w:ascii="Arial" w:eastAsia="仿宋_GB2312;仿宋" w:hAnsi="Arial" w:cs="Arial"/>
          <w:spacing w:val="-12"/>
          <w:sz w:val="28"/>
        </w:rPr>
        <w:t>1</w:t>
      </w:r>
      <w:r>
        <w:rPr>
          <w:rFonts w:ascii="Arial" w:eastAsia="仿宋_GB2312;仿宋" w:hAnsi="Arial" w:cs="Arial"/>
          <w:spacing w:val="-12"/>
          <w:sz w:val="28"/>
        </w:rPr>
        <w:t>）建筑物</w:t>
      </w:r>
    </w:p>
    <w:p w14:paraId="03EF1421"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经委托方介绍，设定咨询对象宗地现状不存在建（构）筑物。</w:t>
      </w:r>
      <w:r>
        <w:rPr>
          <w:rFonts w:ascii="Arial" w:eastAsia="Arial" w:hAnsi="Arial" w:cs="Arial"/>
          <w:sz w:val="28"/>
          <w:szCs w:val="28"/>
        </w:rPr>
        <w:t xml:space="preserve"> </w:t>
      </w:r>
    </w:p>
    <w:p w14:paraId="05E3E4E6" w14:textId="77777777" w:rsidR="00E70101" w:rsidRDefault="0060680B">
      <w:pPr>
        <w:spacing w:line="360" w:lineRule="auto"/>
        <w:ind w:firstLine="512"/>
        <w:jc w:val="both"/>
        <w:rPr>
          <w:rFonts w:eastAsia="仿宋_GB2312;仿宋"/>
        </w:rPr>
      </w:pPr>
      <w:r>
        <w:rPr>
          <w:rFonts w:ascii="Arial" w:eastAsia="仿宋_GB2312;仿宋" w:hAnsi="Arial" w:cs="Arial"/>
          <w:spacing w:val="-12"/>
          <w:sz w:val="28"/>
        </w:rPr>
        <w:t>（</w:t>
      </w:r>
      <w:r>
        <w:rPr>
          <w:rFonts w:ascii="Arial" w:eastAsia="仿宋_GB2312;仿宋" w:hAnsi="Arial" w:cs="Arial"/>
          <w:spacing w:val="-12"/>
          <w:sz w:val="28"/>
        </w:rPr>
        <w:t>2</w:t>
      </w:r>
      <w:r>
        <w:rPr>
          <w:rFonts w:ascii="Arial" w:eastAsia="仿宋_GB2312;仿宋" w:hAnsi="Arial" w:cs="Arial"/>
          <w:spacing w:val="-12"/>
          <w:sz w:val="28"/>
        </w:rPr>
        <w:t>）</w:t>
      </w:r>
      <w:r>
        <w:rPr>
          <w:rFonts w:ascii="Arial" w:eastAsia="仿宋_GB2312;仿宋" w:hAnsi="Arial" w:cs="Arial"/>
          <w:spacing w:val="-12"/>
          <w:sz w:val="28"/>
        </w:rPr>
        <w:tab/>
      </w:r>
      <w:r>
        <w:rPr>
          <w:rFonts w:ascii="Arial" w:eastAsia="仿宋_GB2312;仿宋" w:hAnsi="Arial" w:cs="Arial"/>
          <w:spacing w:val="-12"/>
          <w:sz w:val="28"/>
        </w:rPr>
        <w:t>附属物、设施设备情况</w:t>
      </w:r>
      <w:r>
        <w:rPr>
          <w:rFonts w:ascii="Arial" w:eastAsia="Arial" w:hAnsi="Arial" w:cs="Arial"/>
          <w:spacing w:val="-12"/>
          <w:sz w:val="28"/>
        </w:rPr>
        <w:t xml:space="preserve"> </w:t>
      </w:r>
    </w:p>
    <w:p w14:paraId="12D0F3CB" w14:textId="77777777" w:rsidR="00E70101" w:rsidRDefault="0060680B">
      <w:pPr>
        <w:spacing w:line="360" w:lineRule="auto"/>
        <w:ind w:firstLine="560"/>
        <w:jc w:val="both"/>
        <w:rPr>
          <w:rFonts w:ascii="Arial" w:eastAsia="仿宋_GB2312;仿宋" w:hAnsi="Arial" w:cs="Arial"/>
          <w:spacing w:val="-12"/>
          <w:sz w:val="28"/>
        </w:rPr>
      </w:pPr>
      <w:r>
        <w:rPr>
          <w:rFonts w:ascii="Arial" w:eastAsia="仿宋_GB2312;仿宋" w:hAnsi="Arial" w:cs="Arial"/>
          <w:sz w:val="28"/>
        </w:rPr>
        <w:t>经委托方介绍，设定咨询对象宗地现状不存在附属物。</w:t>
      </w:r>
    </w:p>
    <w:p w14:paraId="75257AF9" w14:textId="77777777" w:rsidR="00E70101" w:rsidRDefault="0060680B">
      <w:pPr>
        <w:spacing w:line="360" w:lineRule="auto"/>
        <w:ind w:firstLine="512"/>
        <w:jc w:val="both"/>
        <w:rPr>
          <w:rFonts w:eastAsia="仿宋_GB2312;仿宋"/>
        </w:rPr>
      </w:pPr>
      <w:r>
        <w:rPr>
          <w:rFonts w:ascii="Arial" w:eastAsia="仿宋_GB2312;仿宋" w:hAnsi="Arial" w:cs="Arial"/>
          <w:spacing w:val="-12"/>
          <w:sz w:val="28"/>
        </w:rPr>
        <w:t>（</w:t>
      </w:r>
      <w:r>
        <w:rPr>
          <w:rFonts w:ascii="Arial" w:eastAsia="仿宋_GB2312;仿宋" w:hAnsi="Arial" w:cs="Arial"/>
          <w:spacing w:val="-12"/>
          <w:sz w:val="28"/>
        </w:rPr>
        <w:t>3</w:t>
      </w:r>
      <w:r>
        <w:rPr>
          <w:rFonts w:ascii="Arial" w:eastAsia="仿宋_GB2312;仿宋" w:hAnsi="Arial" w:cs="Arial"/>
          <w:spacing w:val="-12"/>
          <w:sz w:val="28"/>
        </w:rPr>
        <w:t>）</w:t>
      </w:r>
      <w:r>
        <w:rPr>
          <w:rFonts w:ascii="Arial" w:eastAsia="仿宋_GB2312;仿宋" w:hAnsi="Arial" w:cs="Arial"/>
          <w:spacing w:val="-12"/>
          <w:sz w:val="28"/>
        </w:rPr>
        <w:tab/>
      </w:r>
      <w:r>
        <w:rPr>
          <w:rFonts w:ascii="Arial" w:eastAsia="仿宋_GB2312;仿宋" w:hAnsi="Arial" w:cs="Arial"/>
          <w:spacing w:val="-12"/>
          <w:sz w:val="28"/>
        </w:rPr>
        <w:t>土地利用情况</w:t>
      </w:r>
      <w:r>
        <w:rPr>
          <w:rFonts w:ascii="Arial" w:eastAsia="Arial" w:hAnsi="Arial" w:cs="Arial"/>
          <w:spacing w:val="-12"/>
          <w:sz w:val="28"/>
        </w:rPr>
        <w:t xml:space="preserve"> </w:t>
      </w:r>
    </w:p>
    <w:p w14:paraId="39EBA68E" w14:textId="77777777" w:rsidR="00E70101" w:rsidRDefault="0060680B">
      <w:pPr>
        <w:spacing w:line="360" w:lineRule="auto"/>
        <w:ind w:firstLine="512"/>
        <w:jc w:val="both"/>
        <w:rPr>
          <w:rFonts w:eastAsia="仿宋_GB2312;仿宋"/>
        </w:rPr>
      </w:pPr>
      <w:r>
        <w:rPr>
          <w:rFonts w:ascii="Arial" w:eastAsia="仿宋_GB2312;仿宋" w:hAnsi="Arial" w:cs="Arial"/>
          <w:spacing w:val="-12"/>
          <w:sz w:val="28"/>
        </w:rPr>
        <w:t>宗地红线外基础设施已达到</w:t>
      </w:r>
      <w:r>
        <w:rPr>
          <w:rFonts w:ascii="Arial" w:eastAsia="仿宋_GB2312;仿宋" w:hAnsi="Arial" w:cs="Arial"/>
          <w:spacing w:val="-12"/>
          <w:sz w:val="28"/>
        </w:rPr>
        <w:t>”</w:t>
      </w:r>
      <w:r>
        <w:rPr>
          <w:rFonts w:ascii="Arial" w:eastAsia="仿宋_GB2312;仿宋" w:hAnsi="Arial" w:cs="Arial"/>
          <w:spacing w:val="-12"/>
          <w:sz w:val="28"/>
        </w:rPr>
        <w:t>七通</w:t>
      </w:r>
      <w:r>
        <w:rPr>
          <w:rFonts w:ascii="Arial" w:eastAsia="仿宋_GB2312;仿宋" w:hAnsi="Arial" w:cs="Arial"/>
          <w:spacing w:val="-12"/>
          <w:sz w:val="28"/>
        </w:rPr>
        <w:t>”</w:t>
      </w:r>
      <w:r>
        <w:rPr>
          <w:rFonts w:ascii="Arial" w:eastAsia="仿宋_GB2312;仿宋" w:hAnsi="Arial" w:cs="Arial"/>
          <w:spacing w:val="-12"/>
          <w:sz w:val="28"/>
        </w:rPr>
        <w:t>（通路、通电、通讯、通上水、通下水、通燃气、通热），具体状况如下：</w:t>
      </w:r>
      <w:r>
        <w:rPr>
          <w:rFonts w:ascii="Arial" w:eastAsia="Arial" w:hAnsi="Arial" w:cs="Arial"/>
          <w:spacing w:val="-12"/>
          <w:sz w:val="28"/>
        </w:rPr>
        <w:t xml:space="preserve"> </w:t>
      </w:r>
    </w:p>
    <w:p w14:paraId="2061786B" w14:textId="77777777" w:rsidR="00E70101" w:rsidRDefault="0060680B">
      <w:pPr>
        <w:spacing w:line="360" w:lineRule="auto"/>
        <w:ind w:firstLine="512"/>
        <w:jc w:val="both"/>
        <w:rPr>
          <w:rFonts w:eastAsia="仿宋_GB2312;仿宋"/>
        </w:rPr>
      </w:pPr>
      <w:r>
        <w:rPr>
          <w:rFonts w:ascii="Arial" w:eastAsia="仿宋_GB2312;仿宋" w:hAnsi="Arial" w:cs="Arial"/>
          <w:spacing w:val="-12"/>
          <w:sz w:val="28"/>
        </w:rPr>
        <w:t>通路：八仙庄北大街，为城市次干道；</w:t>
      </w:r>
      <w:r>
        <w:rPr>
          <w:rFonts w:ascii="Arial" w:eastAsia="Arial" w:hAnsi="Arial" w:cs="Arial"/>
          <w:spacing w:val="-12"/>
          <w:sz w:val="28"/>
        </w:rPr>
        <w:t xml:space="preserve"> </w:t>
      </w:r>
    </w:p>
    <w:p w14:paraId="56556AC0" w14:textId="77777777" w:rsidR="00E70101" w:rsidRDefault="0060680B">
      <w:pPr>
        <w:spacing w:line="360" w:lineRule="auto"/>
        <w:ind w:firstLine="512"/>
        <w:jc w:val="both"/>
      </w:pPr>
      <w:r>
        <w:rPr>
          <w:rFonts w:ascii="Arial" w:eastAsia="仿宋_GB2312;仿宋" w:hAnsi="Arial" w:cs="Arial"/>
          <w:spacing w:val="-12"/>
          <w:sz w:val="28"/>
        </w:rPr>
        <w:t>通电：市政供电网络；</w:t>
      </w:r>
    </w:p>
    <w:p w14:paraId="25ED2556" w14:textId="77777777" w:rsidR="00E70101" w:rsidRDefault="0060680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通上水：市政管网供水，设施完备，水源稳定；</w:t>
      </w:r>
    </w:p>
    <w:p w14:paraId="15BE2910" w14:textId="77777777" w:rsidR="00E70101" w:rsidRDefault="0060680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通下水：市政管网排水；</w:t>
      </w:r>
    </w:p>
    <w:p w14:paraId="3B3A15F7" w14:textId="77777777" w:rsidR="00E70101" w:rsidRDefault="0060680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通讯：项目用地有电信管道；</w:t>
      </w:r>
    </w:p>
    <w:p w14:paraId="3E6985B0" w14:textId="77777777" w:rsidR="00E70101" w:rsidRDefault="0060680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通热：市政供暖；</w:t>
      </w:r>
    </w:p>
    <w:p w14:paraId="713A8C6C" w14:textId="77777777" w:rsidR="00E70101" w:rsidRDefault="0060680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通燃气：管道天然气。</w:t>
      </w:r>
    </w:p>
    <w:p w14:paraId="6E2A031E" w14:textId="77777777" w:rsidR="00E70101" w:rsidRDefault="00E70101">
      <w:pPr>
        <w:spacing w:line="360" w:lineRule="auto"/>
        <w:ind w:firstLine="512"/>
        <w:jc w:val="both"/>
        <w:rPr>
          <w:rFonts w:ascii="Arial" w:eastAsia="仿宋_GB2312;仿宋" w:hAnsi="Arial" w:cs="Arial"/>
          <w:spacing w:val="-12"/>
          <w:sz w:val="28"/>
        </w:rPr>
      </w:pPr>
    </w:p>
    <w:p w14:paraId="5CC687B7" w14:textId="77777777" w:rsidR="00E70101" w:rsidRDefault="0060680B">
      <w:pPr>
        <w:spacing w:line="360" w:lineRule="auto"/>
        <w:outlineLvl w:val="1"/>
      </w:pPr>
      <w:bookmarkStart w:id="39" w:name="__RefHeading___Toc530042255"/>
      <w:bookmarkEnd w:id="39"/>
      <w:r>
        <w:rPr>
          <w:rFonts w:ascii="Arial" w:eastAsia="仿宋_GB2312;仿宋" w:hAnsi="Arial" w:cs="Arial"/>
          <w:b/>
          <w:sz w:val="28"/>
        </w:rPr>
        <w:t>二、地价影响因素分析</w:t>
      </w:r>
    </w:p>
    <w:p w14:paraId="47514E06"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（一）</w:t>
      </w:r>
      <w:r>
        <w:rPr>
          <w:rFonts w:ascii="Arial" w:eastAsia="Arial" w:hAnsi="Arial" w:cs="Arial"/>
          <w:sz w:val="28"/>
        </w:rPr>
        <w:t xml:space="preserve"> </w:t>
      </w:r>
      <w:r>
        <w:rPr>
          <w:rFonts w:ascii="Arial" w:eastAsia="仿宋_GB2312;仿宋" w:hAnsi="Arial" w:cs="Arial"/>
          <w:sz w:val="28"/>
        </w:rPr>
        <w:t>一般因素</w:t>
      </w:r>
    </w:p>
    <w:p w14:paraId="152B0E27" w14:textId="77777777" w:rsidR="00E70101" w:rsidRDefault="0060680B">
      <w:pPr>
        <w:widowControl/>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1.</w:t>
      </w:r>
      <w:r>
        <w:rPr>
          <w:rFonts w:ascii="Arial" w:eastAsia="仿宋_GB2312;仿宋" w:hAnsi="Arial" w:cs="Arial"/>
          <w:bCs/>
          <w:sz w:val="28"/>
          <w:szCs w:val="28"/>
        </w:rPr>
        <w:t>城市资源状况</w:t>
      </w:r>
    </w:p>
    <w:p w14:paraId="2FCABD12" w14:textId="77777777" w:rsidR="00E70101" w:rsidRDefault="0060680B">
      <w:pPr>
        <w:spacing w:line="360" w:lineRule="auto"/>
        <w:jc w:val="both"/>
        <w:rPr>
          <w:rFonts w:ascii="Arial" w:eastAsia="仿宋_GB2312;仿宋" w:hAnsi="Arial" w:cs="Arial"/>
          <w:sz w:val="28"/>
        </w:rPr>
      </w:pPr>
      <w:r>
        <w:rPr>
          <w:rFonts w:ascii="仿宋_GB2312;仿宋" w:eastAsia="仿宋_GB2312;仿宋" w:hAnsi="仿宋_GB2312;仿宋"/>
          <w:b/>
          <w:bCs/>
          <w:color w:val="000000"/>
          <w:sz w:val="28"/>
          <w:szCs w:val="28"/>
        </w:rPr>
        <w:t>地理位置：</w:t>
      </w:r>
      <w:r>
        <w:rPr>
          <w:rFonts w:ascii="Arial" w:eastAsia="仿宋" w:hAnsi="Arial" w:cs="Arial"/>
          <w:color w:val="000000"/>
          <w:kern w:val="2"/>
          <w:sz w:val="28"/>
          <w:szCs w:val="28"/>
        </w:rPr>
        <w:t>北京，简称</w:t>
      </w:r>
      <w:r>
        <w:rPr>
          <w:rFonts w:ascii="Arial" w:eastAsia="仿宋" w:hAnsi="Arial" w:cs="Arial"/>
          <w:color w:val="000000"/>
          <w:kern w:val="2"/>
          <w:sz w:val="28"/>
          <w:szCs w:val="28"/>
        </w:rPr>
        <w:t>“</w:t>
      </w:r>
      <w:r>
        <w:rPr>
          <w:rFonts w:ascii="Arial" w:eastAsia="仿宋" w:hAnsi="Arial" w:cs="Arial"/>
          <w:color w:val="000000"/>
          <w:kern w:val="2"/>
          <w:sz w:val="28"/>
          <w:szCs w:val="28"/>
        </w:rPr>
        <w:t>京</w:t>
      </w:r>
      <w:r>
        <w:rPr>
          <w:rFonts w:ascii="Arial" w:eastAsia="仿宋" w:hAnsi="Arial" w:cs="Arial"/>
          <w:color w:val="000000"/>
          <w:kern w:val="2"/>
          <w:sz w:val="28"/>
          <w:szCs w:val="28"/>
        </w:rPr>
        <w:t>”</w:t>
      </w:r>
      <w:r>
        <w:rPr>
          <w:rFonts w:ascii="Arial" w:eastAsia="仿宋" w:hAnsi="Arial" w:cs="Arial"/>
          <w:color w:val="000000"/>
          <w:kern w:val="2"/>
          <w:sz w:val="28"/>
          <w:szCs w:val="28"/>
        </w:rPr>
        <w:t>，是中华人民共和国的首都，是全国的政治中心、文化中心，是世界著名古都和现代化国际城市。北京位于北纬</w:t>
      </w:r>
      <w:r>
        <w:rPr>
          <w:rFonts w:ascii="Arial" w:eastAsia="仿宋" w:hAnsi="Arial" w:cs="Arial"/>
          <w:color w:val="000000"/>
          <w:kern w:val="2"/>
          <w:sz w:val="28"/>
          <w:szCs w:val="28"/>
        </w:rPr>
        <w:t>39</w:t>
      </w:r>
      <w:r>
        <w:rPr>
          <w:rFonts w:ascii="Arial" w:eastAsia="仿宋" w:hAnsi="Arial" w:cs="Arial"/>
          <w:color w:val="000000"/>
          <w:kern w:val="2"/>
          <w:sz w:val="28"/>
          <w:szCs w:val="28"/>
        </w:rPr>
        <w:t>度</w:t>
      </w:r>
      <w:r>
        <w:rPr>
          <w:rFonts w:ascii="Arial" w:eastAsia="仿宋" w:hAnsi="Arial" w:cs="Arial"/>
          <w:color w:val="000000"/>
          <w:kern w:val="2"/>
          <w:sz w:val="28"/>
          <w:szCs w:val="28"/>
        </w:rPr>
        <w:t>56</w:t>
      </w:r>
      <w:r>
        <w:rPr>
          <w:rFonts w:ascii="Arial" w:eastAsia="仿宋" w:hAnsi="Arial" w:cs="Arial"/>
          <w:color w:val="000000"/>
          <w:kern w:val="2"/>
          <w:sz w:val="28"/>
          <w:szCs w:val="28"/>
        </w:rPr>
        <w:t>分、东经</w:t>
      </w:r>
      <w:r>
        <w:rPr>
          <w:rFonts w:ascii="Arial" w:eastAsia="仿宋" w:hAnsi="Arial" w:cs="Arial"/>
          <w:color w:val="000000"/>
          <w:kern w:val="2"/>
          <w:sz w:val="28"/>
          <w:szCs w:val="28"/>
        </w:rPr>
        <w:t>116</w:t>
      </w:r>
      <w:r>
        <w:rPr>
          <w:rFonts w:ascii="Arial" w:eastAsia="仿宋" w:hAnsi="Arial" w:cs="Arial"/>
          <w:color w:val="000000"/>
          <w:kern w:val="2"/>
          <w:sz w:val="28"/>
          <w:szCs w:val="28"/>
        </w:rPr>
        <w:t>度</w:t>
      </w:r>
      <w:r>
        <w:rPr>
          <w:rFonts w:ascii="Arial" w:eastAsia="仿宋" w:hAnsi="Arial" w:cs="Arial"/>
          <w:color w:val="000000"/>
          <w:kern w:val="2"/>
          <w:sz w:val="28"/>
          <w:szCs w:val="28"/>
        </w:rPr>
        <w:t>20</w:t>
      </w:r>
      <w:r>
        <w:rPr>
          <w:rFonts w:ascii="Arial" w:eastAsia="仿宋" w:hAnsi="Arial" w:cs="Arial"/>
          <w:color w:val="000000"/>
          <w:kern w:val="2"/>
          <w:sz w:val="28"/>
          <w:szCs w:val="28"/>
        </w:rPr>
        <w:t>分，地处华北大平原的北部，东面与天津市毗连，其余均与河北省相邻。</w:t>
      </w:r>
      <w:r>
        <w:rPr>
          <w:rFonts w:ascii="Arial" w:eastAsia="仿宋_GB2312;仿宋" w:hAnsi="Arial" w:cs="Arial"/>
          <w:sz w:val="28"/>
        </w:rPr>
        <w:t>（一）</w:t>
      </w:r>
      <w:r>
        <w:rPr>
          <w:rFonts w:ascii="Arial" w:eastAsia="Arial" w:hAnsi="Arial" w:cs="Arial"/>
          <w:sz w:val="28"/>
        </w:rPr>
        <w:t xml:space="preserve"> </w:t>
      </w:r>
      <w:r>
        <w:rPr>
          <w:rFonts w:ascii="Arial" w:eastAsia="仿宋_GB2312;仿宋" w:hAnsi="Arial" w:cs="Arial"/>
          <w:sz w:val="28"/>
        </w:rPr>
        <w:t>一般因素</w:t>
      </w:r>
    </w:p>
    <w:p w14:paraId="0FC41949" w14:textId="77777777" w:rsidR="00E70101" w:rsidRDefault="0060680B">
      <w:pPr>
        <w:widowControl/>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1.</w:t>
      </w:r>
      <w:r>
        <w:rPr>
          <w:rFonts w:ascii="Arial" w:eastAsia="仿宋_GB2312;仿宋" w:hAnsi="Arial" w:cs="Arial"/>
          <w:bCs/>
          <w:sz w:val="28"/>
          <w:szCs w:val="28"/>
        </w:rPr>
        <w:t>城市资源状况</w:t>
      </w:r>
    </w:p>
    <w:p w14:paraId="710AAC68" w14:textId="77777777" w:rsidR="00E70101" w:rsidRDefault="0060680B">
      <w:pPr>
        <w:spacing w:line="360" w:lineRule="auto"/>
        <w:ind w:firstLine="562"/>
        <w:jc w:val="both"/>
        <w:outlineLvl w:val="0"/>
        <w:rPr>
          <w:rFonts w:ascii="Arial" w:eastAsia="仿宋_GB2312;仿宋" w:hAnsi="Arial" w:cs="Arial"/>
          <w:bCs/>
          <w:color w:val="000000"/>
          <w:sz w:val="28"/>
          <w:szCs w:val="28"/>
        </w:rPr>
      </w:pPr>
      <w:r>
        <w:rPr>
          <w:rFonts w:ascii="仿宋_GB2312;仿宋" w:eastAsia="仿宋_GB2312;仿宋" w:hAnsi="仿宋_GB2312;仿宋"/>
          <w:b/>
          <w:bCs/>
          <w:color w:val="000000"/>
          <w:sz w:val="28"/>
          <w:szCs w:val="28"/>
        </w:rPr>
        <w:t>地理位置：</w:t>
      </w:r>
      <w:r>
        <w:rPr>
          <w:rFonts w:ascii="Arial" w:eastAsia="仿宋" w:hAnsi="Arial" w:cs="Arial"/>
          <w:color w:val="000000"/>
          <w:kern w:val="2"/>
          <w:sz w:val="28"/>
          <w:szCs w:val="28"/>
        </w:rPr>
        <w:t>北京，简称</w:t>
      </w:r>
      <w:r>
        <w:rPr>
          <w:rFonts w:ascii="Arial" w:eastAsia="仿宋" w:hAnsi="Arial" w:cs="Arial"/>
          <w:color w:val="000000"/>
          <w:kern w:val="2"/>
          <w:sz w:val="28"/>
          <w:szCs w:val="28"/>
        </w:rPr>
        <w:t>“</w:t>
      </w:r>
      <w:r>
        <w:rPr>
          <w:rFonts w:ascii="Arial" w:eastAsia="仿宋" w:hAnsi="Arial" w:cs="Arial"/>
          <w:color w:val="000000"/>
          <w:kern w:val="2"/>
          <w:sz w:val="28"/>
          <w:szCs w:val="28"/>
        </w:rPr>
        <w:t>京</w:t>
      </w:r>
      <w:r>
        <w:rPr>
          <w:rFonts w:ascii="Arial" w:eastAsia="仿宋" w:hAnsi="Arial" w:cs="Arial"/>
          <w:color w:val="000000"/>
          <w:kern w:val="2"/>
          <w:sz w:val="28"/>
          <w:szCs w:val="28"/>
        </w:rPr>
        <w:t>”</w:t>
      </w:r>
      <w:r>
        <w:rPr>
          <w:rFonts w:ascii="Arial" w:eastAsia="仿宋" w:hAnsi="Arial" w:cs="Arial"/>
          <w:color w:val="000000"/>
          <w:kern w:val="2"/>
          <w:sz w:val="28"/>
          <w:szCs w:val="28"/>
        </w:rPr>
        <w:t>，是中华人民共和国的首都，是全国的政治中心、文化中心，是世界著名古都和现代化国际城市。北京位于北纬</w:t>
      </w:r>
      <w:r>
        <w:rPr>
          <w:rFonts w:ascii="Arial" w:eastAsia="仿宋" w:hAnsi="Arial" w:cs="Arial"/>
          <w:color w:val="000000"/>
          <w:kern w:val="2"/>
          <w:sz w:val="28"/>
          <w:szCs w:val="28"/>
        </w:rPr>
        <w:t>39</w:t>
      </w:r>
      <w:r>
        <w:rPr>
          <w:rFonts w:ascii="Arial" w:eastAsia="仿宋" w:hAnsi="Arial" w:cs="Arial"/>
          <w:color w:val="000000"/>
          <w:kern w:val="2"/>
          <w:sz w:val="28"/>
          <w:szCs w:val="28"/>
        </w:rPr>
        <w:t>度</w:t>
      </w:r>
      <w:r>
        <w:rPr>
          <w:rFonts w:ascii="Arial" w:eastAsia="仿宋" w:hAnsi="Arial" w:cs="Arial"/>
          <w:color w:val="000000"/>
          <w:kern w:val="2"/>
          <w:sz w:val="28"/>
          <w:szCs w:val="28"/>
        </w:rPr>
        <w:t>56</w:t>
      </w:r>
      <w:r>
        <w:rPr>
          <w:rFonts w:ascii="Arial" w:eastAsia="仿宋" w:hAnsi="Arial" w:cs="Arial"/>
          <w:color w:val="000000"/>
          <w:kern w:val="2"/>
          <w:sz w:val="28"/>
          <w:szCs w:val="28"/>
        </w:rPr>
        <w:t>分、东经</w:t>
      </w:r>
      <w:r>
        <w:rPr>
          <w:rFonts w:ascii="Arial" w:eastAsia="仿宋" w:hAnsi="Arial" w:cs="Arial"/>
          <w:color w:val="000000"/>
          <w:kern w:val="2"/>
          <w:sz w:val="28"/>
          <w:szCs w:val="28"/>
        </w:rPr>
        <w:t>116</w:t>
      </w:r>
      <w:r>
        <w:rPr>
          <w:rFonts w:ascii="Arial" w:eastAsia="仿宋" w:hAnsi="Arial" w:cs="Arial"/>
          <w:color w:val="000000"/>
          <w:kern w:val="2"/>
          <w:sz w:val="28"/>
          <w:szCs w:val="28"/>
        </w:rPr>
        <w:t>度</w:t>
      </w:r>
      <w:r>
        <w:rPr>
          <w:rFonts w:ascii="Arial" w:eastAsia="仿宋" w:hAnsi="Arial" w:cs="Arial"/>
          <w:color w:val="000000"/>
          <w:kern w:val="2"/>
          <w:sz w:val="28"/>
          <w:szCs w:val="28"/>
        </w:rPr>
        <w:t>20</w:t>
      </w:r>
      <w:r>
        <w:rPr>
          <w:rFonts w:ascii="Arial" w:eastAsia="仿宋" w:hAnsi="Arial" w:cs="Arial"/>
          <w:color w:val="000000"/>
          <w:kern w:val="2"/>
          <w:sz w:val="28"/>
          <w:szCs w:val="28"/>
        </w:rPr>
        <w:t>分，地处华北大平原的北部，东面与天津市毗连，其余均与河北省相邻。</w:t>
      </w:r>
    </w:p>
    <w:p w14:paraId="4184F609" w14:textId="77777777" w:rsidR="00E70101" w:rsidRDefault="0060680B">
      <w:pPr>
        <w:widowControl/>
        <w:spacing w:line="360" w:lineRule="auto"/>
        <w:ind w:firstLine="562"/>
        <w:jc w:val="both"/>
        <w:rPr>
          <w:rFonts w:ascii="Arial" w:eastAsia="仿宋_GB2312;仿宋" w:hAnsi="Arial" w:cs="Arial"/>
          <w:bCs/>
          <w:color w:val="000000"/>
          <w:sz w:val="28"/>
          <w:szCs w:val="28"/>
        </w:rPr>
      </w:pPr>
      <w:r>
        <w:rPr>
          <w:rFonts w:ascii="仿宋_GB2312;仿宋" w:eastAsia="仿宋_GB2312;仿宋" w:hAnsi="仿宋_GB2312;仿宋"/>
          <w:b/>
          <w:bCs/>
          <w:color w:val="000000"/>
          <w:sz w:val="28"/>
          <w:szCs w:val="28"/>
        </w:rPr>
        <w:t>城市人口：</w:t>
      </w:r>
      <w:r>
        <w:rPr>
          <w:rFonts w:ascii="Arial" w:eastAsia="仿宋_GB2312;仿宋" w:hAnsi="Arial" w:cs="Arial"/>
          <w:bCs/>
          <w:color w:val="000000"/>
          <w:sz w:val="28"/>
          <w:szCs w:val="28"/>
        </w:rPr>
        <w:t>截至</w:t>
      </w:r>
      <w:r>
        <w:rPr>
          <w:rFonts w:ascii="Arial" w:eastAsia="仿宋_GB2312;仿宋" w:hAnsi="Arial" w:cs="Arial"/>
          <w:bCs/>
          <w:color w:val="000000"/>
          <w:sz w:val="28"/>
          <w:szCs w:val="28"/>
        </w:rPr>
        <w:t>2023</w:t>
      </w:r>
      <w:r>
        <w:rPr>
          <w:rFonts w:ascii="Arial" w:eastAsia="仿宋_GB2312;仿宋" w:hAnsi="Arial" w:cs="Arial"/>
          <w:bCs/>
          <w:color w:val="000000"/>
          <w:sz w:val="28"/>
          <w:szCs w:val="28"/>
        </w:rPr>
        <w:t>年年末，北京市常住人口为</w:t>
      </w:r>
      <w:r>
        <w:rPr>
          <w:rFonts w:ascii="Arial" w:eastAsia="仿宋_GB2312;仿宋" w:hAnsi="Arial" w:cs="Arial"/>
          <w:bCs/>
          <w:color w:val="000000"/>
          <w:sz w:val="28"/>
          <w:szCs w:val="28"/>
        </w:rPr>
        <w:t>2185.8</w:t>
      </w:r>
      <w:r>
        <w:rPr>
          <w:rFonts w:ascii="Arial" w:eastAsia="仿宋_GB2312;仿宋" w:hAnsi="Arial" w:cs="Arial"/>
          <w:bCs/>
          <w:color w:val="000000"/>
          <w:sz w:val="28"/>
          <w:szCs w:val="28"/>
        </w:rPr>
        <w:t>万人，从年龄构成看，</w:t>
      </w:r>
      <w:r>
        <w:rPr>
          <w:rFonts w:ascii="Arial" w:eastAsia="仿宋_GB2312;仿宋" w:hAnsi="Arial" w:cs="Arial"/>
          <w:bCs/>
          <w:color w:val="000000"/>
          <w:sz w:val="28"/>
          <w:szCs w:val="28"/>
        </w:rPr>
        <w:t>0-14</w:t>
      </w:r>
      <w:r>
        <w:rPr>
          <w:rFonts w:ascii="Arial" w:eastAsia="仿宋_GB2312;仿宋" w:hAnsi="Arial" w:cs="Arial"/>
          <w:bCs/>
          <w:color w:val="000000"/>
          <w:sz w:val="28"/>
          <w:szCs w:val="28"/>
        </w:rPr>
        <w:t>岁常住人口</w:t>
      </w:r>
      <w:r>
        <w:rPr>
          <w:rFonts w:ascii="Arial" w:eastAsia="仿宋_GB2312;仿宋" w:hAnsi="Arial" w:cs="Arial"/>
          <w:bCs/>
          <w:color w:val="000000"/>
          <w:sz w:val="28"/>
          <w:szCs w:val="28"/>
        </w:rPr>
        <w:t>262.5</w:t>
      </w:r>
      <w:r>
        <w:rPr>
          <w:rFonts w:ascii="Arial" w:eastAsia="仿宋_GB2312;仿宋" w:hAnsi="Arial" w:cs="Arial"/>
          <w:bCs/>
          <w:color w:val="000000"/>
          <w:sz w:val="28"/>
          <w:szCs w:val="28"/>
        </w:rPr>
        <w:t>万人，占全市常住人口的比重为</w:t>
      </w:r>
      <w:r>
        <w:rPr>
          <w:rFonts w:ascii="Arial" w:eastAsia="仿宋_GB2312;仿宋" w:hAnsi="Arial" w:cs="Arial"/>
          <w:bCs/>
          <w:color w:val="000000"/>
          <w:sz w:val="28"/>
          <w:szCs w:val="28"/>
        </w:rPr>
        <w:t>12.0%</w:t>
      </w:r>
      <w:r>
        <w:rPr>
          <w:rFonts w:ascii="Arial" w:eastAsia="仿宋_GB2312;仿宋" w:hAnsi="Arial" w:cs="Arial"/>
          <w:bCs/>
          <w:color w:val="000000"/>
          <w:sz w:val="28"/>
          <w:szCs w:val="28"/>
        </w:rPr>
        <w:t>；</w:t>
      </w:r>
      <w:r>
        <w:rPr>
          <w:rFonts w:ascii="Arial" w:eastAsia="仿宋_GB2312;仿宋" w:hAnsi="Arial" w:cs="Arial"/>
          <w:bCs/>
          <w:color w:val="000000"/>
          <w:sz w:val="28"/>
          <w:szCs w:val="28"/>
        </w:rPr>
        <w:t>15-59</w:t>
      </w:r>
      <w:r>
        <w:rPr>
          <w:rFonts w:ascii="Arial" w:eastAsia="仿宋_GB2312;仿宋" w:hAnsi="Arial" w:cs="Arial"/>
          <w:bCs/>
          <w:color w:val="000000"/>
          <w:sz w:val="28"/>
          <w:szCs w:val="28"/>
        </w:rPr>
        <w:t>岁常住人口</w:t>
      </w:r>
      <w:r>
        <w:rPr>
          <w:rFonts w:ascii="Arial" w:eastAsia="仿宋_GB2312;仿宋" w:hAnsi="Arial" w:cs="Arial"/>
          <w:bCs/>
          <w:color w:val="000000"/>
          <w:sz w:val="28"/>
          <w:szCs w:val="28"/>
        </w:rPr>
        <w:t>1428.5</w:t>
      </w:r>
      <w:r>
        <w:rPr>
          <w:rFonts w:ascii="Arial" w:eastAsia="仿宋_GB2312;仿宋" w:hAnsi="Arial" w:cs="Arial"/>
          <w:bCs/>
          <w:color w:val="000000"/>
          <w:sz w:val="28"/>
          <w:szCs w:val="28"/>
        </w:rPr>
        <w:t>万人，占</w:t>
      </w:r>
      <w:r>
        <w:rPr>
          <w:rFonts w:ascii="Arial" w:eastAsia="仿宋_GB2312;仿宋" w:hAnsi="Arial" w:cs="Arial"/>
          <w:bCs/>
          <w:color w:val="000000"/>
          <w:sz w:val="28"/>
          <w:szCs w:val="28"/>
        </w:rPr>
        <w:t>65.4%</w:t>
      </w:r>
      <w:r>
        <w:rPr>
          <w:rFonts w:ascii="Arial" w:eastAsia="仿宋_GB2312;仿宋" w:hAnsi="Arial" w:cs="Arial"/>
          <w:bCs/>
          <w:color w:val="000000"/>
          <w:sz w:val="28"/>
          <w:szCs w:val="28"/>
        </w:rPr>
        <w:t>；</w:t>
      </w:r>
      <w:r>
        <w:rPr>
          <w:rFonts w:ascii="Arial" w:eastAsia="仿宋_GB2312;仿宋" w:hAnsi="Arial" w:cs="Arial"/>
          <w:bCs/>
          <w:color w:val="000000"/>
          <w:sz w:val="28"/>
          <w:szCs w:val="28"/>
        </w:rPr>
        <w:t>60</w:t>
      </w:r>
      <w:r>
        <w:rPr>
          <w:rFonts w:ascii="Arial" w:eastAsia="仿宋_GB2312;仿宋" w:hAnsi="Arial" w:cs="Arial"/>
          <w:bCs/>
          <w:color w:val="000000"/>
          <w:sz w:val="28"/>
          <w:szCs w:val="28"/>
        </w:rPr>
        <w:t>岁及以上常住人口</w:t>
      </w:r>
      <w:r>
        <w:rPr>
          <w:rFonts w:ascii="Arial" w:eastAsia="仿宋_GB2312;仿宋" w:hAnsi="Arial" w:cs="Arial"/>
          <w:bCs/>
          <w:color w:val="000000"/>
          <w:sz w:val="28"/>
          <w:szCs w:val="28"/>
        </w:rPr>
        <w:t>494.8</w:t>
      </w:r>
      <w:r>
        <w:rPr>
          <w:rFonts w:ascii="Arial" w:eastAsia="仿宋_GB2312;仿宋" w:hAnsi="Arial" w:cs="Arial"/>
          <w:bCs/>
          <w:color w:val="000000"/>
          <w:sz w:val="28"/>
          <w:szCs w:val="28"/>
        </w:rPr>
        <w:t>万人，占</w:t>
      </w:r>
      <w:r>
        <w:rPr>
          <w:rFonts w:ascii="Arial" w:eastAsia="仿宋_GB2312;仿宋" w:hAnsi="Arial" w:cs="Arial"/>
          <w:bCs/>
          <w:color w:val="000000"/>
          <w:sz w:val="28"/>
          <w:szCs w:val="28"/>
        </w:rPr>
        <w:t>22.6%</w:t>
      </w:r>
      <w:r>
        <w:rPr>
          <w:rFonts w:ascii="Arial" w:eastAsia="仿宋_GB2312;仿宋" w:hAnsi="Arial" w:cs="Arial"/>
          <w:bCs/>
          <w:color w:val="000000"/>
          <w:sz w:val="28"/>
          <w:szCs w:val="28"/>
        </w:rPr>
        <w:t>。</w:t>
      </w:r>
    </w:p>
    <w:p w14:paraId="24DF929C" w14:textId="77777777" w:rsidR="00E70101" w:rsidRDefault="0060680B">
      <w:pPr>
        <w:overflowPunct w:val="0"/>
        <w:spacing w:line="360" w:lineRule="auto"/>
        <w:jc w:val="center"/>
        <w:rPr>
          <w:rFonts w:ascii="Arial" w:eastAsia="仿宋_GB2312;仿宋" w:hAnsi="Arial" w:cs="Arial"/>
          <w:b/>
          <w:bCs/>
          <w:color w:val="000000"/>
          <w:szCs w:val="24"/>
        </w:rPr>
      </w:pPr>
      <w:r>
        <w:rPr>
          <w:rFonts w:ascii="Arial" w:eastAsia="仿宋_GB2312;仿宋" w:hAnsi="Arial" w:cs="Arial"/>
          <w:b/>
          <w:bCs/>
          <w:color w:val="000000"/>
          <w:szCs w:val="24"/>
        </w:rPr>
        <w:t>2019-2023</w:t>
      </w:r>
      <w:r>
        <w:rPr>
          <w:rFonts w:ascii="Arial" w:eastAsia="仿宋_GB2312;仿宋" w:hAnsi="Arial" w:cs="Arial"/>
          <w:b/>
          <w:bCs/>
          <w:color w:val="000000"/>
          <w:szCs w:val="24"/>
        </w:rPr>
        <w:t>年常住人口增量及增长速度</w:t>
      </w:r>
    </w:p>
    <w:p w14:paraId="30082E42" w14:textId="77777777" w:rsidR="00E70101" w:rsidRDefault="0060680B">
      <w:pPr>
        <w:spacing w:line="360" w:lineRule="auto"/>
        <w:jc w:val="center"/>
        <w:outlineLvl w:val="0"/>
        <w:rPr>
          <w:rFonts w:ascii="Arial" w:eastAsia="仿宋_GB2312;仿宋" w:hAnsi="Arial" w:cs="Arial"/>
          <w:bCs/>
          <w:color w:val="000000"/>
          <w:sz w:val="28"/>
          <w:szCs w:val="28"/>
        </w:rPr>
      </w:pPr>
      <w:r>
        <w:rPr>
          <w:noProof/>
        </w:rPr>
        <w:drawing>
          <wp:inline distT="0" distB="0" distL="0" distR="0" wp14:anchorId="3A1B0ACD" wp14:editId="3A7A2CBF">
            <wp:extent cx="5905500" cy="2027555"/>
            <wp:effectExtent l="0" t="0" r="0" b="0"/>
            <wp:docPr id="25" name="图像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像4"/>
                    <pic:cNvPicPr>
                      <a:picLocks noChangeAspect="1" noChangeArrowheads="1"/>
                    </pic:cNvPicPr>
                  </pic:nvPicPr>
                  <pic:blipFill>
                    <a:blip r:embed="rId27"/>
                    <a:srcRect l="-6" t="-17" r="-6" b="-17"/>
                    <a:stretch>
                      <a:fillRect/>
                    </a:stretch>
                  </pic:blipFill>
                  <pic:spPr bwMode="auto">
                    <a:xfrm>
                      <a:off x="0" y="0"/>
                      <a:ext cx="5905500" cy="2027555"/>
                    </a:xfrm>
                    <a:prstGeom prst="rect">
                      <a:avLst/>
                    </a:prstGeom>
                  </pic:spPr>
                </pic:pic>
              </a:graphicData>
            </a:graphic>
          </wp:inline>
        </w:drawing>
      </w:r>
    </w:p>
    <w:p w14:paraId="44E36DAC" w14:textId="77777777" w:rsidR="00E70101" w:rsidRDefault="0060680B">
      <w:pPr>
        <w:spacing w:line="360" w:lineRule="auto"/>
        <w:ind w:firstLine="562"/>
        <w:jc w:val="both"/>
        <w:outlineLvl w:val="0"/>
      </w:pPr>
      <w:r>
        <w:rPr>
          <w:rFonts w:ascii="仿宋_GB2312;仿宋" w:eastAsia="仿宋_GB2312;仿宋" w:hAnsi="仿宋_GB2312;仿宋"/>
          <w:b/>
          <w:bCs/>
          <w:color w:val="000000"/>
          <w:sz w:val="28"/>
          <w:szCs w:val="28"/>
        </w:rPr>
        <w:t>城市面积：</w:t>
      </w:r>
      <w:r>
        <w:rPr>
          <w:rFonts w:ascii="Arial" w:eastAsia="仿宋" w:hAnsi="Arial" w:cs="Arial"/>
          <w:color w:val="000000"/>
          <w:kern w:val="2"/>
          <w:sz w:val="28"/>
          <w:szCs w:val="28"/>
        </w:rPr>
        <w:t>北京市下辖</w:t>
      </w:r>
      <w:r>
        <w:rPr>
          <w:rFonts w:ascii="Arial" w:eastAsia="仿宋" w:hAnsi="Arial" w:cs="Arial"/>
          <w:color w:val="000000"/>
          <w:kern w:val="2"/>
          <w:sz w:val="28"/>
          <w:szCs w:val="28"/>
        </w:rPr>
        <w:t>16</w:t>
      </w:r>
      <w:r>
        <w:rPr>
          <w:rFonts w:ascii="Arial" w:eastAsia="仿宋" w:hAnsi="Arial" w:cs="Arial"/>
          <w:color w:val="000000"/>
          <w:kern w:val="2"/>
          <w:sz w:val="28"/>
          <w:szCs w:val="28"/>
        </w:rPr>
        <w:t>个区（</w:t>
      </w:r>
      <w:r>
        <w:rPr>
          <w:rFonts w:ascii="Arial" w:eastAsia="仿宋_GB2312;仿宋" w:hAnsi="Arial" w:cs="Arial"/>
          <w:bCs/>
          <w:color w:val="000000"/>
          <w:sz w:val="28"/>
          <w:szCs w:val="28"/>
        </w:rPr>
        <w:t>即东城、西城、海淀、朝阳、丰台、顺义、昌平、通州、门头沟、石景山、房山、大兴、怀柔、平谷、密云、延庆</w:t>
      </w:r>
      <w:r>
        <w:rPr>
          <w:rFonts w:ascii="Arial" w:eastAsia="仿宋" w:hAnsi="Arial" w:cs="Arial"/>
          <w:color w:val="000000"/>
          <w:kern w:val="2"/>
          <w:sz w:val="28"/>
          <w:szCs w:val="28"/>
        </w:rPr>
        <w:t>），行政辖区总面积为</w:t>
      </w:r>
      <w:r>
        <w:rPr>
          <w:rFonts w:ascii="Arial" w:eastAsia="仿宋" w:hAnsi="Arial" w:cs="Arial"/>
          <w:color w:val="000000"/>
          <w:kern w:val="2"/>
          <w:sz w:val="28"/>
          <w:szCs w:val="28"/>
        </w:rPr>
        <w:t>16410</w:t>
      </w:r>
      <w:r>
        <w:rPr>
          <w:rFonts w:ascii="Arial" w:eastAsia="仿宋" w:hAnsi="Arial" w:cs="Arial"/>
          <w:color w:val="000000"/>
          <w:kern w:val="2"/>
          <w:sz w:val="28"/>
          <w:szCs w:val="28"/>
        </w:rPr>
        <w:t>平方公里。</w:t>
      </w:r>
    </w:p>
    <w:p w14:paraId="63F33533" w14:textId="77777777" w:rsidR="00E70101" w:rsidRDefault="0060680B">
      <w:pPr>
        <w:spacing w:line="360" w:lineRule="auto"/>
        <w:ind w:firstLine="562"/>
        <w:jc w:val="both"/>
        <w:outlineLvl w:val="0"/>
        <w:rPr>
          <w:rFonts w:ascii="Arial" w:eastAsia="仿宋" w:hAnsi="Arial" w:cs="Arial"/>
          <w:color w:val="000000"/>
          <w:kern w:val="2"/>
          <w:sz w:val="28"/>
          <w:szCs w:val="28"/>
        </w:rPr>
      </w:pPr>
      <w:r>
        <w:rPr>
          <w:rFonts w:ascii="仿宋_GB2312;仿宋" w:eastAsia="仿宋_GB2312;仿宋" w:hAnsi="仿宋_GB2312;仿宋"/>
          <w:b/>
          <w:bCs/>
          <w:color w:val="000000"/>
          <w:sz w:val="28"/>
          <w:szCs w:val="28"/>
        </w:rPr>
        <w:t>城市自然条件：</w:t>
      </w:r>
      <w:r>
        <w:rPr>
          <w:rFonts w:ascii="Arial" w:eastAsia="仿宋" w:hAnsi="Arial" w:cs="Arial"/>
          <w:color w:val="000000"/>
          <w:kern w:val="2"/>
          <w:sz w:val="28"/>
          <w:szCs w:val="28"/>
        </w:rPr>
        <w:t>北京气候属暖温带半湿润半干旱季风气候，夏季高温多雨，冬季寒冷干燥，春、秋短促。全年无霜期</w:t>
      </w:r>
      <w:r>
        <w:rPr>
          <w:rFonts w:ascii="Arial" w:eastAsia="仿宋" w:hAnsi="Arial" w:cs="Arial"/>
          <w:color w:val="000000"/>
          <w:kern w:val="2"/>
          <w:sz w:val="28"/>
          <w:szCs w:val="28"/>
        </w:rPr>
        <w:t>180</w:t>
      </w:r>
      <w:r>
        <w:rPr>
          <w:rFonts w:ascii="Arial" w:eastAsia="仿宋" w:hAnsi="Arial" w:cs="Arial"/>
          <w:color w:val="000000"/>
          <w:kern w:val="2"/>
          <w:sz w:val="28"/>
          <w:szCs w:val="28"/>
        </w:rPr>
        <w:t>～</w:t>
      </w:r>
      <w:r>
        <w:rPr>
          <w:rFonts w:ascii="Arial" w:eastAsia="仿宋" w:hAnsi="Arial" w:cs="Arial"/>
          <w:color w:val="000000"/>
          <w:kern w:val="2"/>
          <w:sz w:val="28"/>
          <w:szCs w:val="28"/>
        </w:rPr>
        <w:t>200</w:t>
      </w:r>
      <w:r>
        <w:rPr>
          <w:rFonts w:ascii="Arial" w:eastAsia="仿宋" w:hAnsi="Arial" w:cs="Arial"/>
          <w:color w:val="000000"/>
          <w:kern w:val="2"/>
          <w:sz w:val="28"/>
          <w:szCs w:val="28"/>
        </w:rPr>
        <w:t>天，西部山区较短。地势西北高、东南低。西部、北部和东北部三面环山，东南部是一片缓缓向渤海倾斜的平原。北京市天然河道自西向东贯穿五大水系：拒马河水系、永定河水系、北运河水系、潮白河水系和蓟运河水系。多由西北部山地发源，向东南蜿蜒流经平原地区，最后分别在海河汇入渤海（蓟运河除外）。北京市有水库</w:t>
      </w:r>
      <w:r>
        <w:rPr>
          <w:rFonts w:ascii="Arial" w:eastAsia="仿宋" w:hAnsi="Arial" w:cs="Arial"/>
          <w:color w:val="000000"/>
          <w:kern w:val="2"/>
          <w:sz w:val="28"/>
          <w:szCs w:val="28"/>
        </w:rPr>
        <w:t>85</w:t>
      </w:r>
      <w:r>
        <w:rPr>
          <w:rFonts w:ascii="Arial" w:eastAsia="仿宋" w:hAnsi="Arial" w:cs="Arial"/>
          <w:color w:val="000000"/>
          <w:kern w:val="2"/>
          <w:sz w:val="28"/>
          <w:szCs w:val="28"/>
        </w:rPr>
        <w:t>座，其中大型水库有密云水库、官厅水库、怀柔水库、海子水库。北京市地下水多年平均补给量约为</w:t>
      </w:r>
      <w:r>
        <w:rPr>
          <w:rFonts w:ascii="Arial" w:eastAsia="仿宋" w:hAnsi="Arial" w:cs="Arial"/>
          <w:color w:val="000000"/>
          <w:kern w:val="2"/>
          <w:sz w:val="28"/>
          <w:szCs w:val="28"/>
        </w:rPr>
        <w:t>29.21</w:t>
      </w:r>
      <w:r>
        <w:rPr>
          <w:rFonts w:ascii="Arial" w:eastAsia="仿宋" w:hAnsi="Arial" w:cs="Arial"/>
          <w:color w:val="000000"/>
          <w:kern w:val="2"/>
          <w:sz w:val="28"/>
          <w:szCs w:val="28"/>
        </w:rPr>
        <w:t>亿立方米，平均年可开采量约</w:t>
      </w:r>
      <w:r>
        <w:rPr>
          <w:rFonts w:ascii="Arial" w:eastAsia="仿宋" w:hAnsi="Arial" w:cs="Arial"/>
          <w:color w:val="000000"/>
          <w:kern w:val="2"/>
          <w:sz w:val="28"/>
          <w:szCs w:val="28"/>
        </w:rPr>
        <w:t>24~25</w:t>
      </w:r>
      <w:r>
        <w:rPr>
          <w:rFonts w:ascii="Arial" w:eastAsia="仿宋" w:hAnsi="Arial" w:cs="Arial"/>
          <w:color w:val="000000"/>
          <w:kern w:val="2"/>
          <w:sz w:val="28"/>
          <w:szCs w:val="28"/>
        </w:rPr>
        <w:t>亿立方米。一次性天然水资源年平均总量为</w:t>
      </w:r>
      <w:r>
        <w:rPr>
          <w:rFonts w:ascii="Arial" w:eastAsia="仿宋" w:hAnsi="Arial" w:cs="Arial"/>
          <w:color w:val="000000"/>
          <w:kern w:val="2"/>
          <w:sz w:val="28"/>
          <w:szCs w:val="28"/>
        </w:rPr>
        <w:t>55.21</w:t>
      </w:r>
      <w:r>
        <w:rPr>
          <w:rFonts w:ascii="Arial" w:eastAsia="仿宋" w:hAnsi="Arial" w:cs="Arial"/>
          <w:color w:val="000000"/>
          <w:kern w:val="2"/>
          <w:sz w:val="28"/>
          <w:szCs w:val="28"/>
        </w:rPr>
        <w:t>亿立方米。</w:t>
      </w:r>
    </w:p>
    <w:p w14:paraId="044CDDF1" w14:textId="77777777" w:rsidR="00E70101" w:rsidRDefault="0060680B">
      <w:pPr>
        <w:widowControl/>
        <w:spacing w:line="360" w:lineRule="auto"/>
        <w:ind w:firstLine="562"/>
        <w:jc w:val="both"/>
        <w:rPr>
          <w:rFonts w:ascii="Arial" w:eastAsia="仿宋" w:hAnsi="Arial" w:cs="Arial"/>
          <w:color w:val="000000"/>
          <w:kern w:val="2"/>
          <w:sz w:val="28"/>
          <w:szCs w:val="28"/>
        </w:rPr>
      </w:pPr>
      <w:r>
        <w:rPr>
          <w:rFonts w:ascii="仿宋_GB2312;仿宋" w:eastAsia="仿宋_GB2312;仿宋" w:hAnsi="仿宋_GB2312;仿宋"/>
          <w:b/>
          <w:bCs/>
          <w:color w:val="000000"/>
          <w:sz w:val="28"/>
          <w:szCs w:val="28"/>
        </w:rPr>
        <w:t>土地利用状况：</w:t>
      </w:r>
      <w:r>
        <w:rPr>
          <w:rFonts w:ascii="Arial" w:eastAsia="仿宋" w:hAnsi="Arial" w:cs="Arial"/>
          <w:color w:val="000000"/>
          <w:kern w:val="2"/>
          <w:sz w:val="28"/>
          <w:szCs w:val="28"/>
        </w:rPr>
        <w:t>2021</w:t>
      </w:r>
      <w:r>
        <w:rPr>
          <w:rFonts w:ascii="Arial" w:eastAsia="仿宋" w:hAnsi="Arial" w:cs="Arial"/>
          <w:color w:val="000000"/>
          <w:kern w:val="2"/>
          <w:sz w:val="28"/>
          <w:szCs w:val="28"/>
        </w:rPr>
        <w:t>年</w:t>
      </w:r>
      <w:r>
        <w:rPr>
          <w:rFonts w:ascii="Arial" w:eastAsia="仿宋" w:hAnsi="Arial" w:cs="Arial"/>
          <w:color w:val="000000"/>
          <w:kern w:val="2"/>
          <w:sz w:val="28"/>
          <w:szCs w:val="28"/>
        </w:rPr>
        <w:t>11</w:t>
      </w:r>
      <w:r>
        <w:rPr>
          <w:rFonts w:ascii="Arial" w:eastAsia="仿宋" w:hAnsi="Arial" w:cs="Arial"/>
          <w:color w:val="000000"/>
          <w:kern w:val="2"/>
          <w:sz w:val="28"/>
          <w:szCs w:val="28"/>
        </w:rPr>
        <w:t>月</w:t>
      </w:r>
      <w:r>
        <w:rPr>
          <w:rFonts w:ascii="Arial" w:eastAsia="仿宋" w:hAnsi="Arial" w:cs="Arial"/>
          <w:color w:val="000000"/>
          <w:kern w:val="2"/>
          <w:sz w:val="28"/>
          <w:szCs w:val="28"/>
        </w:rPr>
        <w:t>5</w:t>
      </w:r>
      <w:r>
        <w:rPr>
          <w:rFonts w:ascii="Arial" w:eastAsia="仿宋" w:hAnsi="Arial" w:cs="Arial"/>
          <w:color w:val="000000"/>
          <w:kern w:val="2"/>
          <w:sz w:val="28"/>
          <w:szCs w:val="28"/>
        </w:rPr>
        <w:t>日，北京市发布第三次全国国土调查主要数据公报。数据显示，北京市现有耕地</w:t>
      </w:r>
      <w:r>
        <w:rPr>
          <w:rFonts w:ascii="Arial" w:eastAsia="仿宋" w:hAnsi="Arial" w:cs="Arial"/>
          <w:color w:val="000000"/>
          <w:kern w:val="2"/>
          <w:sz w:val="28"/>
          <w:szCs w:val="28"/>
        </w:rPr>
        <w:t>93547.9</w:t>
      </w:r>
      <w:r>
        <w:rPr>
          <w:rFonts w:ascii="Arial" w:eastAsia="仿宋" w:hAnsi="Arial" w:cs="Arial"/>
          <w:color w:val="000000"/>
          <w:kern w:val="2"/>
          <w:sz w:val="28"/>
          <w:szCs w:val="28"/>
        </w:rPr>
        <w:t>公顷（</w:t>
      </w:r>
      <w:r>
        <w:rPr>
          <w:rFonts w:ascii="Arial" w:eastAsia="仿宋" w:hAnsi="Arial" w:cs="Arial"/>
          <w:color w:val="000000"/>
          <w:kern w:val="2"/>
          <w:sz w:val="28"/>
          <w:szCs w:val="28"/>
        </w:rPr>
        <w:t>1403218.5</w:t>
      </w:r>
      <w:r>
        <w:rPr>
          <w:rFonts w:ascii="Arial" w:eastAsia="仿宋" w:hAnsi="Arial" w:cs="Arial"/>
          <w:color w:val="000000"/>
          <w:kern w:val="2"/>
          <w:sz w:val="28"/>
          <w:szCs w:val="28"/>
        </w:rPr>
        <w:t>亩）、园地</w:t>
      </w:r>
      <w:r>
        <w:rPr>
          <w:rFonts w:ascii="Arial" w:eastAsia="仿宋" w:hAnsi="Arial" w:cs="Arial"/>
          <w:color w:val="000000"/>
          <w:kern w:val="2"/>
          <w:sz w:val="28"/>
          <w:szCs w:val="28"/>
        </w:rPr>
        <w:t>126274.55</w:t>
      </w:r>
      <w:r>
        <w:rPr>
          <w:rFonts w:ascii="Arial" w:eastAsia="仿宋" w:hAnsi="Arial" w:cs="Arial"/>
          <w:color w:val="000000"/>
          <w:kern w:val="2"/>
          <w:sz w:val="28"/>
          <w:szCs w:val="28"/>
        </w:rPr>
        <w:t>公顷（</w:t>
      </w:r>
      <w:r>
        <w:rPr>
          <w:rFonts w:ascii="Arial" w:eastAsia="仿宋" w:hAnsi="Arial" w:cs="Arial"/>
          <w:color w:val="000000"/>
          <w:kern w:val="2"/>
          <w:sz w:val="28"/>
          <w:szCs w:val="28"/>
        </w:rPr>
        <w:t>1894118.25</w:t>
      </w:r>
      <w:r>
        <w:rPr>
          <w:rFonts w:ascii="Arial" w:eastAsia="仿宋" w:hAnsi="Arial" w:cs="Arial"/>
          <w:color w:val="000000"/>
          <w:kern w:val="2"/>
          <w:sz w:val="28"/>
          <w:szCs w:val="28"/>
        </w:rPr>
        <w:t>亩）、林地</w:t>
      </w:r>
      <w:r>
        <w:rPr>
          <w:rFonts w:ascii="Arial" w:eastAsia="仿宋" w:hAnsi="Arial" w:cs="Arial"/>
          <w:color w:val="000000"/>
          <w:kern w:val="2"/>
          <w:sz w:val="28"/>
          <w:szCs w:val="28"/>
        </w:rPr>
        <w:t>967628.62</w:t>
      </w:r>
      <w:r>
        <w:rPr>
          <w:rFonts w:ascii="Arial" w:eastAsia="仿宋" w:hAnsi="Arial" w:cs="Arial"/>
          <w:color w:val="000000"/>
          <w:kern w:val="2"/>
          <w:sz w:val="28"/>
          <w:szCs w:val="28"/>
        </w:rPr>
        <w:t>公顷（</w:t>
      </w:r>
      <w:r>
        <w:rPr>
          <w:rFonts w:ascii="Arial" w:eastAsia="仿宋" w:hAnsi="Arial" w:cs="Arial"/>
          <w:color w:val="000000"/>
          <w:kern w:val="2"/>
          <w:sz w:val="28"/>
          <w:szCs w:val="28"/>
        </w:rPr>
        <w:t>14514429.3</w:t>
      </w:r>
      <w:r>
        <w:rPr>
          <w:rFonts w:ascii="Arial" w:eastAsia="仿宋" w:hAnsi="Arial" w:cs="Arial"/>
          <w:color w:val="000000"/>
          <w:kern w:val="2"/>
          <w:sz w:val="28"/>
          <w:szCs w:val="28"/>
        </w:rPr>
        <w:t>亩）、草地</w:t>
      </w:r>
      <w:r>
        <w:rPr>
          <w:rFonts w:ascii="Arial" w:eastAsia="仿宋" w:hAnsi="Arial" w:cs="Arial"/>
          <w:color w:val="000000"/>
          <w:kern w:val="2"/>
          <w:sz w:val="28"/>
          <w:szCs w:val="28"/>
        </w:rPr>
        <w:t>14460.44</w:t>
      </w:r>
      <w:r>
        <w:rPr>
          <w:rFonts w:ascii="Arial" w:eastAsia="仿宋" w:hAnsi="Arial" w:cs="Arial"/>
          <w:color w:val="000000"/>
          <w:kern w:val="2"/>
          <w:sz w:val="28"/>
          <w:szCs w:val="28"/>
        </w:rPr>
        <w:t>公顷（</w:t>
      </w:r>
      <w:r>
        <w:rPr>
          <w:rFonts w:ascii="Arial" w:eastAsia="仿宋" w:hAnsi="Arial" w:cs="Arial"/>
          <w:color w:val="000000"/>
          <w:kern w:val="2"/>
          <w:sz w:val="28"/>
          <w:szCs w:val="28"/>
        </w:rPr>
        <w:t>216906.6</w:t>
      </w:r>
      <w:r>
        <w:rPr>
          <w:rFonts w:ascii="Arial" w:eastAsia="仿宋" w:hAnsi="Arial" w:cs="Arial"/>
          <w:color w:val="000000"/>
          <w:kern w:val="2"/>
          <w:sz w:val="28"/>
          <w:szCs w:val="28"/>
        </w:rPr>
        <w:t>亩）、湿地</w:t>
      </w:r>
      <w:r>
        <w:rPr>
          <w:rFonts w:ascii="Arial" w:eastAsia="仿宋" w:hAnsi="Arial" w:cs="Arial"/>
          <w:color w:val="000000"/>
          <w:kern w:val="2"/>
          <w:sz w:val="28"/>
          <w:szCs w:val="28"/>
        </w:rPr>
        <w:t>3107.98</w:t>
      </w:r>
      <w:r>
        <w:rPr>
          <w:rFonts w:ascii="Arial" w:eastAsia="仿宋" w:hAnsi="Arial" w:cs="Arial"/>
          <w:color w:val="000000"/>
          <w:kern w:val="2"/>
          <w:sz w:val="28"/>
          <w:szCs w:val="28"/>
        </w:rPr>
        <w:t>公顷（</w:t>
      </w:r>
      <w:r>
        <w:rPr>
          <w:rFonts w:ascii="Arial" w:eastAsia="仿宋" w:hAnsi="Arial" w:cs="Arial"/>
          <w:color w:val="000000"/>
          <w:kern w:val="2"/>
          <w:sz w:val="28"/>
          <w:szCs w:val="28"/>
        </w:rPr>
        <w:t>46619.7</w:t>
      </w:r>
      <w:r>
        <w:rPr>
          <w:rFonts w:ascii="Arial" w:eastAsia="仿宋" w:hAnsi="Arial" w:cs="Arial"/>
          <w:color w:val="000000"/>
          <w:kern w:val="2"/>
          <w:sz w:val="28"/>
          <w:szCs w:val="28"/>
        </w:rPr>
        <w:t>亩）、城镇村及工矿用地</w:t>
      </w:r>
      <w:r>
        <w:rPr>
          <w:rFonts w:ascii="Arial" w:eastAsia="仿宋" w:hAnsi="Arial" w:cs="Arial"/>
          <w:color w:val="000000"/>
          <w:kern w:val="2"/>
          <w:sz w:val="28"/>
          <w:szCs w:val="28"/>
        </w:rPr>
        <w:t>313643.87</w:t>
      </w:r>
      <w:r>
        <w:rPr>
          <w:rFonts w:ascii="Arial" w:eastAsia="仿宋" w:hAnsi="Arial" w:cs="Arial"/>
          <w:color w:val="000000"/>
          <w:kern w:val="2"/>
          <w:sz w:val="28"/>
          <w:szCs w:val="28"/>
        </w:rPr>
        <w:t>公顷（</w:t>
      </w:r>
      <w:r>
        <w:rPr>
          <w:rFonts w:ascii="Arial" w:eastAsia="仿宋" w:hAnsi="Arial" w:cs="Arial"/>
          <w:color w:val="000000"/>
          <w:kern w:val="2"/>
          <w:sz w:val="28"/>
          <w:szCs w:val="28"/>
        </w:rPr>
        <w:t>4704658.05</w:t>
      </w:r>
      <w:r>
        <w:rPr>
          <w:rFonts w:ascii="Arial" w:eastAsia="仿宋" w:hAnsi="Arial" w:cs="Arial"/>
          <w:color w:val="000000"/>
          <w:kern w:val="2"/>
          <w:sz w:val="28"/>
          <w:szCs w:val="28"/>
        </w:rPr>
        <w:t>亩）、交通运输用地</w:t>
      </w:r>
      <w:r>
        <w:rPr>
          <w:rFonts w:ascii="Arial" w:eastAsia="仿宋" w:hAnsi="Arial" w:cs="Arial"/>
          <w:color w:val="000000"/>
          <w:kern w:val="2"/>
          <w:sz w:val="28"/>
          <w:szCs w:val="28"/>
        </w:rPr>
        <w:t>49281.38</w:t>
      </w:r>
      <w:r>
        <w:rPr>
          <w:rFonts w:ascii="Arial" w:eastAsia="仿宋" w:hAnsi="Arial" w:cs="Arial"/>
          <w:color w:val="000000"/>
          <w:kern w:val="2"/>
          <w:sz w:val="28"/>
          <w:szCs w:val="28"/>
        </w:rPr>
        <w:t>公顷（</w:t>
      </w:r>
      <w:r>
        <w:rPr>
          <w:rFonts w:ascii="Arial" w:eastAsia="仿宋" w:hAnsi="Arial" w:cs="Arial"/>
          <w:color w:val="000000"/>
          <w:kern w:val="2"/>
          <w:sz w:val="28"/>
          <w:szCs w:val="28"/>
        </w:rPr>
        <w:t>739220.7</w:t>
      </w:r>
      <w:r>
        <w:rPr>
          <w:rFonts w:ascii="Arial" w:eastAsia="仿宋" w:hAnsi="Arial" w:cs="Arial"/>
          <w:color w:val="000000"/>
          <w:kern w:val="2"/>
          <w:sz w:val="28"/>
          <w:szCs w:val="28"/>
        </w:rPr>
        <w:t>亩）、水域及水利设施用地</w:t>
      </w:r>
      <w:r>
        <w:rPr>
          <w:rFonts w:ascii="Arial" w:eastAsia="仿宋" w:hAnsi="Arial" w:cs="Arial"/>
          <w:color w:val="000000"/>
          <w:kern w:val="2"/>
          <w:sz w:val="28"/>
          <w:szCs w:val="28"/>
        </w:rPr>
        <w:t>61704</w:t>
      </w:r>
      <w:r>
        <w:rPr>
          <w:rFonts w:ascii="Arial" w:eastAsia="仿宋" w:hAnsi="Arial" w:cs="Arial"/>
          <w:color w:val="000000"/>
          <w:kern w:val="2"/>
          <w:sz w:val="28"/>
          <w:szCs w:val="28"/>
        </w:rPr>
        <w:t>公顷（</w:t>
      </w:r>
      <w:r>
        <w:rPr>
          <w:rFonts w:ascii="Arial" w:eastAsia="仿宋" w:hAnsi="Arial" w:cs="Arial"/>
          <w:color w:val="000000"/>
          <w:kern w:val="2"/>
          <w:sz w:val="28"/>
          <w:szCs w:val="28"/>
        </w:rPr>
        <w:t>925560</w:t>
      </w:r>
      <w:r>
        <w:rPr>
          <w:rFonts w:ascii="Arial" w:eastAsia="仿宋" w:hAnsi="Arial" w:cs="Arial"/>
          <w:color w:val="000000"/>
          <w:kern w:val="2"/>
          <w:sz w:val="28"/>
          <w:szCs w:val="28"/>
        </w:rPr>
        <w:t>亩），其余为其他土地。三调数据显示，北京市以林、园、水、草、湿地和公园绿地为主的生态用地逐年增加，城乡建设用地明显减少，初步实现减量目标。</w:t>
      </w:r>
    </w:p>
    <w:p w14:paraId="13EB160F" w14:textId="77777777" w:rsidR="00E70101" w:rsidRDefault="0060680B">
      <w:pPr>
        <w:spacing w:line="360" w:lineRule="auto"/>
        <w:ind w:firstLine="480"/>
        <w:jc w:val="both"/>
        <w:outlineLvl w:val="0"/>
        <w:rPr>
          <w:rFonts w:ascii="Arial" w:eastAsia="仿宋_GB2312;仿宋" w:hAnsi="Arial" w:cs="Arial"/>
          <w:bCs/>
          <w:color w:val="000000"/>
          <w:sz w:val="28"/>
          <w:szCs w:val="28"/>
        </w:rPr>
      </w:pPr>
      <w:r>
        <w:rPr>
          <w:noProof/>
        </w:rPr>
        <w:drawing>
          <wp:inline distT="0" distB="0" distL="0" distR="0" wp14:anchorId="7C135FCB" wp14:editId="0E4EE8BC">
            <wp:extent cx="144739995" cy="3350895"/>
            <wp:effectExtent l="0" t="0" r="0" b="0"/>
            <wp:docPr id="26" name="图像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像5"/>
                    <pic:cNvPicPr>
                      <a:picLocks noChangeAspect="1" noChangeArrowheads="1"/>
                    </pic:cNvPicPr>
                  </pic:nvPicPr>
                  <pic:blipFill>
                    <a:blip r:embed="rId60"/>
                    <a:srcRect l="-7" t="-13" r="-7" b="-13"/>
                    <a:stretch>
                      <a:fillRect/>
                    </a:stretch>
                  </pic:blipFill>
                  <pic:spPr bwMode="auto">
                    <a:xfrm>
                      <a:off x="0" y="0"/>
                      <a:ext cx="144739995" cy="3350895"/>
                    </a:xfrm>
                    <a:prstGeom prst="rect">
                      <a:avLst/>
                    </a:prstGeom>
                  </pic:spPr>
                </pic:pic>
              </a:graphicData>
            </a:graphic>
          </wp:inline>
        </w:drawing>
      </w:r>
    </w:p>
    <w:p w14:paraId="3CB9F712" w14:textId="77777777" w:rsidR="00E70101" w:rsidRDefault="0060680B">
      <w:pPr>
        <w:spacing w:line="360" w:lineRule="auto"/>
        <w:ind w:right="205"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w:t>
      </w:r>
      <w:r>
        <w:rPr>
          <w:rFonts w:ascii="Arial" w:eastAsia="仿宋_GB2312;仿宋" w:hAnsi="Arial" w:cs="Arial"/>
          <w:bCs/>
          <w:color w:val="000000"/>
          <w:sz w:val="28"/>
          <w:szCs w:val="28"/>
        </w:rPr>
        <w:t>不动产制度与不动产市场状况</w:t>
      </w:r>
    </w:p>
    <w:p w14:paraId="45483B2A" w14:textId="77777777" w:rsidR="00E70101" w:rsidRDefault="0060680B">
      <w:pPr>
        <w:spacing w:line="360" w:lineRule="auto"/>
        <w:ind w:right="205"/>
        <w:jc w:val="both"/>
      </w:pPr>
      <w:r>
        <w:rPr>
          <w:rFonts w:ascii="MS Gothic;ＭＳ ゴシック" w:eastAsia="MS Gothic;ＭＳ ゴシック" w:hAnsi="MS Gothic;ＭＳ ゴシック" w:cs="MS Gothic;ＭＳ ゴシック"/>
          <w:b/>
          <w:bCs/>
          <w:color w:val="000000"/>
          <w:sz w:val="28"/>
          <w:szCs w:val="28"/>
        </w:rPr>
        <w:t xml:space="preserve">◆ </w:t>
      </w:r>
      <w:r>
        <w:rPr>
          <w:rFonts w:ascii="仿宋_GB2312;仿宋" w:eastAsia="仿宋_GB2312;仿宋" w:hAnsi="仿宋_GB2312;仿宋"/>
          <w:b/>
          <w:bCs/>
          <w:color w:val="000000"/>
          <w:sz w:val="28"/>
          <w:szCs w:val="28"/>
          <w:u w:val="single"/>
        </w:rPr>
        <w:t>土地使用制度及土地管理政策：</w:t>
      </w:r>
    </w:p>
    <w:p w14:paraId="7F129AFD"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我国当前实行土地招拍挂制度。土地招拍挂制度是国家土地资源出让、买卖的招标、拍卖、挂牌制度的简称，具体是指国家在土地出让或者买卖程序中的</w:t>
      </w:r>
      <w:r>
        <w:rPr>
          <w:rFonts w:ascii="Arial" w:eastAsia="仿宋" w:hAnsi="Arial" w:cs="Arial"/>
          <w:color w:val="000000"/>
          <w:kern w:val="2"/>
          <w:sz w:val="28"/>
          <w:szCs w:val="28"/>
        </w:rPr>
        <w:t>“</w:t>
      </w:r>
      <w:r>
        <w:rPr>
          <w:rFonts w:ascii="Arial" w:eastAsia="仿宋" w:hAnsi="Arial" w:cs="Arial"/>
          <w:color w:val="000000"/>
          <w:kern w:val="2"/>
          <w:sz w:val="28"/>
          <w:szCs w:val="28"/>
        </w:rPr>
        <w:t>招标</w:t>
      </w:r>
      <w:r>
        <w:rPr>
          <w:rFonts w:ascii="Arial" w:eastAsia="仿宋" w:hAnsi="Arial" w:cs="Arial"/>
          <w:color w:val="000000"/>
          <w:kern w:val="2"/>
          <w:sz w:val="28"/>
          <w:szCs w:val="28"/>
        </w:rPr>
        <w:t>”“</w:t>
      </w:r>
      <w:r>
        <w:rPr>
          <w:rFonts w:ascii="Arial" w:eastAsia="仿宋" w:hAnsi="Arial" w:cs="Arial"/>
          <w:color w:val="000000"/>
          <w:kern w:val="2"/>
          <w:sz w:val="28"/>
          <w:szCs w:val="28"/>
        </w:rPr>
        <w:t>拍卖</w:t>
      </w:r>
      <w:r>
        <w:rPr>
          <w:rFonts w:ascii="Arial" w:eastAsia="仿宋" w:hAnsi="Arial" w:cs="Arial"/>
          <w:color w:val="000000"/>
          <w:kern w:val="2"/>
          <w:sz w:val="28"/>
          <w:szCs w:val="28"/>
        </w:rPr>
        <w:t>”“</w:t>
      </w:r>
      <w:r>
        <w:rPr>
          <w:rFonts w:ascii="Arial" w:eastAsia="仿宋" w:hAnsi="Arial" w:cs="Arial"/>
          <w:color w:val="000000"/>
          <w:kern w:val="2"/>
          <w:sz w:val="28"/>
          <w:szCs w:val="28"/>
        </w:rPr>
        <w:t>挂牌</w:t>
      </w:r>
      <w:r>
        <w:rPr>
          <w:rFonts w:ascii="Arial" w:eastAsia="仿宋" w:hAnsi="Arial" w:cs="Arial"/>
          <w:color w:val="000000"/>
          <w:kern w:val="2"/>
          <w:sz w:val="28"/>
          <w:szCs w:val="28"/>
        </w:rPr>
        <w:t>”</w:t>
      </w:r>
      <w:r>
        <w:rPr>
          <w:rFonts w:ascii="Arial" w:eastAsia="仿宋" w:hAnsi="Arial" w:cs="Arial"/>
          <w:color w:val="000000"/>
          <w:kern w:val="2"/>
          <w:sz w:val="28"/>
          <w:szCs w:val="28"/>
        </w:rPr>
        <w:t>交易的政策或规定。</w:t>
      </w:r>
      <w:r>
        <w:rPr>
          <w:rFonts w:ascii="Arial" w:eastAsia="仿宋" w:hAnsi="Arial" w:cs="Arial"/>
          <w:color w:val="000000"/>
          <w:kern w:val="2"/>
          <w:sz w:val="28"/>
          <w:szCs w:val="28"/>
        </w:rPr>
        <w:t>2004</w:t>
      </w:r>
      <w:r>
        <w:rPr>
          <w:rFonts w:ascii="Arial" w:eastAsia="仿宋" w:hAnsi="Arial" w:cs="Arial"/>
          <w:color w:val="000000"/>
          <w:kern w:val="2"/>
          <w:sz w:val="28"/>
          <w:szCs w:val="28"/>
        </w:rPr>
        <w:t>年，国土资源部颁布第</w:t>
      </w:r>
      <w:r>
        <w:rPr>
          <w:rFonts w:ascii="Arial" w:eastAsia="仿宋" w:hAnsi="Arial" w:cs="Arial"/>
          <w:color w:val="000000"/>
          <w:kern w:val="2"/>
          <w:sz w:val="28"/>
          <w:szCs w:val="28"/>
        </w:rPr>
        <w:t>71</w:t>
      </w:r>
      <w:r>
        <w:rPr>
          <w:rFonts w:ascii="Arial" w:eastAsia="仿宋" w:hAnsi="Arial" w:cs="Arial"/>
          <w:color w:val="000000"/>
          <w:kern w:val="2"/>
          <w:sz w:val="28"/>
          <w:szCs w:val="28"/>
        </w:rPr>
        <w:t>令，《关于继续开展经营性土地使用权招标拍卖挂牌出让情况执法监察工作的通知》，规定</w:t>
      </w:r>
      <w:r>
        <w:rPr>
          <w:rFonts w:ascii="Arial" w:eastAsia="仿宋" w:hAnsi="Arial" w:cs="Arial"/>
          <w:color w:val="000000"/>
          <w:kern w:val="2"/>
          <w:sz w:val="28"/>
          <w:szCs w:val="28"/>
        </w:rPr>
        <w:t>2004</w:t>
      </w:r>
      <w:r>
        <w:rPr>
          <w:rFonts w:ascii="Arial" w:eastAsia="仿宋" w:hAnsi="Arial" w:cs="Arial"/>
          <w:color w:val="000000"/>
          <w:kern w:val="2"/>
          <w:sz w:val="28"/>
          <w:szCs w:val="28"/>
        </w:rPr>
        <w:t>年</w:t>
      </w:r>
      <w:r>
        <w:rPr>
          <w:rFonts w:ascii="Arial" w:eastAsia="仿宋" w:hAnsi="Arial" w:cs="Arial"/>
          <w:color w:val="000000"/>
          <w:kern w:val="2"/>
          <w:sz w:val="28"/>
          <w:szCs w:val="28"/>
        </w:rPr>
        <w:t>8</w:t>
      </w:r>
      <w:r>
        <w:rPr>
          <w:rFonts w:ascii="Arial" w:eastAsia="仿宋" w:hAnsi="Arial" w:cs="Arial"/>
          <w:color w:val="000000"/>
          <w:kern w:val="2"/>
          <w:sz w:val="28"/>
          <w:szCs w:val="28"/>
        </w:rPr>
        <w:t>月</w:t>
      </w:r>
      <w:r>
        <w:rPr>
          <w:rFonts w:ascii="Arial" w:eastAsia="仿宋" w:hAnsi="Arial" w:cs="Arial"/>
          <w:color w:val="000000"/>
          <w:kern w:val="2"/>
          <w:sz w:val="28"/>
          <w:szCs w:val="28"/>
        </w:rPr>
        <w:t>31</w:t>
      </w:r>
      <w:r>
        <w:rPr>
          <w:rFonts w:ascii="Arial" w:eastAsia="仿宋" w:hAnsi="Arial" w:cs="Arial"/>
          <w:color w:val="000000"/>
          <w:kern w:val="2"/>
          <w:sz w:val="28"/>
          <w:szCs w:val="28"/>
        </w:rPr>
        <w:t>号以后所有经营性用地出让全部实行招拍挂制度。该方式作为我国经营性用地出让的指定方式，对规范土地市场、提高政府的对城市土地的管理水平、促进房地产市场的有序发展等方面都有着重要意义。</w:t>
      </w:r>
    </w:p>
    <w:p w14:paraId="07D0C8DC"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按照</w:t>
      </w:r>
      <w:r>
        <w:rPr>
          <w:rFonts w:ascii="Arial" w:eastAsia="仿宋" w:hAnsi="Arial" w:cs="Arial"/>
          <w:color w:val="000000"/>
          <w:kern w:val="2"/>
          <w:sz w:val="28"/>
          <w:szCs w:val="28"/>
        </w:rPr>
        <w:t>“</w:t>
      </w:r>
      <w:r>
        <w:rPr>
          <w:rFonts w:ascii="Arial" w:eastAsia="仿宋" w:hAnsi="Arial" w:cs="Arial"/>
          <w:color w:val="000000"/>
          <w:kern w:val="2"/>
          <w:sz w:val="28"/>
          <w:szCs w:val="28"/>
        </w:rPr>
        <w:t>十三五</w:t>
      </w:r>
      <w:r>
        <w:rPr>
          <w:rFonts w:ascii="Arial" w:eastAsia="仿宋" w:hAnsi="Arial" w:cs="Arial"/>
          <w:color w:val="000000"/>
          <w:kern w:val="2"/>
          <w:sz w:val="28"/>
          <w:szCs w:val="28"/>
        </w:rPr>
        <w:t>”</w:t>
      </w:r>
      <w:r>
        <w:rPr>
          <w:rFonts w:ascii="Arial" w:eastAsia="仿宋" w:hAnsi="Arial" w:cs="Arial"/>
          <w:color w:val="000000"/>
          <w:kern w:val="2"/>
          <w:sz w:val="28"/>
          <w:szCs w:val="28"/>
        </w:rPr>
        <w:t>时期的规划，北京市目前已基本建立全域国土空间开发保护新格局，提升绿色生态空间本底规模质量，深化耕地保护空间与政策保障，减量发展迈出实质性步伐。</w:t>
      </w:r>
      <w:r>
        <w:rPr>
          <w:rFonts w:ascii="Arial" w:eastAsia="仿宋" w:hAnsi="Arial" w:cs="Arial"/>
          <w:color w:val="000000"/>
          <w:kern w:val="2"/>
          <w:sz w:val="28"/>
          <w:szCs w:val="28"/>
        </w:rPr>
        <w:t>“</w:t>
      </w:r>
      <w:r>
        <w:rPr>
          <w:rFonts w:ascii="Arial" w:eastAsia="仿宋" w:hAnsi="Arial" w:cs="Arial"/>
          <w:color w:val="000000"/>
          <w:kern w:val="2"/>
          <w:sz w:val="28"/>
          <w:szCs w:val="28"/>
        </w:rPr>
        <w:t>十三五</w:t>
      </w:r>
      <w:r>
        <w:rPr>
          <w:rFonts w:ascii="Arial" w:eastAsia="仿宋" w:hAnsi="Arial" w:cs="Arial"/>
          <w:color w:val="000000"/>
          <w:kern w:val="2"/>
          <w:sz w:val="28"/>
          <w:szCs w:val="28"/>
        </w:rPr>
        <w:t>”</w:t>
      </w:r>
      <w:r>
        <w:rPr>
          <w:rFonts w:ascii="Arial" w:eastAsia="仿宋" w:hAnsi="Arial" w:cs="Arial"/>
          <w:color w:val="000000"/>
          <w:kern w:val="2"/>
          <w:sz w:val="28"/>
          <w:szCs w:val="28"/>
        </w:rPr>
        <w:t>确定的土地资源保护利用任务目标基本完成，土地资源治理体系逐步完善，保障和支撑了城市发展方式实现历史性变革。</w:t>
      </w:r>
    </w:p>
    <w:p w14:paraId="6FB65797"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w:t>
      </w:r>
      <w:r>
        <w:rPr>
          <w:rFonts w:ascii="Arial" w:eastAsia="仿宋" w:hAnsi="Arial" w:cs="Arial"/>
          <w:color w:val="000000"/>
          <w:kern w:val="2"/>
          <w:sz w:val="28"/>
          <w:szCs w:val="28"/>
        </w:rPr>
        <w:t>1</w:t>
      </w:r>
      <w:r>
        <w:rPr>
          <w:rFonts w:ascii="Arial" w:eastAsia="仿宋" w:hAnsi="Arial" w:cs="Arial"/>
          <w:color w:val="000000"/>
          <w:kern w:val="2"/>
          <w:sz w:val="28"/>
          <w:szCs w:val="28"/>
        </w:rPr>
        <w:t>）在国土空间规划中统筹划定落实永久基本农田、生态保护红线、城镇开发边界三条控制线（以下简称三条控制线），确定国土空间开发保护刚性管控边界。统筹全域全类型国土空间用途管制，划定覆盖全域的</w:t>
      </w:r>
      <w:r>
        <w:rPr>
          <w:rFonts w:ascii="Arial" w:eastAsia="仿宋" w:hAnsi="Arial" w:cs="Arial"/>
          <w:color w:val="000000"/>
          <w:kern w:val="2"/>
          <w:sz w:val="28"/>
          <w:szCs w:val="28"/>
        </w:rPr>
        <w:t>11</w:t>
      </w:r>
      <w:r>
        <w:rPr>
          <w:rFonts w:ascii="Arial" w:eastAsia="仿宋" w:hAnsi="Arial" w:cs="Arial"/>
          <w:color w:val="000000"/>
          <w:kern w:val="2"/>
          <w:sz w:val="28"/>
          <w:szCs w:val="28"/>
        </w:rPr>
        <w:t>类国土空间规划分区。</w:t>
      </w:r>
    </w:p>
    <w:p w14:paraId="414B3A7C"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w:t>
      </w:r>
      <w:r>
        <w:rPr>
          <w:rFonts w:ascii="Arial" w:eastAsia="仿宋" w:hAnsi="Arial" w:cs="Arial"/>
          <w:color w:val="000000"/>
          <w:kern w:val="2"/>
          <w:sz w:val="28"/>
          <w:szCs w:val="28"/>
        </w:rPr>
        <w:t>2</w:t>
      </w:r>
      <w:r>
        <w:rPr>
          <w:rFonts w:ascii="Arial" w:eastAsia="仿宋" w:hAnsi="Arial" w:cs="Arial"/>
          <w:color w:val="000000"/>
          <w:kern w:val="2"/>
          <w:sz w:val="28"/>
          <w:szCs w:val="28"/>
        </w:rPr>
        <w:t>）严守耕地规模底线，划定耕地保护空间。</w:t>
      </w:r>
    </w:p>
    <w:p w14:paraId="7E0F7FFC"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强化耕地保护，深化耕地保护空间与政策保障。完善耕地主动保护机制，出台《落实城市总体规划统筹推进耕地和永久基本农田保护工作实施方案（试行）》、《北京市耕地保护责任目标考核办法》、《北京市耕地保护补偿资金管理暂行办法》，签订《耕地保护目标管理暨永久基本农田保护责任书》，全面推行四级田长制，压实耕地保护主体责任。</w:t>
      </w:r>
    </w:p>
    <w:p w14:paraId="33ADD7B1"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w:t>
      </w:r>
      <w:r>
        <w:rPr>
          <w:rFonts w:ascii="Arial" w:eastAsia="仿宋" w:hAnsi="Arial" w:cs="Arial"/>
          <w:color w:val="000000"/>
          <w:kern w:val="2"/>
          <w:sz w:val="28"/>
          <w:szCs w:val="28"/>
        </w:rPr>
        <w:t>3</w:t>
      </w:r>
      <w:r>
        <w:rPr>
          <w:rFonts w:ascii="Arial" w:eastAsia="仿宋" w:hAnsi="Arial" w:cs="Arial"/>
          <w:color w:val="000000"/>
          <w:kern w:val="2"/>
          <w:sz w:val="28"/>
          <w:szCs w:val="28"/>
        </w:rPr>
        <w:t>）严控建设用地规模，城乡建设用地规模得到历史性控制。以疏解非首都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w:t>
      </w:r>
      <w:r>
        <w:rPr>
          <w:rFonts w:ascii="Arial" w:eastAsia="仿宋" w:hAnsi="Arial" w:cs="Arial"/>
          <w:color w:val="000000"/>
          <w:kern w:val="2"/>
          <w:sz w:val="28"/>
          <w:szCs w:val="28"/>
        </w:rPr>
        <w:t>“</w:t>
      </w:r>
      <w:r>
        <w:rPr>
          <w:rFonts w:ascii="Arial" w:eastAsia="仿宋" w:hAnsi="Arial" w:cs="Arial"/>
          <w:color w:val="000000"/>
          <w:kern w:val="2"/>
          <w:sz w:val="28"/>
          <w:szCs w:val="28"/>
        </w:rPr>
        <w:t>十二五</w:t>
      </w:r>
      <w:r>
        <w:rPr>
          <w:rFonts w:ascii="Arial" w:eastAsia="仿宋" w:hAnsi="Arial" w:cs="Arial"/>
          <w:color w:val="000000"/>
          <w:kern w:val="2"/>
          <w:sz w:val="28"/>
          <w:szCs w:val="28"/>
        </w:rPr>
        <w:t>”</w:t>
      </w:r>
      <w:r>
        <w:rPr>
          <w:rFonts w:ascii="Arial" w:eastAsia="仿宋" w:hAnsi="Arial" w:cs="Arial"/>
          <w:color w:val="000000"/>
          <w:kern w:val="2"/>
          <w:sz w:val="28"/>
          <w:szCs w:val="28"/>
        </w:rPr>
        <w:t>时期的</w:t>
      </w:r>
      <w:r>
        <w:rPr>
          <w:rFonts w:ascii="Arial" w:eastAsia="仿宋" w:hAnsi="Arial" w:cs="Arial"/>
          <w:color w:val="000000"/>
          <w:kern w:val="2"/>
          <w:sz w:val="28"/>
          <w:szCs w:val="28"/>
        </w:rPr>
        <w:t>51%</w:t>
      </w:r>
      <w:r>
        <w:rPr>
          <w:rFonts w:ascii="Arial" w:eastAsia="仿宋" w:hAnsi="Arial" w:cs="Arial"/>
          <w:color w:val="000000"/>
          <w:kern w:val="2"/>
          <w:sz w:val="28"/>
          <w:szCs w:val="28"/>
        </w:rPr>
        <w:t>提升至</w:t>
      </w:r>
      <w:r>
        <w:rPr>
          <w:rFonts w:ascii="Arial" w:eastAsia="仿宋" w:hAnsi="Arial" w:cs="Arial"/>
          <w:color w:val="000000"/>
          <w:kern w:val="2"/>
          <w:sz w:val="28"/>
          <w:szCs w:val="28"/>
        </w:rPr>
        <w:t>“</w:t>
      </w:r>
      <w:r>
        <w:rPr>
          <w:rFonts w:ascii="Arial" w:eastAsia="仿宋" w:hAnsi="Arial" w:cs="Arial"/>
          <w:color w:val="000000"/>
          <w:kern w:val="2"/>
          <w:sz w:val="28"/>
          <w:szCs w:val="28"/>
        </w:rPr>
        <w:t>十三五</w:t>
      </w:r>
      <w:r>
        <w:rPr>
          <w:rFonts w:ascii="Arial" w:eastAsia="仿宋" w:hAnsi="Arial" w:cs="Arial"/>
          <w:color w:val="000000"/>
          <w:kern w:val="2"/>
          <w:sz w:val="28"/>
          <w:szCs w:val="28"/>
        </w:rPr>
        <w:t>”</w:t>
      </w:r>
      <w:r>
        <w:rPr>
          <w:rFonts w:ascii="Arial" w:eastAsia="仿宋" w:hAnsi="Arial" w:cs="Arial"/>
          <w:color w:val="000000"/>
          <w:kern w:val="2"/>
          <w:sz w:val="28"/>
          <w:szCs w:val="28"/>
        </w:rPr>
        <w:t>时期的</w:t>
      </w:r>
      <w:r>
        <w:rPr>
          <w:rFonts w:ascii="Arial" w:eastAsia="仿宋" w:hAnsi="Arial" w:cs="Arial"/>
          <w:color w:val="000000"/>
          <w:kern w:val="2"/>
          <w:sz w:val="28"/>
          <w:szCs w:val="28"/>
        </w:rPr>
        <w:t>55%</w:t>
      </w:r>
      <w:r>
        <w:rPr>
          <w:rFonts w:ascii="Arial" w:eastAsia="仿宋" w:hAnsi="Arial" w:cs="Arial"/>
          <w:color w:val="000000"/>
          <w:kern w:val="2"/>
          <w:sz w:val="28"/>
          <w:szCs w:val="28"/>
        </w:rPr>
        <w:t>以上</w:t>
      </w:r>
      <w:r>
        <w:rPr>
          <w:rFonts w:ascii="Arial" w:eastAsia="仿宋" w:hAnsi="Arial" w:cs="Arial"/>
          <w:color w:val="000000"/>
          <w:kern w:val="2"/>
          <w:sz w:val="28"/>
          <w:szCs w:val="28"/>
        </w:rPr>
        <w:t>.</w:t>
      </w:r>
    </w:p>
    <w:p w14:paraId="2F385F91"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w:t>
      </w:r>
      <w:r>
        <w:rPr>
          <w:rFonts w:ascii="Arial" w:eastAsia="仿宋" w:hAnsi="Arial" w:cs="Arial"/>
          <w:color w:val="000000"/>
          <w:kern w:val="2"/>
          <w:sz w:val="28"/>
          <w:szCs w:val="28"/>
        </w:rPr>
        <w:t>4</w:t>
      </w:r>
      <w:r>
        <w:rPr>
          <w:rFonts w:ascii="Arial" w:eastAsia="仿宋" w:hAnsi="Arial" w:cs="Arial"/>
          <w:color w:val="000000"/>
          <w:kern w:val="2"/>
          <w:sz w:val="28"/>
          <w:szCs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Pr>
          <w:rFonts w:ascii="Arial" w:eastAsia="仿宋" w:hAnsi="Arial" w:cs="Arial"/>
          <w:color w:val="000000"/>
          <w:kern w:val="2"/>
          <w:sz w:val="28"/>
          <w:szCs w:val="28"/>
        </w:rPr>
        <w:t>“</w:t>
      </w:r>
      <w:r>
        <w:rPr>
          <w:rFonts w:ascii="Arial" w:eastAsia="仿宋" w:hAnsi="Arial" w:cs="Arial"/>
          <w:color w:val="000000"/>
          <w:kern w:val="2"/>
          <w:sz w:val="28"/>
          <w:szCs w:val="28"/>
        </w:rPr>
        <w:t>两图合一</w:t>
      </w:r>
      <w:r>
        <w:rPr>
          <w:rFonts w:ascii="Arial" w:eastAsia="仿宋" w:hAnsi="Arial" w:cs="Arial"/>
          <w:color w:val="000000"/>
          <w:kern w:val="2"/>
          <w:sz w:val="28"/>
          <w:szCs w:val="28"/>
        </w:rPr>
        <w:t>”</w:t>
      </w:r>
      <w:r>
        <w:rPr>
          <w:rFonts w:ascii="Arial" w:eastAsia="仿宋" w:hAnsi="Arial" w:cs="Arial"/>
          <w:color w:val="000000"/>
          <w:kern w:val="2"/>
          <w:sz w:val="28"/>
          <w:szCs w:val="28"/>
        </w:rPr>
        <w:t>规划编制技术指南》《北京市国土空间规划分区和用途管制规则》等一系列政策文件，初步建立首都</w:t>
      </w:r>
      <w:r>
        <w:rPr>
          <w:rFonts w:ascii="Arial" w:eastAsia="仿宋" w:hAnsi="Arial" w:cs="Arial"/>
          <w:color w:val="000000"/>
          <w:kern w:val="2"/>
          <w:sz w:val="28"/>
          <w:szCs w:val="28"/>
        </w:rPr>
        <w:t>“</w:t>
      </w:r>
      <w:r>
        <w:rPr>
          <w:rFonts w:ascii="Arial" w:eastAsia="仿宋" w:hAnsi="Arial" w:cs="Arial"/>
          <w:color w:val="000000"/>
          <w:kern w:val="2"/>
          <w:sz w:val="28"/>
          <w:szCs w:val="28"/>
        </w:rPr>
        <w:t>三级三类</w:t>
      </w:r>
      <w:r>
        <w:rPr>
          <w:rFonts w:ascii="Arial" w:eastAsia="仿宋" w:hAnsi="Arial" w:cs="Arial"/>
          <w:color w:val="000000"/>
          <w:kern w:val="2"/>
          <w:sz w:val="28"/>
          <w:szCs w:val="28"/>
        </w:rPr>
        <w:t>”</w:t>
      </w:r>
      <w:r>
        <w:rPr>
          <w:rFonts w:ascii="Arial" w:eastAsia="仿宋" w:hAnsi="Arial" w:cs="Arial"/>
          <w:color w:val="000000"/>
          <w:kern w:val="2"/>
          <w:sz w:val="28"/>
          <w:szCs w:val="28"/>
        </w:rPr>
        <w:t>国土空间规划体系，不断完善首都国土空间治理体系，着力提高国土空间治理能力现代化水平。</w:t>
      </w:r>
    </w:p>
    <w:p w14:paraId="20B71558"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逐步建立自然资源管理制度。制定《北京市自然资源资产产权制度改革方案》，统筹推进自然资源统一调查监测评价，建立全市统一的国土空间基础信息平台，结合分区规划编制，形成全市国土空间规划</w:t>
      </w:r>
      <w:r>
        <w:rPr>
          <w:rFonts w:ascii="Arial" w:eastAsia="仿宋" w:hAnsi="Arial" w:cs="Arial"/>
          <w:color w:val="000000"/>
          <w:kern w:val="2"/>
          <w:sz w:val="28"/>
          <w:szCs w:val="28"/>
        </w:rPr>
        <w:t>“</w:t>
      </w:r>
      <w:r>
        <w:rPr>
          <w:rFonts w:ascii="Arial" w:eastAsia="仿宋" w:hAnsi="Arial" w:cs="Arial"/>
          <w:color w:val="000000"/>
          <w:kern w:val="2"/>
          <w:sz w:val="28"/>
          <w:szCs w:val="28"/>
        </w:rPr>
        <w:t>一张底图</w:t>
      </w:r>
      <w:r>
        <w:rPr>
          <w:rFonts w:ascii="Arial" w:eastAsia="仿宋" w:hAnsi="Arial" w:cs="Arial"/>
          <w:color w:val="000000"/>
          <w:kern w:val="2"/>
          <w:sz w:val="28"/>
          <w:szCs w:val="28"/>
        </w:rPr>
        <w:t>”</w:t>
      </w:r>
      <w:r>
        <w:rPr>
          <w:rFonts w:ascii="Arial" w:eastAsia="仿宋" w:hAnsi="Arial" w:cs="Arial"/>
          <w:color w:val="000000"/>
          <w:kern w:val="2"/>
          <w:sz w:val="28"/>
          <w:szCs w:val="28"/>
        </w:rPr>
        <w:t>。建立北京市国有自然资源报告工作制度，自然资源统一调查、监测、确权、配置、评价、监督的管理制度逐步建立。</w:t>
      </w:r>
    </w:p>
    <w:p w14:paraId="2ABA9861"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加强推进农村土地管理改革。制定《关于进一步加强农村集体土地管理加快建立健全</w:t>
      </w:r>
      <w:r>
        <w:rPr>
          <w:rFonts w:ascii="Arial" w:eastAsia="仿宋" w:hAnsi="Arial" w:cs="Arial"/>
          <w:color w:val="000000"/>
          <w:kern w:val="2"/>
          <w:sz w:val="28"/>
          <w:szCs w:val="28"/>
        </w:rPr>
        <w:t>“</w:t>
      </w:r>
      <w:r>
        <w:rPr>
          <w:rFonts w:ascii="Arial" w:eastAsia="仿宋" w:hAnsi="Arial" w:cs="Arial"/>
          <w:color w:val="000000"/>
          <w:kern w:val="2"/>
          <w:sz w:val="28"/>
          <w:szCs w:val="28"/>
        </w:rPr>
        <w:t>村地区管</w:t>
      </w:r>
      <w:r>
        <w:rPr>
          <w:rFonts w:ascii="Arial" w:eastAsia="仿宋" w:hAnsi="Arial" w:cs="Arial"/>
          <w:color w:val="000000"/>
          <w:kern w:val="2"/>
          <w:sz w:val="28"/>
          <w:szCs w:val="28"/>
        </w:rPr>
        <w:t>”</w:t>
      </w:r>
      <w:r>
        <w:rPr>
          <w:rFonts w:ascii="Arial" w:eastAsia="仿宋" w:hAnsi="Arial" w:cs="Arial"/>
          <w:color w:val="000000"/>
          <w:kern w:val="2"/>
          <w:sz w:val="28"/>
          <w:szCs w:val="28"/>
        </w:rPr>
        <w:t>机制的指导意见》，强化区级管规划、管用途、管合同、管程序、管监督、管查处的权责；在大兴区全面推进农村土地制度改革三项试点工作，集体经营性建设用地入市试点改革取得重大成果，征地制度改革向纵深推进，宅基地制度改革取得阶段性成果，探索形成了一批可复制、可推广的改革成果。</w:t>
      </w:r>
    </w:p>
    <w:p w14:paraId="537478AF"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14:paraId="3646BB4D" w14:textId="77777777" w:rsidR="00E70101" w:rsidRDefault="0060680B">
      <w:pPr>
        <w:spacing w:line="360" w:lineRule="auto"/>
        <w:ind w:firstLine="560"/>
        <w:jc w:val="both"/>
        <w:outlineLvl w:val="0"/>
      </w:pPr>
      <w:r>
        <w:rPr>
          <w:rFonts w:ascii="Arial" w:eastAsia="仿宋" w:hAnsi="Arial" w:cs="Arial"/>
          <w:color w:val="000000"/>
          <w:kern w:val="2"/>
          <w:sz w:val="28"/>
          <w:szCs w:val="28"/>
        </w:rPr>
        <w:t>2022</w:t>
      </w:r>
      <w:r>
        <w:rPr>
          <w:rFonts w:ascii="Arial" w:eastAsia="仿宋" w:hAnsi="Arial" w:cs="Arial"/>
          <w:color w:val="000000"/>
          <w:kern w:val="2"/>
          <w:sz w:val="28"/>
          <w:szCs w:val="28"/>
        </w:rPr>
        <w:t>年北京市人民政府关于印发《北京市</w:t>
      </w:r>
      <w:r>
        <w:rPr>
          <w:rFonts w:ascii="Arial" w:eastAsia="仿宋" w:hAnsi="Arial" w:cs="Arial"/>
          <w:color w:val="000000"/>
          <w:kern w:val="2"/>
          <w:sz w:val="28"/>
          <w:szCs w:val="28"/>
        </w:rPr>
        <w:t>“</w:t>
      </w:r>
      <w:r>
        <w:rPr>
          <w:rFonts w:ascii="Arial" w:eastAsia="仿宋" w:hAnsi="Arial" w:cs="Arial"/>
          <w:color w:val="000000"/>
          <w:kern w:val="2"/>
          <w:sz w:val="28"/>
          <w:szCs w:val="28"/>
        </w:rPr>
        <w:t>十四五</w:t>
      </w:r>
      <w:r>
        <w:rPr>
          <w:rFonts w:ascii="Arial" w:eastAsia="仿宋" w:hAnsi="Arial" w:cs="Arial"/>
          <w:color w:val="000000"/>
          <w:kern w:val="2"/>
          <w:sz w:val="28"/>
          <w:szCs w:val="28"/>
        </w:rPr>
        <w:t>”</w:t>
      </w:r>
      <w:r>
        <w:rPr>
          <w:rFonts w:ascii="Arial" w:eastAsia="仿宋" w:hAnsi="Arial" w:cs="Arial"/>
          <w:color w:val="000000"/>
          <w:kern w:val="2"/>
          <w:sz w:val="28"/>
          <w:szCs w:val="28"/>
        </w:rPr>
        <w:t>时期土地资源保护利用规划》的通知，要求全市继续统筹土地资源保护和利用工作，强化科学布局、整体保护、系统修复、高效利用、综合治理。</w:t>
      </w:r>
    </w:p>
    <w:p w14:paraId="528C37C3" w14:textId="77777777" w:rsidR="00E70101" w:rsidRDefault="0060680B">
      <w:pPr>
        <w:numPr>
          <w:ilvl w:val="0"/>
          <w:numId w:val="2"/>
        </w:numPr>
        <w:spacing w:line="360" w:lineRule="auto"/>
        <w:ind w:right="205"/>
        <w:jc w:val="both"/>
        <w:rPr>
          <w:rFonts w:ascii="仿宋_GB2312;仿宋" w:eastAsia="仿宋_GB2312;仿宋" w:hAnsi="仿宋_GB2312;仿宋"/>
          <w:b/>
          <w:bCs/>
          <w:color w:val="000000"/>
          <w:sz w:val="28"/>
          <w:szCs w:val="28"/>
          <w:u w:val="single"/>
        </w:rPr>
      </w:pPr>
      <w:r>
        <w:rPr>
          <w:rFonts w:ascii="仿宋_GB2312;仿宋" w:eastAsia="仿宋_GB2312;仿宋" w:hAnsi="仿宋_GB2312;仿宋"/>
          <w:b/>
          <w:bCs/>
          <w:color w:val="000000"/>
          <w:sz w:val="28"/>
          <w:szCs w:val="28"/>
          <w:u w:val="single"/>
        </w:rPr>
        <w:t>不动产管理政策：</w:t>
      </w:r>
    </w:p>
    <w:p w14:paraId="684415EB" w14:textId="77777777" w:rsidR="00E70101" w:rsidRDefault="0060680B">
      <w:pPr>
        <w:spacing w:line="360" w:lineRule="auto"/>
        <w:ind w:firstLine="560"/>
        <w:jc w:val="both"/>
        <w:rPr>
          <w:rFonts w:ascii="Arial" w:eastAsia="仿宋" w:hAnsi="Arial" w:cs="Arial"/>
          <w:color w:val="000000"/>
          <w:kern w:val="2"/>
          <w:sz w:val="28"/>
          <w:szCs w:val="28"/>
        </w:rPr>
      </w:pPr>
      <w:r>
        <w:rPr>
          <w:rFonts w:ascii="Arial" w:eastAsia="仿宋" w:hAnsi="Arial" w:cs="Arial"/>
          <w:color w:val="000000"/>
          <w:kern w:val="2"/>
          <w:sz w:val="28"/>
          <w:szCs w:val="28"/>
        </w:rPr>
        <w:t>2022</w:t>
      </w:r>
      <w:r>
        <w:rPr>
          <w:rFonts w:ascii="Arial" w:eastAsia="仿宋" w:hAnsi="Arial" w:cs="Arial"/>
          <w:color w:val="000000"/>
          <w:kern w:val="2"/>
          <w:sz w:val="28"/>
          <w:szCs w:val="28"/>
        </w:rPr>
        <w:t>年</w:t>
      </w:r>
      <w:r>
        <w:rPr>
          <w:rFonts w:ascii="Arial" w:eastAsia="仿宋" w:hAnsi="Arial" w:cs="Arial"/>
          <w:color w:val="000000"/>
          <w:kern w:val="2"/>
          <w:sz w:val="28"/>
          <w:szCs w:val="28"/>
        </w:rPr>
        <w:t>8</w:t>
      </w:r>
      <w:r>
        <w:rPr>
          <w:rFonts w:ascii="Arial" w:eastAsia="仿宋" w:hAnsi="Arial" w:cs="Arial"/>
          <w:color w:val="000000"/>
          <w:kern w:val="2"/>
          <w:sz w:val="28"/>
          <w:szCs w:val="28"/>
        </w:rPr>
        <w:t>月</w:t>
      </w:r>
      <w:r>
        <w:rPr>
          <w:rFonts w:ascii="Arial" w:eastAsia="仿宋" w:hAnsi="Arial" w:cs="Arial"/>
          <w:color w:val="000000"/>
          <w:kern w:val="2"/>
          <w:sz w:val="28"/>
          <w:szCs w:val="28"/>
        </w:rPr>
        <w:t>5</w:t>
      </w:r>
      <w:r>
        <w:rPr>
          <w:rFonts w:ascii="Arial" w:eastAsia="仿宋" w:hAnsi="Arial" w:cs="Arial"/>
          <w:color w:val="000000"/>
          <w:kern w:val="2"/>
          <w:sz w:val="28"/>
          <w:szCs w:val="28"/>
        </w:rPr>
        <w:t>日，北京市住建委正式发布《北京住房和城乡建设发展白皮书（</w:t>
      </w:r>
      <w:r>
        <w:rPr>
          <w:rFonts w:ascii="Arial" w:eastAsia="仿宋" w:hAnsi="Arial" w:cs="Arial"/>
          <w:color w:val="000000"/>
          <w:kern w:val="2"/>
          <w:sz w:val="28"/>
          <w:szCs w:val="28"/>
        </w:rPr>
        <w:t>2022</w:t>
      </w:r>
      <w:r>
        <w:rPr>
          <w:rFonts w:ascii="Arial" w:eastAsia="仿宋" w:hAnsi="Arial" w:cs="Arial"/>
          <w:color w:val="000000"/>
          <w:kern w:val="2"/>
          <w:sz w:val="28"/>
          <w:szCs w:val="28"/>
        </w:rPr>
        <w:t>）》，围绕</w:t>
      </w:r>
      <w:r>
        <w:rPr>
          <w:rFonts w:ascii="Arial" w:eastAsia="仿宋" w:hAnsi="Arial" w:cs="Arial"/>
          <w:color w:val="000000"/>
          <w:kern w:val="2"/>
          <w:sz w:val="28"/>
          <w:szCs w:val="28"/>
        </w:rPr>
        <w:t>“</w:t>
      </w:r>
      <w:r>
        <w:rPr>
          <w:rFonts w:ascii="Arial" w:eastAsia="仿宋" w:hAnsi="Arial" w:cs="Arial"/>
          <w:color w:val="000000"/>
          <w:kern w:val="2"/>
          <w:sz w:val="28"/>
          <w:szCs w:val="28"/>
        </w:rPr>
        <w:t>三稳</w:t>
      </w:r>
      <w:r>
        <w:rPr>
          <w:rFonts w:ascii="Arial" w:eastAsia="仿宋" w:hAnsi="Arial" w:cs="Arial"/>
          <w:color w:val="000000"/>
          <w:kern w:val="2"/>
          <w:sz w:val="28"/>
          <w:szCs w:val="28"/>
        </w:rPr>
        <w:t>”</w:t>
      </w:r>
      <w:r>
        <w:rPr>
          <w:rFonts w:ascii="Arial" w:eastAsia="仿宋" w:hAnsi="Arial" w:cs="Arial"/>
          <w:color w:val="000000"/>
          <w:kern w:val="2"/>
          <w:sz w:val="28"/>
          <w:szCs w:val="28"/>
        </w:rPr>
        <w:t>目标下功夫，加快构建公租房等住房保障体系。</w:t>
      </w:r>
    </w:p>
    <w:p w14:paraId="1709CFA9" w14:textId="77777777" w:rsidR="00E70101" w:rsidRDefault="0060680B">
      <w:pPr>
        <w:spacing w:line="360" w:lineRule="auto"/>
        <w:ind w:firstLine="560"/>
        <w:jc w:val="both"/>
        <w:rPr>
          <w:rFonts w:ascii="Arial" w:eastAsia="仿宋" w:hAnsi="Arial" w:cs="Arial"/>
          <w:color w:val="000000"/>
          <w:kern w:val="2"/>
          <w:sz w:val="28"/>
          <w:szCs w:val="28"/>
        </w:rPr>
      </w:pPr>
      <w:r>
        <w:rPr>
          <w:rFonts w:ascii="Arial" w:eastAsia="仿宋" w:hAnsi="Arial" w:cs="Arial"/>
          <w:color w:val="000000"/>
          <w:kern w:val="2"/>
          <w:sz w:val="28"/>
          <w:szCs w:val="28"/>
        </w:rPr>
        <w:t>2023</w:t>
      </w:r>
      <w:r>
        <w:rPr>
          <w:rFonts w:ascii="Arial" w:eastAsia="仿宋" w:hAnsi="Arial" w:cs="Arial"/>
          <w:color w:val="000000"/>
          <w:kern w:val="2"/>
          <w:sz w:val="28"/>
          <w:szCs w:val="28"/>
        </w:rPr>
        <w:t>年</w:t>
      </w:r>
      <w:r>
        <w:rPr>
          <w:rFonts w:ascii="Arial" w:eastAsia="仿宋" w:hAnsi="Arial" w:cs="Arial"/>
          <w:color w:val="000000"/>
          <w:kern w:val="2"/>
          <w:sz w:val="28"/>
          <w:szCs w:val="28"/>
        </w:rPr>
        <w:t>4</w:t>
      </w:r>
      <w:r>
        <w:rPr>
          <w:rFonts w:ascii="Arial" w:eastAsia="仿宋" w:hAnsi="Arial" w:cs="Arial"/>
          <w:color w:val="000000"/>
          <w:kern w:val="2"/>
          <w:sz w:val="28"/>
          <w:szCs w:val="28"/>
        </w:rPr>
        <w:t>月</w:t>
      </w:r>
      <w:r>
        <w:rPr>
          <w:rFonts w:ascii="Arial" w:eastAsia="仿宋" w:hAnsi="Arial" w:cs="Arial"/>
          <w:color w:val="000000"/>
          <w:kern w:val="2"/>
          <w:sz w:val="28"/>
          <w:szCs w:val="28"/>
        </w:rPr>
        <w:t>25</w:t>
      </w:r>
      <w:r>
        <w:rPr>
          <w:rFonts w:ascii="Arial" w:eastAsia="仿宋" w:hAnsi="Arial" w:cs="Arial"/>
          <w:color w:val="000000"/>
          <w:kern w:val="2"/>
          <w:sz w:val="28"/>
          <w:szCs w:val="28"/>
        </w:rPr>
        <w:t>日，自然资源部部长在全国自然资源和不动产确权登记工作会议上宣布，我国全面实现不动产统一登记。我国的不动产登记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撑的不动产统一登记制度体系基本成型。</w:t>
      </w:r>
    </w:p>
    <w:p w14:paraId="6E704076" w14:textId="77777777" w:rsidR="00E70101" w:rsidRDefault="0060680B">
      <w:pPr>
        <w:spacing w:line="360" w:lineRule="auto"/>
        <w:ind w:firstLine="560"/>
        <w:jc w:val="both"/>
        <w:outlineLvl w:val="0"/>
      </w:pPr>
      <w:r>
        <w:rPr>
          <w:rFonts w:ascii="Arial" w:eastAsia="仿宋" w:hAnsi="Arial" w:cs="Arial"/>
          <w:color w:val="000000"/>
          <w:kern w:val="2"/>
          <w:sz w:val="28"/>
          <w:szCs w:val="28"/>
        </w:rPr>
        <w:t>2024</w:t>
      </w:r>
      <w:r>
        <w:rPr>
          <w:rFonts w:ascii="Arial" w:eastAsia="仿宋" w:hAnsi="Arial" w:cs="Arial"/>
          <w:color w:val="000000"/>
          <w:kern w:val="2"/>
          <w:sz w:val="28"/>
          <w:szCs w:val="28"/>
        </w:rPr>
        <w:t>年</w:t>
      </w:r>
      <w:r>
        <w:rPr>
          <w:rFonts w:ascii="Arial" w:eastAsia="仿宋" w:hAnsi="Arial" w:cs="Arial"/>
          <w:color w:val="000000"/>
          <w:kern w:val="2"/>
          <w:sz w:val="28"/>
          <w:szCs w:val="28"/>
        </w:rPr>
        <w:t>1</w:t>
      </w:r>
      <w:r>
        <w:rPr>
          <w:rFonts w:ascii="Arial" w:eastAsia="仿宋" w:hAnsi="Arial" w:cs="Arial"/>
          <w:color w:val="000000"/>
          <w:kern w:val="2"/>
          <w:sz w:val="28"/>
          <w:szCs w:val="28"/>
        </w:rPr>
        <w:t>月</w:t>
      </w:r>
      <w:r>
        <w:rPr>
          <w:rFonts w:ascii="Arial" w:eastAsia="仿宋" w:hAnsi="Arial" w:cs="Arial"/>
          <w:color w:val="000000"/>
          <w:kern w:val="2"/>
          <w:sz w:val="28"/>
          <w:szCs w:val="28"/>
        </w:rPr>
        <w:t>17</w:t>
      </w:r>
      <w:r>
        <w:rPr>
          <w:rFonts w:ascii="Arial" w:eastAsia="仿宋" w:hAnsi="Arial" w:cs="Arial"/>
          <w:color w:val="000000"/>
          <w:kern w:val="2"/>
          <w:sz w:val="28"/>
          <w:szCs w:val="28"/>
        </w:rPr>
        <w:t>日，北京市规划和自然资源委员会、北京市发展和改革委员会联合发布《北京市</w:t>
      </w:r>
      <w:r>
        <w:rPr>
          <w:rFonts w:ascii="Arial" w:eastAsia="仿宋" w:hAnsi="Arial" w:cs="Arial"/>
          <w:color w:val="000000"/>
          <w:kern w:val="2"/>
          <w:sz w:val="28"/>
          <w:szCs w:val="28"/>
        </w:rPr>
        <w:t>2024</w:t>
      </w:r>
      <w:r>
        <w:rPr>
          <w:rFonts w:ascii="Arial" w:eastAsia="仿宋" w:hAnsi="Arial" w:cs="Arial"/>
          <w:color w:val="000000"/>
          <w:kern w:val="2"/>
          <w:sz w:val="28"/>
          <w:szCs w:val="28"/>
        </w:rPr>
        <w:t>年度建设用地供应计划》，</w:t>
      </w:r>
      <w:r>
        <w:rPr>
          <w:rFonts w:ascii="Arial" w:eastAsia="仿宋" w:hAnsi="Arial" w:cs="Arial"/>
          <w:color w:val="000000"/>
          <w:kern w:val="2"/>
          <w:sz w:val="28"/>
          <w:szCs w:val="28"/>
        </w:rPr>
        <w:t xml:space="preserve">2024 </w:t>
      </w:r>
      <w:r>
        <w:rPr>
          <w:rFonts w:ascii="Arial" w:eastAsia="仿宋" w:hAnsi="Arial" w:cs="Arial"/>
          <w:color w:val="000000"/>
          <w:kern w:val="2"/>
          <w:sz w:val="28"/>
          <w:szCs w:val="28"/>
        </w:rPr>
        <w:t>年计划安排建设用地供应总量</w:t>
      </w:r>
      <w:r>
        <w:rPr>
          <w:rFonts w:ascii="Arial" w:eastAsia="仿宋" w:hAnsi="Arial" w:cs="Arial"/>
          <w:color w:val="000000"/>
          <w:kern w:val="2"/>
          <w:sz w:val="28"/>
          <w:szCs w:val="28"/>
        </w:rPr>
        <w:t>3240</w:t>
      </w:r>
      <w:r>
        <w:rPr>
          <w:rFonts w:ascii="Arial" w:eastAsia="仿宋" w:hAnsi="Arial" w:cs="Arial"/>
          <w:color w:val="000000"/>
          <w:kern w:val="2"/>
          <w:sz w:val="28"/>
          <w:szCs w:val="28"/>
        </w:rPr>
        <w:t>至</w:t>
      </w:r>
      <w:r>
        <w:rPr>
          <w:rFonts w:ascii="Arial" w:eastAsia="仿宋" w:hAnsi="Arial" w:cs="Arial"/>
          <w:color w:val="000000"/>
          <w:kern w:val="2"/>
          <w:sz w:val="28"/>
          <w:szCs w:val="28"/>
        </w:rPr>
        <w:t>3660</w:t>
      </w:r>
      <w:r>
        <w:rPr>
          <w:rFonts w:ascii="Arial" w:eastAsia="仿宋" w:hAnsi="Arial" w:cs="Arial"/>
          <w:color w:val="000000"/>
          <w:kern w:val="2"/>
          <w:sz w:val="28"/>
          <w:szCs w:val="28"/>
        </w:rPr>
        <w:t>公顷，较</w:t>
      </w:r>
      <w:r>
        <w:rPr>
          <w:rFonts w:ascii="Arial" w:eastAsia="仿宋" w:hAnsi="Arial" w:cs="Arial"/>
          <w:color w:val="000000"/>
          <w:kern w:val="2"/>
          <w:sz w:val="28"/>
          <w:szCs w:val="28"/>
        </w:rPr>
        <w:t>2023</w:t>
      </w:r>
      <w:r>
        <w:rPr>
          <w:rFonts w:ascii="Arial" w:eastAsia="仿宋" w:hAnsi="Arial" w:cs="Arial"/>
          <w:color w:val="000000"/>
          <w:kern w:val="2"/>
          <w:sz w:val="28"/>
          <w:szCs w:val="28"/>
        </w:rPr>
        <w:t>年增加</w:t>
      </w:r>
      <w:r>
        <w:rPr>
          <w:rFonts w:ascii="Arial" w:eastAsia="仿宋" w:hAnsi="Arial" w:cs="Arial"/>
          <w:color w:val="000000"/>
          <w:kern w:val="2"/>
          <w:sz w:val="28"/>
          <w:szCs w:val="28"/>
        </w:rPr>
        <w:t>30</w:t>
      </w:r>
      <w:r>
        <w:rPr>
          <w:rFonts w:ascii="Arial" w:eastAsia="仿宋" w:hAnsi="Arial" w:cs="Arial"/>
          <w:color w:val="000000"/>
          <w:kern w:val="2"/>
          <w:sz w:val="28"/>
          <w:szCs w:val="28"/>
        </w:rPr>
        <w:t>公顷（全部增加在特交水用地）。住宅用地安排</w:t>
      </w:r>
      <w:r>
        <w:rPr>
          <w:rFonts w:ascii="Arial" w:eastAsia="Arial" w:hAnsi="Arial" w:cs="Arial"/>
          <w:color w:val="000000"/>
          <w:kern w:val="2"/>
          <w:sz w:val="28"/>
          <w:szCs w:val="28"/>
        </w:rPr>
        <w:t xml:space="preserve"> </w:t>
      </w:r>
      <w:r>
        <w:rPr>
          <w:rFonts w:ascii="Arial" w:eastAsia="仿宋" w:hAnsi="Arial" w:cs="Arial"/>
          <w:color w:val="000000"/>
          <w:kern w:val="2"/>
          <w:sz w:val="28"/>
          <w:szCs w:val="28"/>
        </w:rPr>
        <w:t>1060</w:t>
      </w:r>
      <w:r>
        <w:rPr>
          <w:rFonts w:ascii="Arial" w:eastAsia="仿宋" w:hAnsi="Arial" w:cs="Arial"/>
          <w:color w:val="000000"/>
          <w:kern w:val="2"/>
          <w:sz w:val="28"/>
          <w:szCs w:val="28"/>
        </w:rPr>
        <w:t>公顷，与去年持平。本次供地计划保持供应总量、生产生活结构基本稳定，重点在优空间、调结构、提质量上积极进取，全力稳投资、保增长、稳预期。在空间布局上，持续强化</w:t>
      </w:r>
      <w:r>
        <w:rPr>
          <w:rFonts w:ascii="Arial" w:eastAsia="仿宋" w:hAnsi="Arial" w:cs="Arial"/>
          <w:color w:val="000000"/>
          <w:kern w:val="2"/>
          <w:sz w:val="28"/>
          <w:szCs w:val="28"/>
        </w:rPr>
        <w:t>“</w:t>
      </w:r>
      <w:r>
        <w:rPr>
          <w:rFonts w:ascii="Arial" w:eastAsia="仿宋" w:hAnsi="Arial" w:cs="Arial"/>
          <w:color w:val="000000"/>
          <w:kern w:val="2"/>
          <w:sz w:val="28"/>
          <w:szCs w:val="28"/>
        </w:rPr>
        <w:t>一核一主一副、两轴多点一区</w:t>
      </w:r>
      <w:r>
        <w:rPr>
          <w:rFonts w:ascii="Arial" w:eastAsia="仿宋" w:hAnsi="Arial" w:cs="Arial"/>
          <w:color w:val="000000"/>
          <w:kern w:val="2"/>
          <w:sz w:val="28"/>
          <w:szCs w:val="28"/>
        </w:rPr>
        <w:t>”</w:t>
      </w:r>
      <w:r>
        <w:rPr>
          <w:rFonts w:ascii="Arial" w:eastAsia="仿宋" w:hAnsi="Arial" w:cs="Arial"/>
          <w:color w:val="000000"/>
          <w:kern w:val="2"/>
          <w:sz w:val="28"/>
          <w:szCs w:val="28"/>
        </w:rPr>
        <w:t>圈层协同的城市空间结构，着力推进中心城区功能疏解提升、重点推进资源向城市副中心多点地区投放、平原新城梯次承接，构建起北京新的城市发展格局，土地供应向重点功能区、轨道站点周边、南部地区等重点发展空间倾斜。中心城区（含核心区）土地供应规模约占全市土地供应总量</w:t>
      </w:r>
      <w:r>
        <w:rPr>
          <w:rFonts w:ascii="Arial" w:eastAsia="仿宋" w:hAnsi="Arial" w:cs="Arial"/>
          <w:color w:val="000000"/>
          <w:kern w:val="2"/>
          <w:sz w:val="28"/>
          <w:szCs w:val="28"/>
        </w:rPr>
        <w:t>25%</w:t>
      </w:r>
      <w:r>
        <w:rPr>
          <w:rFonts w:ascii="Arial" w:eastAsia="仿宋" w:hAnsi="Arial" w:cs="Arial"/>
          <w:color w:val="000000"/>
          <w:kern w:val="2"/>
          <w:sz w:val="28"/>
          <w:szCs w:val="28"/>
        </w:rPr>
        <w:t>，对比过去五年，</w:t>
      </w:r>
      <w:r>
        <w:rPr>
          <w:rFonts w:ascii="Arial" w:eastAsia="Arial" w:hAnsi="Arial" w:cs="Arial"/>
          <w:color w:val="000000"/>
          <w:kern w:val="2"/>
          <w:sz w:val="28"/>
          <w:szCs w:val="28"/>
        </w:rPr>
        <w:t xml:space="preserve"> </w:t>
      </w:r>
      <w:r>
        <w:rPr>
          <w:rFonts w:ascii="Arial" w:eastAsia="仿宋" w:hAnsi="Arial" w:cs="Arial"/>
          <w:color w:val="000000"/>
          <w:kern w:val="2"/>
          <w:sz w:val="28"/>
          <w:szCs w:val="28"/>
        </w:rPr>
        <w:t>2024</w:t>
      </w:r>
      <w:r>
        <w:rPr>
          <w:rFonts w:ascii="Arial" w:eastAsia="仿宋" w:hAnsi="Arial" w:cs="Arial"/>
          <w:color w:val="000000"/>
          <w:kern w:val="2"/>
          <w:sz w:val="28"/>
          <w:szCs w:val="28"/>
        </w:rPr>
        <w:t>年中心城区供地占比是近年最高水平（</w:t>
      </w:r>
      <w:r>
        <w:rPr>
          <w:rFonts w:ascii="Arial" w:eastAsia="仿宋" w:hAnsi="Arial" w:cs="Arial"/>
          <w:color w:val="000000"/>
          <w:kern w:val="2"/>
          <w:sz w:val="28"/>
          <w:szCs w:val="28"/>
        </w:rPr>
        <w:t>2022</w:t>
      </w:r>
      <w:r>
        <w:rPr>
          <w:rFonts w:ascii="Arial" w:eastAsia="仿宋" w:hAnsi="Arial" w:cs="Arial"/>
          <w:color w:val="000000"/>
          <w:kern w:val="2"/>
          <w:sz w:val="28"/>
          <w:szCs w:val="28"/>
        </w:rPr>
        <w:t>、</w:t>
      </w:r>
      <w:r>
        <w:rPr>
          <w:rFonts w:ascii="Arial" w:eastAsia="仿宋" w:hAnsi="Arial" w:cs="Arial"/>
          <w:color w:val="000000"/>
          <w:kern w:val="2"/>
          <w:sz w:val="28"/>
          <w:szCs w:val="28"/>
        </w:rPr>
        <w:t>2023</w:t>
      </w:r>
      <w:r>
        <w:rPr>
          <w:rFonts w:ascii="Arial" w:eastAsia="仿宋" w:hAnsi="Arial" w:cs="Arial"/>
          <w:color w:val="000000"/>
          <w:kern w:val="2"/>
          <w:sz w:val="28"/>
          <w:szCs w:val="28"/>
        </w:rPr>
        <w:t>年分别为</w:t>
      </w:r>
      <w:r>
        <w:rPr>
          <w:rFonts w:ascii="Arial" w:eastAsia="仿宋" w:hAnsi="Arial" w:cs="Arial"/>
          <w:color w:val="000000"/>
          <w:kern w:val="2"/>
          <w:sz w:val="28"/>
          <w:szCs w:val="28"/>
        </w:rPr>
        <w:t>23%</w:t>
      </w:r>
      <w:r>
        <w:rPr>
          <w:rFonts w:ascii="Arial" w:eastAsia="仿宋" w:hAnsi="Arial" w:cs="Arial"/>
          <w:color w:val="000000"/>
          <w:kern w:val="2"/>
          <w:sz w:val="28"/>
          <w:szCs w:val="28"/>
        </w:rPr>
        <w:t>和</w:t>
      </w:r>
      <w:r>
        <w:rPr>
          <w:rFonts w:ascii="Arial" w:eastAsia="仿宋" w:hAnsi="Arial" w:cs="Arial"/>
          <w:color w:val="000000"/>
          <w:kern w:val="2"/>
          <w:sz w:val="28"/>
          <w:szCs w:val="28"/>
        </w:rPr>
        <w:t>20%</w:t>
      </w:r>
      <w:r>
        <w:rPr>
          <w:rFonts w:ascii="Arial" w:eastAsia="仿宋" w:hAnsi="Arial" w:cs="Arial"/>
          <w:color w:val="000000"/>
          <w:kern w:val="2"/>
          <w:sz w:val="28"/>
          <w:szCs w:val="28"/>
        </w:rPr>
        <w:t>），预计</w:t>
      </w:r>
      <w:r>
        <w:rPr>
          <w:rFonts w:ascii="Arial" w:eastAsia="仿宋" w:hAnsi="Arial" w:cs="Arial"/>
          <w:color w:val="000000"/>
          <w:kern w:val="2"/>
          <w:sz w:val="28"/>
          <w:szCs w:val="28"/>
        </w:rPr>
        <w:t>2024</w:t>
      </w:r>
      <w:r>
        <w:rPr>
          <w:rFonts w:ascii="Arial" w:eastAsia="仿宋" w:hAnsi="Arial" w:cs="Arial"/>
          <w:color w:val="000000"/>
          <w:kern w:val="2"/>
          <w:sz w:val="28"/>
          <w:szCs w:val="28"/>
        </w:rPr>
        <w:t>年北京土地市场供应宗地质量将有望进一步提升。从用地结构上，</w:t>
      </w:r>
      <w:r>
        <w:rPr>
          <w:rFonts w:ascii="Arial" w:eastAsia="仿宋" w:hAnsi="Arial" w:cs="Arial"/>
          <w:color w:val="000000"/>
          <w:kern w:val="2"/>
          <w:sz w:val="28"/>
          <w:szCs w:val="28"/>
        </w:rPr>
        <w:t>2024</w:t>
      </w:r>
      <w:r>
        <w:rPr>
          <w:rFonts w:ascii="Arial" w:eastAsia="仿宋" w:hAnsi="Arial" w:cs="Arial"/>
          <w:color w:val="000000"/>
          <w:kern w:val="2"/>
          <w:sz w:val="28"/>
          <w:szCs w:val="28"/>
        </w:rPr>
        <w:t>年安排产业用地</w:t>
      </w:r>
      <w:r>
        <w:rPr>
          <w:rFonts w:ascii="Arial" w:eastAsia="仿宋" w:hAnsi="Arial" w:cs="Arial"/>
          <w:color w:val="000000"/>
          <w:kern w:val="2"/>
          <w:sz w:val="28"/>
          <w:szCs w:val="28"/>
        </w:rPr>
        <w:t>510-530</w:t>
      </w:r>
      <w:r>
        <w:rPr>
          <w:rFonts w:ascii="Arial" w:eastAsia="仿宋" w:hAnsi="Arial" w:cs="Arial"/>
          <w:color w:val="000000"/>
          <w:kern w:val="2"/>
          <w:sz w:val="28"/>
          <w:szCs w:val="28"/>
        </w:rPr>
        <w:t>公顷（研发用地</w:t>
      </w:r>
      <w:r>
        <w:rPr>
          <w:rFonts w:ascii="Arial" w:eastAsia="仿宋" w:hAnsi="Arial" w:cs="Arial"/>
          <w:color w:val="000000"/>
          <w:kern w:val="2"/>
          <w:sz w:val="28"/>
          <w:szCs w:val="28"/>
        </w:rPr>
        <w:t>80</w:t>
      </w:r>
      <w:r>
        <w:rPr>
          <w:rFonts w:ascii="Arial" w:eastAsia="仿宋" w:hAnsi="Arial" w:cs="Arial"/>
          <w:color w:val="000000"/>
          <w:kern w:val="2"/>
          <w:sz w:val="28"/>
          <w:szCs w:val="28"/>
        </w:rPr>
        <w:t>公顷，工业用地</w:t>
      </w:r>
      <w:r>
        <w:rPr>
          <w:rFonts w:ascii="Arial" w:eastAsia="仿宋" w:hAnsi="Arial" w:cs="Arial"/>
          <w:color w:val="000000"/>
          <w:kern w:val="2"/>
          <w:sz w:val="28"/>
          <w:szCs w:val="28"/>
        </w:rPr>
        <w:t>200</w:t>
      </w:r>
      <w:r>
        <w:rPr>
          <w:rFonts w:ascii="Arial" w:eastAsia="仿宋" w:hAnsi="Arial" w:cs="Arial"/>
          <w:color w:val="000000"/>
          <w:kern w:val="2"/>
          <w:sz w:val="28"/>
          <w:szCs w:val="28"/>
        </w:rPr>
        <w:t>公顷，仓储用地</w:t>
      </w:r>
      <w:r>
        <w:rPr>
          <w:rFonts w:ascii="Arial" w:eastAsia="仿宋" w:hAnsi="Arial" w:cs="Arial"/>
          <w:color w:val="000000"/>
          <w:kern w:val="2"/>
          <w:sz w:val="28"/>
          <w:szCs w:val="28"/>
        </w:rPr>
        <w:t>100</w:t>
      </w:r>
      <w:r>
        <w:rPr>
          <w:rFonts w:ascii="Arial" w:eastAsia="仿宋" w:hAnsi="Arial" w:cs="Arial"/>
          <w:color w:val="000000"/>
          <w:kern w:val="2"/>
          <w:sz w:val="28"/>
          <w:szCs w:val="28"/>
        </w:rPr>
        <w:t>公顷，商服用地</w:t>
      </w:r>
      <w:r>
        <w:rPr>
          <w:rFonts w:ascii="Arial" w:eastAsia="仿宋" w:hAnsi="Arial" w:cs="Arial"/>
          <w:color w:val="000000"/>
          <w:kern w:val="2"/>
          <w:sz w:val="28"/>
          <w:szCs w:val="28"/>
        </w:rPr>
        <w:t>80</w:t>
      </w:r>
      <w:r>
        <w:rPr>
          <w:rFonts w:ascii="Arial" w:eastAsia="仿宋" w:hAnsi="Arial" w:cs="Arial"/>
          <w:color w:val="000000"/>
          <w:kern w:val="2"/>
          <w:sz w:val="28"/>
          <w:szCs w:val="28"/>
        </w:rPr>
        <w:t>公顷，乡村产业用地</w:t>
      </w:r>
      <w:r>
        <w:rPr>
          <w:rFonts w:ascii="Arial" w:eastAsia="仿宋" w:hAnsi="Arial" w:cs="Arial"/>
          <w:color w:val="000000"/>
          <w:kern w:val="2"/>
          <w:sz w:val="28"/>
          <w:szCs w:val="28"/>
        </w:rPr>
        <w:t>50-70</w:t>
      </w:r>
      <w:r>
        <w:rPr>
          <w:rFonts w:ascii="Arial" w:eastAsia="仿宋" w:hAnsi="Arial" w:cs="Arial"/>
          <w:color w:val="000000"/>
          <w:kern w:val="2"/>
          <w:sz w:val="28"/>
          <w:szCs w:val="28"/>
        </w:rPr>
        <w:t>公顷）；住宅用地</w:t>
      </w:r>
      <w:r>
        <w:rPr>
          <w:rFonts w:ascii="Arial" w:eastAsia="仿宋" w:hAnsi="Arial" w:cs="Arial"/>
          <w:color w:val="000000"/>
          <w:kern w:val="2"/>
          <w:sz w:val="28"/>
          <w:szCs w:val="28"/>
        </w:rPr>
        <w:t>1060</w:t>
      </w:r>
      <w:r>
        <w:rPr>
          <w:rFonts w:ascii="Arial" w:eastAsia="仿宋" w:hAnsi="Arial" w:cs="Arial"/>
          <w:color w:val="000000"/>
          <w:kern w:val="2"/>
          <w:sz w:val="28"/>
          <w:szCs w:val="28"/>
        </w:rPr>
        <w:t>公顷，其中安排商品住宅用地供应不低于</w:t>
      </w:r>
      <w:r>
        <w:rPr>
          <w:rFonts w:ascii="Arial" w:eastAsia="仿宋" w:hAnsi="Arial" w:cs="Arial"/>
          <w:color w:val="000000"/>
          <w:kern w:val="2"/>
          <w:sz w:val="28"/>
          <w:szCs w:val="28"/>
        </w:rPr>
        <w:t>300</w:t>
      </w:r>
      <w:r>
        <w:rPr>
          <w:rFonts w:ascii="Arial" w:eastAsia="仿宋" w:hAnsi="Arial" w:cs="Arial"/>
          <w:color w:val="000000"/>
          <w:kern w:val="2"/>
          <w:sz w:val="28"/>
          <w:szCs w:val="28"/>
        </w:rPr>
        <w:t>公顷，安排保障性住房用地</w:t>
      </w:r>
      <w:r>
        <w:rPr>
          <w:rFonts w:ascii="Arial" w:eastAsia="仿宋" w:hAnsi="Arial" w:cs="Arial"/>
          <w:color w:val="000000"/>
          <w:kern w:val="2"/>
          <w:sz w:val="28"/>
          <w:szCs w:val="28"/>
        </w:rPr>
        <w:t>460</w:t>
      </w:r>
      <w:r>
        <w:rPr>
          <w:rFonts w:ascii="Arial" w:eastAsia="仿宋" w:hAnsi="Arial" w:cs="Arial"/>
          <w:color w:val="000000"/>
          <w:kern w:val="2"/>
          <w:sz w:val="28"/>
          <w:szCs w:val="28"/>
        </w:rPr>
        <w:t>公顷。</w:t>
      </w:r>
      <w:r>
        <w:rPr>
          <w:rFonts w:ascii="Arial" w:eastAsia="仿宋" w:hAnsi="Arial" w:cs="Arial"/>
          <w:color w:val="000000"/>
          <w:kern w:val="2"/>
          <w:sz w:val="28"/>
          <w:szCs w:val="28"/>
        </w:rPr>
        <w:t>2024</w:t>
      </w:r>
      <w:r>
        <w:rPr>
          <w:rFonts w:ascii="Arial" w:eastAsia="仿宋" w:hAnsi="Arial" w:cs="Arial"/>
          <w:color w:val="000000"/>
          <w:kern w:val="2"/>
          <w:sz w:val="28"/>
          <w:szCs w:val="28"/>
        </w:rPr>
        <w:t>年产业用地供应布局倾向的重点功能区中去掉了现代服务业聚集区，这也意味着城市副中心运河商务区和文化旅游区、新首都高端产业综合服务区、丽泽金融商务服务区、南苑</w:t>
      </w:r>
      <w:r>
        <w:rPr>
          <w:rFonts w:ascii="Arial" w:eastAsia="仿宋" w:hAnsi="Arial" w:cs="Arial"/>
          <w:color w:val="000000"/>
          <w:kern w:val="2"/>
          <w:sz w:val="28"/>
          <w:szCs w:val="28"/>
        </w:rPr>
        <w:t>-</w:t>
      </w:r>
      <w:r>
        <w:rPr>
          <w:rFonts w:ascii="Arial" w:eastAsia="仿宋" w:hAnsi="Arial" w:cs="Arial"/>
          <w:color w:val="000000"/>
          <w:kern w:val="2"/>
          <w:sz w:val="28"/>
          <w:szCs w:val="28"/>
        </w:rPr>
        <w:t>大红门地区等服务业聚集区的产业用地供应将减少或者告一段落。</w:t>
      </w:r>
    </w:p>
    <w:p w14:paraId="6365E64D" w14:textId="77777777" w:rsidR="00E70101" w:rsidRDefault="0060680B">
      <w:pPr>
        <w:spacing w:line="360" w:lineRule="auto"/>
        <w:ind w:right="205"/>
        <w:jc w:val="both"/>
      </w:pPr>
      <w:r>
        <w:rPr>
          <w:rFonts w:ascii="MS Gothic;ＭＳ ゴシック" w:eastAsia="MS Gothic;ＭＳ ゴシック" w:hAnsi="MS Gothic;ＭＳ ゴシック" w:cs="MS Gothic;ＭＳ ゴシック"/>
          <w:b/>
          <w:bCs/>
          <w:color w:val="000000"/>
          <w:sz w:val="28"/>
          <w:szCs w:val="28"/>
        </w:rPr>
        <w:t xml:space="preserve">◆  </w:t>
      </w:r>
      <w:r>
        <w:rPr>
          <w:rFonts w:ascii="Arial" w:eastAsia="仿宋_GB2312;仿宋" w:hAnsi="Arial" w:cs="Arial"/>
          <w:b/>
          <w:bCs/>
          <w:color w:val="000000"/>
          <w:sz w:val="28"/>
          <w:szCs w:val="28"/>
        </w:rPr>
        <w:t>不动产市场状况</w:t>
      </w:r>
    </w:p>
    <w:p w14:paraId="5741067E" w14:textId="77777777" w:rsidR="00E70101" w:rsidRDefault="0060680B">
      <w:pPr>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w:t>
      </w:r>
      <w:r>
        <w:rPr>
          <w:rFonts w:ascii="Arial" w:eastAsia="仿宋_GB2312;仿宋" w:hAnsi="Arial" w:cs="Arial"/>
          <w:bCs/>
          <w:color w:val="000000"/>
          <w:sz w:val="28"/>
          <w:szCs w:val="28"/>
        </w:rPr>
        <w:t>1</w:t>
      </w:r>
      <w:r>
        <w:rPr>
          <w:rFonts w:ascii="Arial" w:eastAsia="仿宋_GB2312;仿宋" w:hAnsi="Arial" w:cs="Arial"/>
          <w:bCs/>
          <w:color w:val="000000"/>
          <w:sz w:val="28"/>
          <w:szCs w:val="28"/>
        </w:rPr>
        <w:t>）土地供应及成交</w:t>
      </w:r>
    </w:p>
    <w:p w14:paraId="74A2E68A" w14:textId="77777777" w:rsidR="00E70101" w:rsidRDefault="0060680B">
      <w:pPr>
        <w:spacing w:line="360" w:lineRule="auto"/>
        <w:ind w:firstLine="560"/>
        <w:jc w:val="both"/>
      </w:pPr>
      <w:r>
        <w:rPr>
          <w:rFonts w:ascii="Arial" w:eastAsia="仿宋_GB2312;仿宋" w:hAnsi="Arial" w:cs="Arial"/>
          <w:bCs/>
          <w:color w:val="000000"/>
          <w:sz w:val="28"/>
          <w:szCs w:val="28"/>
        </w:rPr>
        <w:t>2024</w:t>
      </w:r>
      <w:r>
        <w:rPr>
          <w:rFonts w:ascii="Arial" w:eastAsia="仿宋_GB2312;仿宋" w:hAnsi="Arial" w:cs="Arial"/>
          <w:bCs/>
          <w:color w:val="000000"/>
          <w:sz w:val="28"/>
          <w:szCs w:val="28"/>
        </w:rPr>
        <w:t>年北京计划供应产业用地</w:t>
      </w:r>
      <w:r>
        <w:rPr>
          <w:rFonts w:ascii="Arial" w:eastAsia="仿宋_GB2312;仿宋" w:hAnsi="Arial" w:cs="Arial"/>
          <w:bCs/>
          <w:color w:val="000000"/>
          <w:sz w:val="28"/>
          <w:szCs w:val="28"/>
        </w:rPr>
        <w:t>510~530</w:t>
      </w:r>
      <w:r>
        <w:rPr>
          <w:rFonts w:ascii="Arial" w:eastAsia="仿宋_GB2312;仿宋" w:hAnsi="Arial" w:cs="Arial"/>
          <w:bCs/>
          <w:color w:val="000000"/>
          <w:sz w:val="28"/>
          <w:szCs w:val="28"/>
        </w:rPr>
        <w:t>公顷，其中研发用地</w:t>
      </w:r>
      <w:r>
        <w:rPr>
          <w:rFonts w:ascii="Arial" w:eastAsia="仿宋_GB2312;仿宋" w:hAnsi="Arial" w:cs="Arial"/>
          <w:bCs/>
          <w:color w:val="000000"/>
          <w:sz w:val="28"/>
          <w:szCs w:val="28"/>
        </w:rPr>
        <w:t>80</w:t>
      </w:r>
      <w:r>
        <w:rPr>
          <w:rFonts w:ascii="Arial" w:eastAsia="仿宋_GB2312;仿宋" w:hAnsi="Arial" w:cs="Arial"/>
          <w:bCs/>
          <w:color w:val="000000"/>
          <w:sz w:val="28"/>
          <w:szCs w:val="28"/>
        </w:rPr>
        <w:t>公顷、工业用地</w:t>
      </w:r>
      <w:r>
        <w:rPr>
          <w:rFonts w:ascii="Arial" w:eastAsia="仿宋_GB2312;仿宋" w:hAnsi="Arial" w:cs="Arial"/>
          <w:bCs/>
          <w:color w:val="000000"/>
          <w:sz w:val="28"/>
          <w:szCs w:val="28"/>
        </w:rPr>
        <w:t>200</w:t>
      </w:r>
      <w:r>
        <w:rPr>
          <w:rFonts w:ascii="Arial" w:eastAsia="仿宋_GB2312;仿宋" w:hAnsi="Arial" w:cs="Arial"/>
          <w:bCs/>
          <w:color w:val="000000"/>
          <w:sz w:val="28"/>
          <w:szCs w:val="28"/>
        </w:rPr>
        <w:t>公顷、仓储用地</w:t>
      </w:r>
      <w:r>
        <w:rPr>
          <w:rFonts w:ascii="Arial" w:eastAsia="仿宋_GB2312;仿宋" w:hAnsi="Arial" w:cs="Arial"/>
          <w:bCs/>
          <w:color w:val="000000"/>
          <w:sz w:val="28"/>
          <w:szCs w:val="28"/>
        </w:rPr>
        <w:t>100</w:t>
      </w:r>
      <w:r>
        <w:rPr>
          <w:rFonts w:ascii="Arial" w:eastAsia="仿宋_GB2312;仿宋" w:hAnsi="Arial" w:cs="Arial"/>
          <w:bCs/>
          <w:color w:val="000000"/>
          <w:sz w:val="28"/>
          <w:szCs w:val="28"/>
        </w:rPr>
        <w:t>公顷、商服用地</w:t>
      </w:r>
      <w:r>
        <w:rPr>
          <w:rFonts w:ascii="Arial" w:eastAsia="仿宋_GB2312;仿宋" w:hAnsi="Arial" w:cs="Arial"/>
          <w:bCs/>
          <w:color w:val="000000"/>
          <w:sz w:val="28"/>
          <w:szCs w:val="28"/>
        </w:rPr>
        <w:t>80</w:t>
      </w:r>
      <w:r>
        <w:rPr>
          <w:rFonts w:ascii="Arial" w:eastAsia="仿宋_GB2312;仿宋" w:hAnsi="Arial" w:cs="Arial"/>
          <w:bCs/>
          <w:color w:val="000000"/>
          <w:sz w:val="28"/>
          <w:szCs w:val="28"/>
        </w:rPr>
        <w:t>公顷，乡村产业用地</w:t>
      </w:r>
      <w:r>
        <w:rPr>
          <w:rFonts w:ascii="Arial" w:eastAsia="仿宋_GB2312;仿宋" w:hAnsi="Arial" w:cs="Arial"/>
          <w:bCs/>
          <w:color w:val="000000"/>
          <w:sz w:val="28"/>
          <w:szCs w:val="28"/>
        </w:rPr>
        <w:t>50-70</w:t>
      </w:r>
      <w:r>
        <w:rPr>
          <w:rFonts w:ascii="Arial" w:eastAsia="仿宋_GB2312;仿宋" w:hAnsi="Arial" w:cs="Arial"/>
          <w:bCs/>
          <w:color w:val="000000"/>
          <w:sz w:val="28"/>
          <w:szCs w:val="28"/>
        </w:rPr>
        <w:t>公顷。按照不低于</w:t>
      </w:r>
      <w:r>
        <w:rPr>
          <w:rFonts w:ascii="Arial" w:eastAsia="仿宋_GB2312;仿宋" w:hAnsi="Arial" w:cs="Arial"/>
          <w:bCs/>
          <w:color w:val="000000"/>
          <w:sz w:val="28"/>
          <w:szCs w:val="28"/>
        </w:rPr>
        <w:t>80%</w:t>
      </w:r>
      <w:r>
        <w:rPr>
          <w:rFonts w:ascii="Arial" w:eastAsia="仿宋_GB2312;仿宋" w:hAnsi="Arial" w:cs="Arial"/>
          <w:bCs/>
          <w:color w:val="000000"/>
          <w:sz w:val="28"/>
          <w:szCs w:val="28"/>
        </w:rPr>
        <w:t>的比例推动产业用地向产业发展重点领域、重点功能区集聚，支持壮大高精尖产业集聚势能，加快供应智能制造、产业互联网、医药健康等产业用地。重点向服务国际科技创新中心、国家服务业扩大开放综合示范区和中国（北京）自由贸易试验区、</w:t>
      </w:r>
      <w:r>
        <w:rPr>
          <w:rFonts w:ascii="Arial" w:eastAsia="仿宋_GB2312;仿宋" w:hAnsi="Arial" w:cs="Arial"/>
          <w:bCs/>
          <w:color w:val="000000"/>
          <w:sz w:val="28"/>
          <w:szCs w:val="28"/>
        </w:rPr>
        <w:t>“</w:t>
      </w:r>
      <w:r>
        <w:rPr>
          <w:rFonts w:ascii="Arial" w:eastAsia="仿宋_GB2312;仿宋" w:hAnsi="Arial" w:cs="Arial"/>
          <w:bCs/>
          <w:color w:val="000000"/>
          <w:sz w:val="28"/>
          <w:szCs w:val="28"/>
        </w:rPr>
        <w:t>三城一区</w:t>
      </w:r>
      <w:r>
        <w:rPr>
          <w:rFonts w:ascii="Arial" w:eastAsia="仿宋_GB2312;仿宋" w:hAnsi="Arial" w:cs="Arial"/>
          <w:bCs/>
          <w:color w:val="000000"/>
          <w:sz w:val="28"/>
          <w:szCs w:val="28"/>
        </w:rPr>
        <w:t>”</w:t>
      </w:r>
      <w:r>
        <w:rPr>
          <w:rFonts w:ascii="Arial" w:eastAsia="仿宋_GB2312;仿宋" w:hAnsi="Arial" w:cs="Arial"/>
          <w:bCs/>
          <w:color w:val="000000"/>
          <w:sz w:val="28"/>
          <w:szCs w:val="28"/>
        </w:rPr>
        <w:t>、中关村国家自主创新示范区、临空经济区等重点功能区精准配置产业用地。</w:t>
      </w:r>
    </w:p>
    <w:p w14:paraId="28732303" w14:textId="77777777" w:rsidR="00E70101" w:rsidRDefault="0060680B">
      <w:pPr>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2024</w:t>
      </w:r>
      <w:r>
        <w:rPr>
          <w:rFonts w:ascii="Arial" w:eastAsia="仿宋_GB2312;仿宋" w:hAnsi="Arial" w:cs="Arial"/>
          <w:bCs/>
          <w:color w:val="000000"/>
          <w:sz w:val="28"/>
          <w:szCs w:val="28"/>
        </w:rPr>
        <w:t>年一季度，北京市推出工业用地（按公告时间）共计</w:t>
      </w:r>
      <w:r>
        <w:rPr>
          <w:rFonts w:ascii="Arial" w:eastAsia="仿宋_GB2312;仿宋" w:hAnsi="Arial" w:cs="Arial"/>
          <w:bCs/>
          <w:color w:val="000000"/>
          <w:sz w:val="28"/>
          <w:szCs w:val="28"/>
        </w:rPr>
        <w:t>4</w:t>
      </w:r>
      <w:r>
        <w:rPr>
          <w:rFonts w:ascii="Arial" w:eastAsia="仿宋_GB2312;仿宋" w:hAnsi="Arial" w:cs="Arial"/>
          <w:bCs/>
          <w:color w:val="000000"/>
          <w:sz w:val="28"/>
          <w:szCs w:val="28"/>
        </w:rPr>
        <w:t>宗，推出建设用地面积</w:t>
      </w:r>
      <w:r>
        <w:rPr>
          <w:rFonts w:ascii="Arial" w:eastAsia="仿宋_GB2312;仿宋" w:hAnsi="Arial" w:cs="Arial"/>
          <w:bCs/>
          <w:color w:val="000000"/>
          <w:sz w:val="28"/>
          <w:szCs w:val="28"/>
        </w:rPr>
        <w:t>26.77</w:t>
      </w:r>
      <w:r>
        <w:rPr>
          <w:rFonts w:ascii="Arial" w:eastAsia="仿宋_GB2312;仿宋" w:hAnsi="Arial" w:cs="Arial"/>
          <w:bCs/>
          <w:color w:val="000000"/>
          <w:sz w:val="28"/>
          <w:szCs w:val="28"/>
        </w:rPr>
        <w:t>万平方米；实际成交</w:t>
      </w:r>
      <w:r>
        <w:rPr>
          <w:rFonts w:ascii="Arial" w:eastAsia="仿宋_GB2312;仿宋" w:hAnsi="Arial" w:cs="Arial"/>
          <w:bCs/>
          <w:color w:val="000000"/>
          <w:sz w:val="28"/>
          <w:szCs w:val="28"/>
        </w:rPr>
        <w:t>3</w:t>
      </w:r>
      <w:r>
        <w:rPr>
          <w:rFonts w:ascii="Arial" w:eastAsia="仿宋_GB2312;仿宋" w:hAnsi="Arial" w:cs="Arial"/>
          <w:bCs/>
          <w:color w:val="000000"/>
          <w:sz w:val="28"/>
          <w:szCs w:val="28"/>
        </w:rPr>
        <w:t>宗，成交建设用地面积</w:t>
      </w:r>
      <w:r>
        <w:rPr>
          <w:rFonts w:ascii="Arial" w:eastAsia="仿宋_GB2312;仿宋" w:hAnsi="Arial" w:cs="Arial"/>
          <w:bCs/>
          <w:color w:val="000000"/>
          <w:sz w:val="28"/>
          <w:szCs w:val="28"/>
        </w:rPr>
        <w:t>22.99</w:t>
      </w:r>
      <w:r>
        <w:rPr>
          <w:rFonts w:ascii="Arial" w:eastAsia="仿宋_GB2312;仿宋" w:hAnsi="Arial" w:cs="Arial"/>
          <w:bCs/>
          <w:color w:val="000000"/>
          <w:sz w:val="28"/>
          <w:szCs w:val="28"/>
        </w:rPr>
        <w:t>万平方米。</w:t>
      </w:r>
    </w:p>
    <w:p w14:paraId="6412ECB3" w14:textId="77777777" w:rsidR="00E70101" w:rsidRDefault="0060680B">
      <w:pPr>
        <w:spacing w:line="360" w:lineRule="auto"/>
        <w:jc w:val="center"/>
        <w:rPr>
          <w:rFonts w:ascii="Arial" w:eastAsia="仿宋_GB2312;仿宋" w:hAnsi="Arial" w:cs="Arial"/>
          <w:bCs/>
          <w:color w:val="000000"/>
          <w:sz w:val="28"/>
          <w:szCs w:val="28"/>
        </w:rPr>
      </w:pPr>
      <w:r>
        <w:rPr>
          <w:noProof/>
        </w:rPr>
        <w:drawing>
          <wp:inline distT="0" distB="0" distL="0" distR="0" wp14:anchorId="04431CB0" wp14:editId="1DB03BBF">
            <wp:extent cx="5900420" cy="2696210"/>
            <wp:effectExtent l="0" t="0" r="0" b="0"/>
            <wp:docPr id="27" name="图像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像6"/>
                    <pic:cNvPicPr>
                      <a:picLocks noChangeAspect="1" noChangeArrowheads="1"/>
                    </pic:cNvPicPr>
                  </pic:nvPicPr>
                  <pic:blipFill>
                    <a:blip r:embed="rId29"/>
                    <a:srcRect l="-6" t="-12" r="-6" b="-12"/>
                    <a:stretch>
                      <a:fillRect/>
                    </a:stretch>
                  </pic:blipFill>
                  <pic:spPr bwMode="auto">
                    <a:xfrm>
                      <a:off x="0" y="0"/>
                      <a:ext cx="5900420" cy="2696210"/>
                    </a:xfrm>
                    <a:prstGeom prst="rect">
                      <a:avLst/>
                    </a:prstGeom>
                  </pic:spPr>
                </pic:pic>
              </a:graphicData>
            </a:graphic>
          </wp:inline>
        </w:drawing>
      </w:r>
    </w:p>
    <w:p w14:paraId="450F7B39" w14:textId="77777777" w:rsidR="00E70101" w:rsidRDefault="0060680B">
      <w:pPr>
        <w:spacing w:line="360" w:lineRule="auto"/>
        <w:ind w:firstLine="560"/>
        <w:jc w:val="both"/>
      </w:pPr>
      <w:r>
        <w:rPr>
          <w:rFonts w:ascii="Arial" w:eastAsia="仿宋_GB2312;仿宋" w:hAnsi="Arial" w:cs="Arial"/>
          <w:bCs/>
          <w:color w:val="000000"/>
          <w:sz w:val="28"/>
          <w:szCs w:val="28"/>
        </w:rPr>
        <w:t>（</w:t>
      </w:r>
      <w:r>
        <w:rPr>
          <w:rFonts w:ascii="Arial" w:eastAsia="仿宋_GB2312;仿宋" w:hAnsi="Arial" w:cs="Arial"/>
          <w:bCs/>
          <w:color w:val="000000"/>
          <w:sz w:val="28"/>
          <w:szCs w:val="28"/>
        </w:rPr>
        <w:t>2</w:t>
      </w:r>
      <w:r>
        <w:rPr>
          <w:rFonts w:ascii="Arial" w:eastAsia="仿宋_GB2312;仿宋" w:hAnsi="Arial" w:cs="Arial"/>
          <w:bCs/>
          <w:color w:val="000000"/>
          <w:sz w:val="28"/>
          <w:szCs w:val="28"/>
        </w:rPr>
        <w:t>）成交价格</w:t>
      </w:r>
    </w:p>
    <w:p w14:paraId="7DF71EA2" w14:textId="77777777" w:rsidR="00E70101" w:rsidRDefault="0060680B">
      <w:pPr>
        <w:spacing w:line="360" w:lineRule="auto"/>
        <w:ind w:firstLine="560"/>
        <w:jc w:val="both"/>
      </w:pPr>
      <w:r>
        <w:rPr>
          <w:rFonts w:ascii="Arial" w:eastAsia="仿宋_GB2312;仿宋" w:hAnsi="Arial" w:cs="Arial"/>
          <w:bCs/>
          <w:color w:val="000000"/>
          <w:sz w:val="28"/>
          <w:szCs w:val="28"/>
        </w:rPr>
        <w:t>2024</w:t>
      </w:r>
      <w:r>
        <w:rPr>
          <w:rFonts w:ascii="Arial" w:eastAsia="仿宋_GB2312;仿宋" w:hAnsi="Arial" w:cs="Arial"/>
          <w:bCs/>
          <w:color w:val="000000"/>
          <w:sz w:val="28"/>
          <w:szCs w:val="28"/>
        </w:rPr>
        <w:t>年一季度，北京市工业用地成交总额约</w:t>
      </w:r>
      <w:r>
        <w:rPr>
          <w:rFonts w:ascii="Arial" w:eastAsia="仿宋_GB2312;仿宋" w:hAnsi="Arial" w:cs="Arial"/>
          <w:bCs/>
          <w:color w:val="000000"/>
          <w:sz w:val="28"/>
          <w:szCs w:val="28"/>
        </w:rPr>
        <w:t>8811</w:t>
      </w:r>
      <w:r>
        <w:rPr>
          <w:rFonts w:ascii="Arial" w:eastAsia="仿宋_GB2312;仿宋" w:hAnsi="Arial" w:cs="Arial"/>
          <w:bCs/>
          <w:color w:val="000000"/>
          <w:sz w:val="28"/>
          <w:szCs w:val="28"/>
        </w:rPr>
        <w:t>万元，成交楼面单价</w:t>
      </w:r>
      <w:r>
        <w:rPr>
          <w:rFonts w:ascii="Arial" w:eastAsia="仿宋_GB2312;仿宋" w:hAnsi="Arial" w:cs="Arial"/>
          <w:bCs/>
          <w:color w:val="000000"/>
          <w:sz w:val="28"/>
          <w:szCs w:val="28"/>
        </w:rPr>
        <w:t>2209</w:t>
      </w:r>
      <w:r>
        <w:rPr>
          <w:rFonts w:ascii="Arial" w:eastAsia="仿宋_GB2312;仿宋" w:hAnsi="Arial" w:cs="Arial"/>
          <w:bCs/>
          <w:color w:val="000000"/>
          <w:sz w:val="28"/>
          <w:szCs w:val="28"/>
        </w:rPr>
        <w:t>元</w:t>
      </w:r>
      <w:r>
        <w:rPr>
          <w:rFonts w:ascii="Arial" w:eastAsia="仿宋_GB2312;仿宋" w:hAnsi="Arial" w:cs="Arial"/>
          <w:bCs/>
          <w:color w:val="000000"/>
          <w:sz w:val="28"/>
          <w:szCs w:val="28"/>
        </w:rPr>
        <w:t>/</w:t>
      </w:r>
      <w:r>
        <w:rPr>
          <w:rFonts w:ascii="Arial" w:eastAsia="仿宋_GB2312;仿宋" w:hAnsi="Arial" w:cs="Arial"/>
          <w:bCs/>
          <w:color w:val="000000"/>
          <w:sz w:val="28"/>
          <w:szCs w:val="28"/>
        </w:rPr>
        <w:t>平方米，地面价</w:t>
      </w:r>
      <w:r>
        <w:rPr>
          <w:rFonts w:ascii="Arial" w:eastAsia="仿宋_GB2312;仿宋" w:hAnsi="Arial" w:cs="Arial"/>
          <w:bCs/>
          <w:color w:val="000000"/>
          <w:sz w:val="28"/>
          <w:szCs w:val="28"/>
        </w:rPr>
        <w:t>3767</w:t>
      </w:r>
      <w:r>
        <w:rPr>
          <w:rFonts w:ascii="Arial" w:eastAsia="仿宋_GB2312;仿宋" w:hAnsi="Arial" w:cs="Arial"/>
          <w:bCs/>
          <w:color w:val="000000"/>
          <w:sz w:val="28"/>
          <w:szCs w:val="28"/>
        </w:rPr>
        <w:t>元</w:t>
      </w:r>
      <w:r>
        <w:rPr>
          <w:rFonts w:ascii="Arial" w:eastAsia="仿宋_GB2312;仿宋" w:hAnsi="Arial" w:cs="Arial"/>
          <w:bCs/>
          <w:color w:val="000000"/>
          <w:sz w:val="28"/>
          <w:szCs w:val="28"/>
        </w:rPr>
        <w:t>/</w:t>
      </w:r>
      <w:r>
        <w:rPr>
          <w:rFonts w:ascii="Arial" w:eastAsia="仿宋_GB2312;仿宋" w:hAnsi="Arial" w:cs="Arial"/>
          <w:bCs/>
          <w:color w:val="000000"/>
          <w:sz w:val="28"/>
          <w:szCs w:val="28"/>
        </w:rPr>
        <w:t>平方米（合</w:t>
      </w:r>
      <w:r>
        <w:rPr>
          <w:rFonts w:ascii="Arial" w:eastAsia="仿宋_GB2312;仿宋" w:hAnsi="Arial" w:cs="Arial"/>
          <w:bCs/>
          <w:color w:val="000000"/>
          <w:sz w:val="28"/>
          <w:szCs w:val="28"/>
        </w:rPr>
        <w:t>251</w:t>
      </w:r>
      <w:r>
        <w:rPr>
          <w:rFonts w:ascii="Arial" w:eastAsia="仿宋_GB2312;仿宋" w:hAnsi="Arial" w:cs="Arial"/>
          <w:bCs/>
          <w:color w:val="000000"/>
          <w:sz w:val="28"/>
          <w:szCs w:val="28"/>
        </w:rPr>
        <w:t>万元</w:t>
      </w:r>
      <w:r>
        <w:rPr>
          <w:rFonts w:ascii="Arial" w:eastAsia="仿宋_GB2312;仿宋" w:hAnsi="Arial" w:cs="Arial"/>
          <w:bCs/>
          <w:color w:val="000000"/>
          <w:sz w:val="28"/>
          <w:szCs w:val="28"/>
        </w:rPr>
        <w:t>/</w:t>
      </w:r>
      <w:r>
        <w:rPr>
          <w:rFonts w:ascii="Arial" w:eastAsia="仿宋_GB2312;仿宋" w:hAnsi="Arial" w:cs="Arial"/>
          <w:bCs/>
          <w:color w:val="000000"/>
          <w:sz w:val="28"/>
          <w:szCs w:val="28"/>
        </w:rPr>
        <w:t>亩）。自</w:t>
      </w:r>
      <w:r>
        <w:rPr>
          <w:rFonts w:ascii="Arial" w:eastAsia="仿宋_GB2312;仿宋" w:hAnsi="Arial" w:cs="Arial"/>
          <w:bCs/>
          <w:color w:val="000000"/>
          <w:sz w:val="28"/>
          <w:szCs w:val="28"/>
        </w:rPr>
        <w:t>2015</w:t>
      </w:r>
      <w:r>
        <w:rPr>
          <w:rFonts w:ascii="Arial" w:eastAsia="仿宋_GB2312;仿宋" w:hAnsi="Arial" w:cs="Arial"/>
          <w:bCs/>
          <w:color w:val="000000"/>
          <w:sz w:val="28"/>
          <w:szCs w:val="28"/>
        </w:rPr>
        <w:t>年起，北京市工业用地均为零溢价成交。地价方面，</w:t>
      </w:r>
      <w:r>
        <w:rPr>
          <w:rFonts w:ascii="Arial" w:eastAsia="仿宋_GB2312;仿宋" w:hAnsi="Arial" w:cs="Arial"/>
          <w:bCs/>
          <w:color w:val="000000"/>
          <w:sz w:val="28"/>
          <w:szCs w:val="28"/>
        </w:rPr>
        <w:t>2013</w:t>
      </w:r>
      <w:r>
        <w:rPr>
          <w:rFonts w:ascii="Arial" w:eastAsia="仿宋_GB2312;仿宋" w:hAnsi="Arial" w:cs="Arial"/>
          <w:bCs/>
          <w:color w:val="000000"/>
          <w:sz w:val="28"/>
          <w:szCs w:val="28"/>
        </w:rPr>
        <w:t>年至今除受成交结构影响在</w:t>
      </w:r>
      <w:r>
        <w:rPr>
          <w:rFonts w:ascii="Arial" w:eastAsia="仿宋_GB2312;仿宋" w:hAnsi="Arial" w:cs="Arial"/>
          <w:bCs/>
          <w:color w:val="000000"/>
          <w:sz w:val="28"/>
          <w:szCs w:val="28"/>
        </w:rPr>
        <w:t>2017</w:t>
      </w:r>
      <w:r>
        <w:rPr>
          <w:rFonts w:ascii="Arial" w:eastAsia="仿宋_GB2312;仿宋" w:hAnsi="Arial" w:cs="Arial"/>
          <w:bCs/>
          <w:color w:val="000000"/>
          <w:sz w:val="28"/>
          <w:szCs w:val="28"/>
        </w:rPr>
        <w:t>年出现较大波动，工业用地市场呈平稳上涨趋势。</w:t>
      </w:r>
      <w:r>
        <w:rPr>
          <w:rFonts w:ascii="Arial" w:eastAsia="仿宋_GB2312;仿宋" w:hAnsi="Arial" w:cs="Arial"/>
          <w:bCs/>
          <w:color w:val="000000"/>
          <w:sz w:val="28"/>
          <w:szCs w:val="28"/>
        </w:rPr>
        <w:t>2024</w:t>
      </w:r>
      <w:r>
        <w:rPr>
          <w:rFonts w:ascii="Arial" w:eastAsia="仿宋_GB2312;仿宋" w:hAnsi="Arial" w:cs="Arial"/>
          <w:bCs/>
          <w:color w:val="000000"/>
          <w:sz w:val="28"/>
          <w:szCs w:val="28"/>
        </w:rPr>
        <w:t>年一季度，受成交物流用地影响，工业成交地价再次出现较大涨幅，若扣除物流用地成交影响，整体仍呈平稳上涨趋势。</w:t>
      </w:r>
    </w:p>
    <w:p w14:paraId="0C5F2065" w14:textId="77777777" w:rsidR="00E70101" w:rsidRDefault="0060680B">
      <w:pPr>
        <w:spacing w:line="360" w:lineRule="auto"/>
        <w:jc w:val="center"/>
      </w:pPr>
      <w:r>
        <w:rPr>
          <w:rFonts w:ascii="Arial" w:eastAsia="仿宋_GB2312;仿宋" w:hAnsi="Arial" w:cs="Arial"/>
          <w:b/>
          <w:bCs/>
          <w:color w:val="000000"/>
          <w:szCs w:val="28"/>
        </w:rPr>
        <w:t>2014</w:t>
      </w:r>
      <w:r>
        <w:rPr>
          <w:rFonts w:ascii="Arial" w:eastAsia="仿宋_GB2312;仿宋" w:hAnsi="Arial" w:cs="Arial"/>
          <w:b/>
          <w:bCs/>
          <w:color w:val="000000"/>
          <w:szCs w:val="28"/>
        </w:rPr>
        <w:t>年至</w:t>
      </w:r>
      <w:r>
        <w:rPr>
          <w:rFonts w:ascii="Arial" w:eastAsia="仿宋_GB2312;仿宋" w:hAnsi="Arial" w:cs="Arial"/>
          <w:b/>
          <w:bCs/>
          <w:color w:val="000000"/>
          <w:szCs w:val="28"/>
        </w:rPr>
        <w:t>2024</w:t>
      </w:r>
      <w:r>
        <w:rPr>
          <w:rFonts w:ascii="Arial" w:eastAsia="仿宋_GB2312;仿宋" w:hAnsi="Arial" w:cs="Arial"/>
          <w:b/>
          <w:bCs/>
          <w:color w:val="000000"/>
          <w:szCs w:val="28"/>
        </w:rPr>
        <w:t>年</w:t>
      </w:r>
      <w:r>
        <w:rPr>
          <w:rFonts w:ascii="Arial" w:eastAsia="仿宋_GB2312;仿宋" w:hAnsi="Arial" w:cs="Arial"/>
          <w:b/>
          <w:bCs/>
          <w:color w:val="000000"/>
          <w:szCs w:val="28"/>
        </w:rPr>
        <w:t>Q1</w:t>
      </w:r>
      <w:r>
        <w:rPr>
          <w:rFonts w:ascii="Arial" w:eastAsia="仿宋_GB2312;仿宋" w:hAnsi="Arial" w:cs="Arial"/>
          <w:b/>
          <w:bCs/>
          <w:color w:val="000000"/>
          <w:szCs w:val="28"/>
        </w:rPr>
        <w:t>北京市工业用地地价走势</w:t>
      </w:r>
    </w:p>
    <w:p w14:paraId="386A79C4" w14:textId="77777777" w:rsidR="00E70101" w:rsidRDefault="0060680B">
      <w:pPr>
        <w:spacing w:line="360" w:lineRule="auto"/>
        <w:jc w:val="center"/>
        <w:rPr>
          <w:lang w:val="zh-CN"/>
        </w:rPr>
      </w:pPr>
      <w:r>
        <w:rPr>
          <w:noProof/>
        </w:rPr>
        <w:drawing>
          <wp:inline distT="0" distB="0" distL="0" distR="0" wp14:anchorId="0CF0BD85" wp14:editId="0AA35476">
            <wp:extent cx="5905500" cy="2315210"/>
            <wp:effectExtent l="0" t="0" r="0" b="0"/>
            <wp:docPr id="28" name="图像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像7"/>
                    <pic:cNvPicPr>
                      <a:picLocks noChangeAspect="1" noChangeArrowheads="1"/>
                    </pic:cNvPicPr>
                  </pic:nvPicPr>
                  <pic:blipFill>
                    <a:blip r:embed="rId30"/>
                    <a:srcRect l="-6" t="-15" r="-6" b="-15"/>
                    <a:stretch>
                      <a:fillRect/>
                    </a:stretch>
                  </pic:blipFill>
                  <pic:spPr bwMode="auto">
                    <a:xfrm>
                      <a:off x="0" y="0"/>
                      <a:ext cx="5905500" cy="2315210"/>
                    </a:xfrm>
                    <a:prstGeom prst="rect">
                      <a:avLst/>
                    </a:prstGeom>
                  </pic:spPr>
                </pic:pic>
              </a:graphicData>
            </a:graphic>
          </wp:inline>
        </w:drawing>
      </w:r>
    </w:p>
    <w:p w14:paraId="67CE1B15" w14:textId="77777777" w:rsidR="00E70101" w:rsidRDefault="0060680B">
      <w:pPr>
        <w:widowControl/>
        <w:spacing w:line="220" w:lineRule="exact"/>
        <w:textAlignment w:val="auto"/>
      </w:pPr>
      <w:r>
        <w:rPr>
          <w:rFonts w:ascii="Arial" w:hAnsi="Arial" w:cs="宋体;SimSun"/>
          <w:color w:val="000000"/>
          <w:sz w:val="20"/>
        </w:rPr>
        <w:t>注：图中</w:t>
      </w:r>
      <w:r>
        <w:rPr>
          <w:rFonts w:ascii="Arial" w:hAnsi="Arial" w:cs="宋体;SimSun"/>
          <w:color w:val="000000"/>
          <w:sz w:val="20"/>
        </w:rPr>
        <w:t>2022</w:t>
      </w:r>
      <w:r>
        <w:rPr>
          <w:rFonts w:ascii="Arial" w:hAnsi="Arial" w:cs="宋体;SimSun"/>
          <w:color w:val="000000"/>
          <w:sz w:val="20"/>
        </w:rPr>
        <w:t>年至</w:t>
      </w:r>
      <w:r>
        <w:rPr>
          <w:rFonts w:ascii="Arial" w:hAnsi="Arial" w:cs="宋体;SimSun"/>
          <w:color w:val="000000"/>
          <w:sz w:val="20"/>
        </w:rPr>
        <w:t>2024Q1</w:t>
      </w:r>
      <w:r>
        <w:rPr>
          <w:rFonts w:ascii="Arial" w:hAnsi="Arial" w:cs="宋体;SimSun"/>
          <w:color w:val="000000"/>
          <w:sz w:val="20"/>
        </w:rPr>
        <w:t>虚线段为扣除物流用地影响走势</w:t>
      </w:r>
    </w:p>
    <w:p w14:paraId="68F1EE63" w14:textId="77777777" w:rsidR="00E70101" w:rsidRDefault="00E70101">
      <w:pPr>
        <w:widowControl/>
        <w:spacing w:line="220" w:lineRule="exact"/>
        <w:textAlignment w:val="auto"/>
        <w:rPr>
          <w:rFonts w:ascii="宋体;SimSun" w:hAnsi="宋体;SimSun" w:cs="宋体;SimSun"/>
          <w:color w:val="000000"/>
          <w:sz w:val="22"/>
          <w:szCs w:val="22"/>
        </w:rPr>
      </w:pPr>
    </w:p>
    <w:p w14:paraId="24532C2D" w14:textId="77777777" w:rsidR="00E70101" w:rsidRDefault="0060680B">
      <w:pPr>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w:t>
      </w:r>
      <w:r>
        <w:rPr>
          <w:rFonts w:ascii="Arial" w:eastAsia="仿宋_GB2312;仿宋" w:hAnsi="Arial" w:cs="Arial"/>
          <w:bCs/>
          <w:color w:val="000000"/>
          <w:sz w:val="28"/>
          <w:szCs w:val="28"/>
        </w:rPr>
        <w:t>3</w:t>
      </w:r>
      <w:r>
        <w:rPr>
          <w:rFonts w:ascii="Arial" w:eastAsia="仿宋_GB2312;仿宋" w:hAnsi="Arial" w:cs="Arial"/>
          <w:bCs/>
          <w:color w:val="000000"/>
          <w:sz w:val="28"/>
          <w:szCs w:val="28"/>
        </w:rPr>
        <w:t>）区域成交情况</w:t>
      </w:r>
    </w:p>
    <w:p w14:paraId="25D27684" w14:textId="77777777" w:rsidR="00E70101" w:rsidRDefault="0060680B">
      <w:pPr>
        <w:widowControl/>
        <w:spacing w:line="360" w:lineRule="auto"/>
        <w:ind w:firstLine="560"/>
        <w:jc w:val="both"/>
        <w:textAlignment w:val="auto"/>
      </w:pPr>
      <w:r>
        <w:rPr>
          <w:rFonts w:ascii="Arial" w:eastAsia="仿宋_GB2312;仿宋" w:hAnsi="Arial" w:cs="Arial"/>
          <w:bCs/>
          <w:color w:val="000000"/>
          <w:sz w:val="28"/>
          <w:szCs w:val="28"/>
        </w:rPr>
        <w:t>2024</w:t>
      </w:r>
      <w:r>
        <w:rPr>
          <w:rFonts w:ascii="Arial" w:eastAsia="仿宋_GB2312;仿宋" w:hAnsi="Arial" w:cs="Arial"/>
          <w:bCs/>
          <w:color w:val="000000"/>
          <w:sz w:val="28"/>
          <w:szCs w:val="28"/>
        </w:rPr>
        <w:t>年一季度北京市工业用地成交</w:t>
      </w:r>
      <w:r>
        <w:rPr>
          <w:rFonts w:ascii="Arial" w:eastAsia="仿宋_GB2312;仿宋" w:hAnsi="Arial" w:cs="Arial"/>
          <w:bCs/>
          <w:color w:val="000000"/>
          <w:sz w:val="28"/>
          <w:szCs w:val="28"/>
        </w:rPr>
        <w:t>3</w:t>
      </w:r>
      <w:r>
        <w:rPr>
          <w:rFonts w:ascii="Arial" w:eastAsia="仿宋_GB2312;仿宋" w:hAnsi="Arial" w:cs="Arial"/>
          <w:bCs/>
          <w:color w:val="000000"/>
          <w:sz w:val="28"/>
          <w:szCs w:val="28"/>
        </w:rPr>
        <w:t>宗，分别位于大兴区、平谷区及昌平区。</w:t>
      </w:r>
    </w:p>
    <w:p w14:paraId="16197A53" w14:textId="77777777" w:rsidR="00E70101" w:rsidRDefault="0060680B">
      <w:pPr>
        <w:widowControl/>
        <w:spacing w:line="360" w:lineRule="auto"/>
        <w:ind w:firstLine="560"/>
        <w:jc w:val="both"/>
        <w:textAlignment w:val="auto"/>
        <w:rPr>
          <w:lang w:val="zh-CN"/>
        </w:rPr>
      </w:pPr>
      <w:r>
        <w:rPr>
          <w:rFonts w:ascii="Arial" w:eastAsia="仿宋_GB2312;仿宋" w:hAnsi="Arial" w:cs="Arial"/>
          <w:bCs/>
          <w:sz w:val="28"/>
          <w:szCs w:val="28"/>
        </w:rPr>
        <w:t>大兴区成交宗地位于亦庄新城地区，为</w:t>
      </w:r>
      <w:r>
        <w:rPr>
          <w:rFonts w:ascii="Arial" w:eastAsia="仿宋_GB2312;仿宋" w:hAnsi="Arial" w:cs="Arial"/>
          <w:bCs/>
          <w:sz w:val="28"/>
          <w:szCs w:val="28"/>
        </w:rPr>
        <w:t>M1</w:t>
      </w:r>
      <w:r>
        <w:rPr>
          <w:rFonts w:ascii="Arial" w:eastAsia="仿宋_GB2312;仿宋" w:hAnsi="Arial" w:cs="Arial"/>
          <w:bCs/>
          <w:sz w:val="28"/>
          <w:szCs w:val="28"/>
        </w:rPr>
        <w:t>一类工业用地，建设用地面积</w:t>
      </w:r>
      <w:r>
        <w:rPr>
          <w:rFonts w:ascii="Arial" w:eastAsia="仿宋_GB2312;仿宋" w:hAnsi="Arial" w:cs="Arial"/>
          <w:bCs/>
          <w:sz w:val="28"/>
          <w:szCs w:val="28"/>
        </w:rPr>
        <w:t>1.75</w:t>
      </w:r>
      <w:r>
        <w:rPr>
          <w:rFonts w:ascii="Arial" w:eastAsia="仿宋_GB2312;仿宋" w:hAnsi="Arial" w:cs="Arial"/>
          <w:bCs/>
          <w:sz w:val="28"/>
          <w:szCs w:val="28"/>
        </w:rPr>
        <w:t>万平方米，成交地面均价为</w:t>
      </w:r>
      <w:r>
        <w:rPr>
          <w:rFonts w:ascii="Arial" w:eastAsia="仿宋_GB2312;仿宋" w:hAnsi="Arial" w:cs="Arial"/>
          <w:bCs/>
          <w:sz w:val="28"/>
          <w:szCs w:val="28"/>
        </w:rPr>
        <w:t>1197</w:t>
      </w:r>
      <w:r>
        <w:rPr>
          <w:rFonts w:ascii="Arial" w:eastAsia="仿宋_GB2312;仿宋" w:hAnsi="Arial" w:cs="Arial"/>
          <w:bCs/>
          <w:sz w:val="28"/>
          <w:szCs w:val="28"/>
        </w:rPr>
        <w:t>元</w:t>
      </w:r>
      <w:r>
        <w:rPr>
          <w:rFonts w:ascii="Arial" w:eastAsia="仿宋_GB2312;仿宋" w:hAnsi="Arial" w:cs="Arial"/>
          <w:bCs/>
          <w:sz w:val="28"/>
          <w:szCs w:val="28"/>
        </w:rPr>
        <w:t>/</w:t>
      </w:r>
      <w:r>
        <w:rPr>
          <w:rFonts w:ascii="Arial" w:eastAsia="仿宋_GB2312;仿宋" w:hAnsi="Arial" w:cs="Arial"/>
          <w:bCs/>
          <w:sz w:val="28"/>
          <w:szCs w:val="28"/>
        </w:rPr>
        <w:t>平方米（约合</w:t>
      </w:r>
      <w:r>
        <w:rPr>
          <w:rFonts w:ascii="Arial" w:eastAsia="仿宋_GB2312;仿宋" w:hAnsi="Arial" w:cs="Arial"/>
          <w:bCs/>
          <w:sz w:val="28"/>
          <w:szCs w:val="28"/>
        </w:rPr>
        <w:t>79.8</w:t>
      </w:r>
      <w:r>
        <w:rPr>
          <w:rFonts w:ascii="Arial" w:eastAsia="仿宋_GB2312;仿宋" w:hAnsi="Arial" w:cs="Arial"/>
          <w:bCs/>
          <w:sz w:val="28"/>
          <w:szCs w:val="28"/>
        </w:rPr>
        <w:t>万</w:t>
      </w:r>
      <w:r>
        <w:rPr>
          <w:rFonts w:ascii="Arial" w:eastAsia="仿宋_GB2312;仿宋" w:hAnsi="Arial" w:cs="Arial"/>
          <w:bCs/>
          <w:sz w:val="28"/>
          <w:szCs w:val="28"/>
        </w:rPr>
        <w:t>/</w:t>
      </w:r>
      <w:r>
        <w:rPr>
          <w:rFonts w:ascii="Arial" w:eastAsia="仿宋_GB2312;仿宋" w:hAnsi="Arial" w:cs="Arial"/>
          <w:bCs/>
          <w:sz w:val="28"/>
          <w:szCs w:val="28"/>
        </w:rPr>
        <w:t>亩）；平谷区成交建设用地面积</w:t>
      </w:r>
      <w:r>
        <w:rPr>
          <w:rFonts w:ascii="Arial" w:eastAsia="仿宋_GB2312;仿宋" w:hAnsi="Arial" w:cs="Arial"/>
          <w:bCs/>
          <w:sz w:val="28"/>
          <w:szCs w:val="28"/>
        </w:rPr>
        <w:t>18.67</w:t>
      </w:r>
      <w:r>
        <w:rPr>
          <w:rFonts w:ascii="Arial" w:eastAsia="仿宋_GB2312;仿宋" w:hAnsi="Arial" w:cs="Arial"/>
          <w:bCs/>
          <w:sz w:val="28"/>
          <w:szCs w:val="28"/>
        </w:rPr>
        <w:t>万平方米，成交地面均价为</w:t>
      </w:r>
      <w:r>
        <w:rPr>
          <w:rFonts w:ascii="Arial" w:eastAsia="仿宋_GB2312;仿宋" w:hAnsi="Arial" w:cs="Arial"/>
          <w:bCs/>
          <w:sz w:val="28"/>
          <w:szCs w:val="28"/>
        </w:rPr>
        <w:t>4168</w:t>
      </w:r>
      <w:r>
        <w:rPr>
          <w:rFonts w:ascii="Arial" w:eastAsia="仿宋_GB2312;仿宋" w:hAnsi="Arial" w:cs="Arial"/>
          <w:bCs/>
          <w:sz w:val="28"/>
          <w:szCs w:val="28"/>
        </w:rPr>
        <w:t>元</w:t>
      </w:r>
      <w:r>
        <w:rPr>
          <w:rFonts w:ascii="Arial" w:eastAsia="仿宋_GB2312;仿宋" w:hAnsi="Arial" w:cs="Arial"/>
          <w:bCs/>
          <w:sz w:val="28"/>
          <w:szCs w:val="28"/>
        </w:rPr>
        <w:t>/</w:t>
      </w:r>
      <w:r>
        <w:rPr>
          <w:rFonts w:ascii="Arial" w:eastAsia="仿宋_GB2312;仿宋" w:hAnsi="Arial" w:cs="Arial"/>
          <w:bCs/>
          <w:sz w:val="28"/>
          <w:szCs w:val="28"/>
        </w:rPr>
        <w:t>平方米（约合</w:t>
      </w:r>
      <w:r>
        <w:rPr>
          <w:rFonts w:ascii="Arial" w:eastAsia="仿宋_GB2312;仿宋" w:hAnsi="Arial" w:cs="Arial"/>
          <w:bCs/>
          <w:sz w:val="28"/>
          <w:szCs w:val="28"/>
        </w:rPr>
        <w:t>278</w:t>
      </w:r>
      <w:r>
        <w:rPr>
          <w:rFonts w:ascii="Arial" w:eastAsia="仿宋_GB2312;仿宋" w:hAnsi="Arial" w:cs="Arial"/>
          <w:bCs/>
          <w:sz w:val="28"/>
          <w:szCs w:val="28"/>
        </w:rPr>
        <w:t>万</w:t>
      </w:r>
      <w:r>
        <w:rPr>
          <w:rFonts w:ascii="Arial" w:eastAsia="仿宋_GB2312;仿宋" w:hAnsi="Arial" w:cs="Arial"/>
          <w:bCs/>
          <w:sz w:val="28"/>
          <w:szCs w:val="28"/>
        </w:rPr>
        <w:t>/</w:t>
      </w:r>
      <w:r>
        <w:rPr>
          <w:rFonts w:ascii="Arial" w:eastAsia="仿宋_GB2312;仿宋" w:hAnsi="Arial" w:cs="Arial"/>
          <w:bCs/>
          <w:sz w:val="28"/>
          <w:szCs w:val="28"/>
        </w:rPr>
        <w:t>亩），为</w:t>
      </w:r>
      <w:r>
        <w:rPr>
          <w:rFonts w:ascii="Arial" w:eastAsia="仿宋_GB2312;仿宋" w:hAnsi="Arial" w:cs="Arial"/>
          <w:bCs/>
          <w:sz w:val="28"/>
          <w:szCs w:val="28"/>
        </w:rPr>
        <w:t>W1</w:t>
      </w:r>
      <w:r>
        <w:rPr>
          <w:rFonts w:ascii="Arial" w:eastAsia="仿宋_GB2312;仿宋" w:hAnsi="Arial" w:cs="Arial"/>
          <w:bCs/>
          <w:sz w:val="28"/>
          <w:szCs w:val="28"/>
        </w:rPr>
        <w:t>物流用地；昌平区成交建设用地面积</w:t>
      </w:r>
      <w:r>
        <w:rPr>
          <w:rFonts w:ascii="Arial" w:eastAsia="仿宋_GB2312;仿宋" w:hAnsi="Arial" w:cs="Arial"/>
          <w:bCs/>
          <w:sz w:val="28"/>
          <w:szCs w:val="28"/>
        </w:rPr>
        <w:t>2.57</w:t>
      </w:r>
      <w:r>
        <w:rPr>
          <w:rFonts w:ascii="Arial" w:eastAsia="仿宋_GB2312;仿宋" w:hAnsi="Arial" w:cs="Arial"/>
          <w:bCs/>
          <w:sz w:val="28"/>
          <w:szCs w:val="28"/>
        </w:rPr>
        <w:t>万平方米，成交地面均价为</w:t>
      </w:r>
      <w:r>
        <w:rPr>
          <w:rFonts w:ascii="Arial" w:eastAsia="仿宋_GB2312;仿宋" w:hAnsi="Arial" w:cs="Arial"/>
          <w:bCs/>
          <w:sz w:val="28"/>
          <w:szCs w:val="28"/>
        </w:rPr>
        <w:t>2610</w:t>
      </w:r>
      <w:r>
        <w:rPr>
          <w:rFonts w:ascii="Arial" w:eastAsia="仿宋_GB2312;仿宋" w:hAnsi="Arial" w:cs="Arial"/>
          <w:bCs/>
          <w:sz w:val="28"/>
          <w:szCs w:val="28"/>
        </w:rPr>
        <w:t>元</w:t>
      </w:r>
      <w:r>
        <w:rPr>
          <w:rFonts w:ascii="Arial" w:eastAsia="仿宋_GB2312;仿宋" w:hAnsi="Arial" w:cs="Arial"/>
          <w:bCs/>
          <w:sz w:val="28"/>
          <w:szCs w:val="28"/>
        </w:rPr>
        <w:t>/</w:t>
      </w:r>
      <w:r>
        <w:rPr>
          <w:rFonts w:ascii="Arial" w:eastAsia="仿宋_GB2312;仿宋" w:hAnsi="Arial" w:cs="Arial"/>
          <w:bCs/>
          <w:sz w:val="28"/>
          <w:szCs w:val="28"/>
        </w:rPr>
        <w:t>平方米（约合</w:t>
      </w:r>
      <w:r>
        <w:rPr>
          <w:rFonts w:ascii="Arial" w:eastAsia="仿宋_GB2312;仿宋" w:hAnsi="Arial" w:cs="Arial"/>
          <w:bCs/>
          <w:sz w:val="28"/>
          <w:szCs w:val="28"/>
        </w:rPr>
        <w:t>174</w:t>
      </w:r>
      <w:r>
        <w:rPr>
          <w:rFonts w:ascii="Arial" w:eastAsia="仿宋_GB2312;仿宋" w:hAnsi="Arial" w:cs="Arial"/>
          <w:bCs/>
          <w:sz w:val="28"/>
          <w:szCs w:val="28"/>
        </w:rPr>
        <w:t>万</w:t>
      </w:r>
      <w:r>
        <w:rPr>
          <w:rFonts w:ascii="Arial" w:eastAsia="仿宋_GB2312;仿宋" w:hAnsi="Arial" w:cs="Arial"/>
          <w:bCs/>
          <w:sz w:val="28"/>
          <w:szCs w:val="28"/>
        </w:rPr>
        <w:t>/</w:t>
      </w:r>
      <w:r>
        <w:rPr>
          <w:rFonts w:ascii="Arial" w:eastAsia="仿宋_GB2312;仿宋" w:hAnsi="Arial" w:cs="Arial"/>
          <w:bCs/>
          <w:sz w:val="28"/>
          <w:szCs w:val="28"/>
        </w:rPr>
        <w:t>亩），为</w:t>
      </w:r>
      <w:r>
        <w:rPr>
          <w:rFonts w:ascii="Arial" w:eastAsia="仿宋_GB2312;仿宋" w:hAnsi="Arial" w:cs="Arial"/>
          <w:bCs/>
          <w:sz w:val="28"/>
          <w:szCs w:val="28"/>
        </w:rPr>
        <w:t>M1</w:t>
      </w:r>
      <w:r>
        <w:rPr>
          <w:rFonts w:ascii="Arial" w:eastAsia="仿宋_GB2312;仿宋" w:hAnsi="Arial" w:cs="Arial"/>
          <w:bCs/>
          <w:sz w:val="28"/>
          <w:szCs w:val="28"/>
        </w:rPr>
        <w:t>一类工业用地。</w:t>
      </w:r>
      <w:r>
        <w:rPr>
          <w:rFonts w:eastAsia="Times New Roman"/>
          <w:lang w:val="zh-CN"/>
        </w:rPr>
        <w:t xml:space="preserve"> </w:t>
      </w:r>
    </w:p>
    <w:p w14:paraId="6A7689DB" w14:textId="77777777" w:rsidR="00E70101" w:rsidRDefault="0060680B">
      <w:pPr>
        <w:spacing w:line="360" w:lineRule="auto"/>
        <w:rPr>
          <w:lang w:val="zh-CN"/>
        </w:rPr>
      </w:pPr>
      <w:r>
        <w:rPr>
          <w:rFonts w:eastAsia="Times New Roman"/>
          <w:lang w:val="zh-CN"/>
        </w:rPr>
        <w:t xml:space="preserve"> </w:t>
      </w:r>
      <w:r>
        <w:rPr>
          <w:rFonts w:eastAsia="Times New Roman"/>
          <w:noProof/>
        </w:rPr>
        <mc:AlternateContent>
          <mc:Choice Requires="wps">
            <w:drawing>
              <wp:anchor distT="0" distB="0" distL="114935" distR="114935" simplePos="0" relativeHeight="77" behindDoc="0" locked="0" layoutInCell="1" allowOverlap="1" wp14:anchorId="36EBEEBC" wp14:editId="14328129">
                <wp:simplePos x="0" y="0"/>
                <wp:positionH relativeFrom="column">
                  <wp:posOffset>4194810</wp:posOffset>
                </wp:positionH>
                <wp:positionV relativeFrom="paragraph">
                  <wp:posOffset>4697095</wp:posOffset>
                </wp:positionV>
                <wp:extent cx="1603375" cy="591185"/>
                <wp:effectExtent l="0" t="0" r="0" b="0"/>
                <wp:wrapNone/>
                <wp:docPr id="29" name="线形标注 2 29"/>
                <wp:cNvGraphicFramePr/>
                <a:graphic xmlns:a="http://schemas.openxmlformats.org/drawingml/2006/main">
                  <a:graphicData uri="http://schemas.microsoft.com/office/word/2010/wordprocessingShape">
                    <wps:wsp>
                      <wps:cNvSpPr/>
                      <wps:spPr>
                        <a:xfrm>
                          <a:off x="0" y="0"/>
                          <a:ext cx="1602720" cy="590400"/>
                        </a:xfrm>
                        <a:prstGeom prst="borderCallout2">
                          <a:avLst>
                            <a:gd name="adj1" fmla="val 18750"/>
                            <a:gd name="adj2" fmla="val -8333"/>
                            <a:gd name="adj3" fmla="val 19356"/>
                            <a:gd name="adj4" fmla="val -41083"/>
                            <a:gd name="adj5" fmla="val -96129"/>
                            <a:gd name="adj6" fmla="val -77893"/>
                          </a:avLst>
                        </a:prstGeom>
                        <a:solidFill>
                          <a:srgbClr val="FFFFFF"/>
                        </a:solidFill>
                        <a:ln w="9360">
                          <a:solidFill>
                            <a:srgbClr val="000000"/>
                          </a:solidFill>
                          <a:miter/>
                          <a:headEnd type="oval" w="med" len="med"/>
                          <a:tailEnd type="oval" w="med" len="med"/>
                        </a:ln>
                      </wps:spPr>
                      <wps:style>
                        <a:lnRef idx="0">
                          <a:scrgbClr r="0" g="0" b="0"/>
                        </a:lnRef>
                        <a:fillRef idx="0">
                          <a:scrgbClr r="0" g="0" b="0"/>
                        </a:fillRef>
                        <a:effectRef idx="0">
                          <a:scrgbClr r="0" g="0" b="0"/>
                        </a:effectRef>
                        <a:fontRef idx="minor"/>
                      </wps:style>
                      <wps:txbx>
                        <w:txbxContent>
                          <w:p w14:paraId="2BF4AF3E" w14:textId="77777777" w:rsidR="0060680B" w:rsidRDefault="0060680B">
                            <w:pPr>
                              <w:overflowPunct w:val="0"/>
                              <w:spacing w:line="240" w:lineRule="exact"/>
                            </w:pPr>
                            <w:r>
                              <w:rPr>
                                <w:rFonts w:ascii="Arial" w:hAnsi="Arial" w:cs="Arial"/>
                                <w:b/>
                                <w:kern w:val="2"/>
                                <w:sz w:val="15"/>
                                <w:szCs w:val="15"/>
                              </w:rPr>
                              <w:t>亦庄新城地区（</w:t>
                            </w:r>
                            <w:r>
                              <w:rPr>
                                <w:rFonts w:ascii="Arial" w:hAnsi="Arial" w:cs="Arial"/>
                                <w:b/>
                                <w:kern w:val="2"/>
                                <w:sz w:val="15"/>
                                <w:szCs w:val="15"/>
                              </w:rPr>
                              <w:t>1</w:t>
                            </w:r>
                            <w:r>
                              <w:rPr>
                                <w:rFonts w:ascii="Arial" w:hAnsi="Arial" w:cs="Arial"/>
                                <w:b/>
                                <w:kern w:val="2"/>
                                <w:sz w:val="15"/>
                                <w:szCs w:val="15"/>
                              </w:rPr>
                              <w:t>宗）</w:t>
                            </w:r>
                          </w:p>
                          <w:p w14:paraId="64F3A288" w14:textId="77777777" w:rsidR="0060680B" w:rsidRDefault="0060680B">
                            <w:pPr>
                              <w:overflowPunct w:val="0"/>
                              <w:spacing w:line="240" w:lineRule="exact"/>
                            </w:pPr>
                            <w:r>
                              <w:rPr>
                                <w:rFonts w:ascii="Arial" w:hAnsi="Arial" w:cs="Arial"/>
                                <w:kern w:val="2"/>
                                <w:sz w:val="15"/>
                                <w:szCs w:val="15"/>
                              </w:rPr>
                              <w:t>综合配套服务区（瀛海），</w:t>
                            </w: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79.8</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71AF2068" w14:textId="77777777" w:rsidR="0060680B" w:rsidRDefault="0060680B">
                            <w:pPr>
                              <w:overflowPunct w:val="0"/>
                              <w:spacing w:line="240" w:lineRule="exact"/>
                            </w:pPr>
                            <w:r>
                              <w:rPr>
                                <w:rFonts w:ascii="Arial" w:hAnsi="Arial" w:cs="Arial"/>
                                <w:kern w:val="2"/>
                                <w:sz w:val="15"/>
                                <w:szCs w:val="15"/>
                              </w:rPr>
                              <w:t xml:space="preserve">      </w:t>
                            </w:r>
                          </w:p>
                        </w:txbxContent>
                      </wps:txbx>
                      <wps:bodyPr lIns="36360" tIns="36360" rIns="36360" bIns="36360">
                        <a:noAutofit/>
                      </wps:bodyPr>
                    </wps:wsp>
                  </a:graphicData>
                </a:graphic>
              </wp:anchor>
            </w:drawing>
          </mc:Choice>
          <mc:Fallback>
            <w:pict>
              <v:shape w14:anchorId="36EBEEBC" id="线形标注 2 29" o:spid="_x0000_s1030" type="#_x0000_t48" style="position:absolute;margin-left:330.3pt;margin-top:369.85pt;width:126.25pt;height:46.55pt;z-index:77;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" adj="-16825,-20764,-8874,4181" strokeweight=".26mm">
                <v:stroke startarrow="oval" endarrow="oval"/>
                <v:textbox inset="1.01mm,1.01mm,1.01mm,1.01mm">
                  <w:txbxContent>
                    <w:p w14:paraId="2BF4AF3E" w14:textId="77777777" w:rsidR="0060680B" w:rsidRDefault="0060680B">
                      <w:pPr>
                        <w:overflowPunct w:val="0"/>
                        <w:spacing w:line="240" w:lineRule="exact"/>
                      </w:pPr>
                      <w:r>
                        <w:rPr>
                          <w:rFonts w:ascii="Arial" w:hAnsi="Arial" w:cs="Arial"/>
                          <w:b/>
                          <w:kern w:val="2"/>
                          <w:sz w:val="15"/>
                          <w:szCs w:val="15"/>
                        </w:rPr>
                        <w:t>亦庄新城地区（</w:t>
                      </w:r>
                      <w:r>
                        <w:rPr>
                          <w:rFonts w:ascii="Arial" w:hAnsi="Arial" w:cs="Arial"/>
                          <w:b/>
                          <w:kern w:val="2"/>
                          <w:sz w:val="15"/>
                          <w:szCs w:val="15"/>
                        </w:rPr>
                        <w:t>1</w:t>
                      </w:r>
                      <w:r>
                        <w:rPr>
                          <w:rFonts w:ascii="Arial" w:hAnsi="Arial" w:cs="Arial"/>
                          <w:b/>
                          <w:kern w:val="2"/>
                          <w:sz w:val="15"/>
                          <w:szCs w:val="15"/>
                        </w:rPr>
                        <w:t>宗）</w:t>
                      </w:r>
                    </w:p>
                    <w:p w14:paraId="64F3A288" w14:textId="77777777" w:rsidR="0060680B" w:rsidRDefault="0060680B">
                      <w:pPr>
                        <w:overflowPunct w:val="0"/>
                        <w:spacing w:line="240" w:lineRule="exact"/>
                      </w:pPr>
                      <w:r>
                        <w:rPr>
                          <w:rFonts w:ascii="Arial" w:hAnsi="Arial" w:cs="Arial"/>
                          <w:kern w:val="2"/>
                          <w:sz w:val="15"/>
                          <w:szCs w:val="15"/>
                        </w:rPr>
                        <w:t>综合配套服务区（瀛海），</w:t>
                      </w: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79.8</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71AF2068" w14:textId="77777777" w:rsidR="0060680B" w:rsidRDefault="0060680B">
                      <w:pPr>
                        <w:overflowPunct w:val="0"/>
                        <w:spacing w:line="240" w:lineRule="exact"/>
                      </w:pPr>
                      <w:r>
                        <w:rPr>
                          <w:rFonts w:ascii="Arial" w:hAnsi="Arial" w:cs="Arial"/>
                          <w:kern w:val="2"/>
                          <w:sz w:val="15"/>
                          <w:szCs w:val="15"/>
                        </w:rPr>
                        <w:t xml:space="preserve">      </w:t>
                      </w:r>
                    </w:p>
                  </w:txbxContent>
                </v:textbox>
              </v:shape>
            </w:pict>
          </mc:Fallback>
        </mc:AlternateContent>
      </w:r>
      <w:r>
        <w:rPr>
          <w:rFonts w:eastAsia="Times New Roman"/>
          <w:noProof/>
        </w:rPr>
        <mc:AlternateContent>
          <mc:Choice Requires="wps">
            <w:drawing>
              <wp:anchor distT="0" distB="0" distL="114935" distR="114935" simplePos="0" relativeHeight="78" behindDoc="0" locked="0" layoutInCell="1" allowOverlap="1" wp14:anchorId="7091B3B8" wp14:editId="20A89208">
                <wp:simplePos x="0" y="0"/>
                <wp:positionH relativeFrom="column">
                  <wp:posOffset>4605655</wp:posOffset>
                </wp:positionH>
                <wp:positionV relativeFrom="paragraph">
                  <wp:posOffset>3084195</wp:posOffset>
                </wp:positionV>
                <wp:extent cx="1192530" cy="695325"/>
                <wp:effectExtent l="0" t="0" r="0" b="0"/>
                <wp:wrapNone/>
                <wp:docPr id="30" name="线形标注 2 30"/>
                <wp:cNvGraphicFramePr/>
                <a:graphic xmlns:a="http://schemas.openxmlformats.org/drawingml/2006/main">
                  <a:graphicData uri="http://schemas.microsoft.com/office/word/2010/wordprocessingShape">
                    <wps:wsp>
                      <wps:cNvSpPr/>
                      <wps:spPr>
                        <a:xfrm>
                          <a:off x="0" y="0"/>
                          <a:ext cx="1191960" cy="694800"/>
                        </a:xfrm>
                        <a:prstGeom prst="borderCallout2">
                          <a:avLst>
                            <a:gd name="adj1" fmla="val 18750"/>
                            <a:gd name="adj2" fmla="val -8333"/>
                            <a:gd name="adj3" fmla="val 16453"/>
                            <a:gd name="adj4" fmla="val -6393"/>
                            <a:gd name="adj5" fmla="val 16453"/>
                            <a:gd name="adj6" fmla="val -28717"/>
                          </a:avLst>
                        </a:prstGeom>
                        <a:solidFill>
                          <a:srgbClr val="FFFFFF"/>
                        </a:solidFill>
                        <a:ln w="9360">
                          <a:solidFill>
                            <a:srgbClr val="000000"/>
                          </a:solidFill>
                          <a:miter/>
                          <a:headEnd type="oval" w="med" len="med"/>
                          <a:tailEnd type="oval" w="med" len="med"/>
                        </a:ln>
                      </wps:spPr>
                      <wps:style>
                        <a:lnRef idx="0">
                          <a:scrgbClr r="0" g="0" b="0"/>
                        </a:lnRef>
                        <a:fillRef idx="0">
                          <a:scrgbClr r="0" g="0" b="0"/>
                        </a:fillRef>
                        <a:effectRef idx="0">
                          <a:scrgbClr r="0" g="0" b="0"/>
                        </a:effectRef>
                        <a:fontRef idx="minor"/>
                      </wps:style>
                      <wps:txbx>
                        <w:txbxContent>
                          <w:p w14:paraId="1EF86020" w14:textId="77777777" w:rsidR="0060680B" w:rsidRDefault="0060680B">
                            <w:pPr>
                              <w:overflowPunct w:val="0"/>
                              <w:spacing w:line="240" w:lineRule="exact"/>
                            </w:pPr>
                            <w:r>
                              <w:rPr>
                                <w:rFonts w:ascii="Arial" w:hAnsi="Arial" w:cs="Arial"/>
                                <w:b/>
                                <w:kern w:val="2"/>
                                <w:sz w:val="15"/>
                                <w:szCs w:val="15"/>
                              </w:rPr>
                              <w:t>平谷区（</w:t>
                            </w:r>
                            <w:r>
                              <w:rPr>
                                <w:rFonts w:ascii="Arial" w:hAnsi="Arial" w:cs="Arial"/>
                                <w:b/>
                                <w:kern w:val="2"/>
                                <w:sz w:val="15"/>
                                <w:szCs w:val="15"/>
                              </w:rPr>
                              <w:t>1</w:t>
                            </w:r>
                            <w:r>
                              <w:rPr>
                                <w:rFonts w:ascii="Arial" w:hAnsi="Arial" w:cs="Arial"/>
                                <w:b/>
                                <w:kern w:val="2"/>
                                <w:sz w:val="15"/>
                                <w:szCs w:val="15"/>
                              </w:rPr>
                              <w:t>宗）</w:t>
                            </w:r>
                          </w:p>
                          <w:p w14:paraId="398C6BEA" w14:textId="77777777" w:rsidR="0060680B" w:rsidRDefault="0060680B">
                            <w:pPr>
                              <w:overflowPunct w:val="0"/>
                              <w:spacing w:line="240" w:lineRule="exact"/>
                            </w:pPr>
                            <w:r>
                              <w:rPr>
                                <w:rFonts w:ascii="Arial" w:hAnsi="Arial" w:cs="Arial"/>
                                <w:kern w:val="2"/>
                                <w:sz w:val="15"/>
                                <w:szCs w:val="15"/>
                              </w:rPr>
                              <w:t>京平公转铁综合物流枢纽产业园，</w:t>
                            </w:r>
                            <w:r>
                              <w:rPr>
                                <w:rFonts w:ascii="Arial" w:hAnsi="Arial" w:cs="Arial"/>
                                <w:kern w:val="2"/>
                                <w:sz w:val="15"/>
                                <w:szCs w:val="15"/>
                              </w:rPr>
                              <w:t>W1</w:t>
                            </w:r>
                            <w:r>
                              <w:rPr>
                                <w:rFonts w:ascii="Arial" w:hAnsi="Arial" w:cs="Arial"/>
                                <w:kern w:val="2"/>
                                <w:sz w:val="15"/>
                                <w:szCs w:val="15"/>
                              </w:rPr>
                              <w:t>（</w:t>
                            </w:r>
                            <w:r>
                              <w:rPr>
                                <w:rFonts w:ascii="Arial" w:hAnsi="Arial" w:cs="Arial"/>
                                <w:kern w:val="2"/>
                                <w:sz w:val="15"/>
                                <w:szCs w:val="15"/>
                              </w:rPr>
                              <w:t>50</w:t>
                            </w:r>
                            <w:r>
                              <w:rPr>
                                <w:rFonts w:ascii="Arial" w:hAnsi="Arial" w:cs="Arial"/>
                                <w:kern w:val="2"/>
                                <w:sz w:val="15"/>
                                <w:szCs w:val="15"/>
                              </w:rPr>
                              <w:t>年）：</w:t>
                            </w:r>
                          </w:p>
                          <w:p w14:paraId="5B14C400" w14:textId="77777777" w:rsidR="0060680B" w:rsidRDefault="0060680B">
                            <w:pPr>
                              <w:overflowPunct w:val="0"/>
                              <w:spacing w:line="240" w:lineRule="exact"/>
                              <w:ind w:firstLine="225"/>
                            </w:pPr>
                            <w:r>
                              <w:rPr>
                                <w:rFonts w:ascii="Arial" w:hAnsi="Arial" w:cs="Arial"/>
                                <w:kern w:val="2"/>
                                <w:sz w:val="15"/>
                                <w:szCs w:val="15"/>
                              </w:rPr>
                              <w:t>278</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wps:txbx>
                      <wps:bodyPr lIns="36360" tIns="36360" rIns="36360" bIns="36360">
                        <a:noAutofit/>
                      </wps:bodyPr>
                    </wps:wsp>
                  </a:graphicData>
                </a:graphic>
              </wp:anchor>
            </w:drawing>
          </mc:Choice>
          <mc:Fallback>
            <w:pict>
              <v:shape w14:anchorId="7091B3B8" id="线形标注 2 30" o:spid="_x0000_s1031" type="#_x0000_t48" style="position:absolute;margin-left:362.65pt;margin-top:242.85pt;width:93.9pt;height:54.75pt;z-index:7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" adj="-6203,3554,-1381,3554" strokeweight=".26mm">
                <v:stroke startarrow="oval" endarrow="oval"/>
                <v:textbox inset="1.01mm,1.01mm,1.01mm,1.01mm">
                  <w:txbxContent>
                    <w:p w14:paraId="1EF86020" w14:textId="77777777" w:rsidR="0060680B" w:rsidRDefault="0060680B">
                      <w:pPr>
                        <w:overflowPunct w:val="0"/>
                        <w:spacing w:line="240" w:lineRule="exact"/>
                      </w:pPr>
                      <w:r>
                        <w:rPr>
                          <w:rFonts w:ascii="Arial" w:hAnsi="Arial" w:cs="Arial"/>
                          <w:b/>
                          <w:kern w:val="2"/>
                          <w:sz w:val="15"/>
                          <w:szCs w:val="15"/>
                        </w:rPr>
                        <w:t>平谷区（</w:t>
                      </w:r>
                      <w:r>
                        <w:rPr>
                          <w:rFonts w:ascii="Arial" w:hAnsi="Arial" w:cs="Arial"/>
                          <w:b/>
                          <w:kern w:val="2"/>
                          <w:sz w:val="15"/>
                          <w:szCs w:val="15"/>
                        </w:rPr>
                        <w:t>1</w:t>
                      </w:r>
                      <w:r>
                        <w:rPr>
                          <w:rFonts w:ascii="Arial" w:hAnsi="Arial" w:cs="Arial"/>
                          <w:b/>
                          <w:kern w:val="2"/>
                          <w:sz w:val="15"/>
                          <w:szCs w:val="15"/>
                        </w:rPr>
                        <w:t>宗）</w:t>
                      </w:r>
                    </w:p>
                    <w:p w14:paraId="398C6BEA" w14:textId="77777777" w:rsidR="0060680B" w:rsidRDefault="0060680B">
                      <w:pPr>
                        <w:overflowPunct w:val="0"/>
                        <w:spacing w:line="240" w:lineRule="exact"/>
                      </w:pPr>
                      <w:r>
                        <w:rPr>
                          <w:rFonts w:ascii="Arial" w:hAnsi="Arial" w:cs="Arial"/>
                          <w:kern w:val="2"/>
                          <w:sz w:val="15"/>
                          <w:szCs w:val="15"/>
                        </w:rPr>
                        <w:t>京平公转铁综合物流枢纽产业园，</w:t>
                      </w:r>
                      <w:r>
                        <w:rPr>
                          <w:rFonts w:ascii="Arial" w:hAnsi="Arial" w:cs="Arial"/>
                          <w:kern w:val="2"/>
                          <w:sz w:val="15"/>
                          <w:szCs w:val="15"/>
                        </w:rPr>
                        <w:t>W1</w:t>
                      </w:r>
                      <w:r>
                        <w:rPr>
                          <w:rFonts w:ascii="Arial" w:hAnsi="Arial" w:cs="Arial"/>
                          <w:kern w:val="2"/>
                          <w:sz w:val="15"/>
                          <w:szCs w:val="15"/>
                        </w:rPr>
                        <w:t>（</w:t>
                      </w:r>
                      <w:r>
                        <w:rPr>
                          <w:rFonts w:ascii="Arial" w:hAnsi="Arial" w:cs="Arial"/>
                          <w:kern w:val="2"/>
                          <w:sz w:val="15"/>
                          <w:szCs w:val="15"/>
                        </w:rPr>
                        <w:t>50</w:t>
                      </w:r>
                      <w:r>
                        <w:rPr>
                          <w:rFonts w:ascii="Arial" w:hAnsi="Arial" w:cs="Arial"/>
                          <w:kern w:val="2"/>
                          <w:sz w:val="15"/>
                          <w:szCs w:val="15"/>
                        </w:rPr>
                        <w:t>年）：</w:t>
                      </w:r>
                    </w:p>
                    <w:p w14:paraId="5B14C400" w14:textId="77777777" w:rsidR="0060680B" w:rsidRDefault="0060680B">
                      <w:pPr>
                        <w:overflowPunct w:val="0"/>
                        <w:spacing w:line="240" w:lineRule="exact"/>
                        <w:ind w:firstLine="225"/>
                      </w:pPr>
                      <w:r>
                        <w:rPr>
                          <w:rFonts w:ascii="Arial" w:hAnsi="Arial" w:cs="Arial"/>
                          <w:kern w:val="2"/>
                          <w:sz w:val="15"/>
                          <w:szCs w:val="15"/>
                        </w:rPr>
                        <w:t>278</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v:textbox>
              </v:shape>
            </w:pict>
          </mc:Fallback>
        </mc:AlternateContent>
      </w:r>
      <w:r>
        <w:rPr>
          <w:rFonts w:eastAsia="Times New Roman"/>
          <w:noProof/>
        </w:rPr>
        <mc:AlternateContent>
          <mc:Choice Requires="wps">
            <w:drawing>
              <wp:anchor distT="0" distB="0" distL="114935" distR="114935" simplePos="0" relativeHeight="79" behindDoc="0" locked="0" layoutInCell="1" allowOverlap="1" wp14:anchorId="7DF6FDDE" wp14:editId="07761A00">
                <wp:simplePos x="0" y="0"/>
                <wp:positionH relativeFrom="column">
                  <wp:posOffset>107950</wp:posOffset>
                </wp:positionH>
                <wp:positionV relativeFrom="paragraph">
                  <wp:posOffset>2006600</wp:posOffset>
                </wp:positionV>
                <wp:extent cx="1393825" cy="471805"/>
                <wp:effectExtent l="0" t="0" r="0" b="0"/>
                <wp:wrapNone/>
                <wp:docPr id="31" name="线形标注 2 31"/>
                <wp:cNvGraphicFramePr/>
                <a:graphic xmlns:a="http://schemas.openxmlformats.org/drawingml/2006/main">
                  <a:graphicData uri="http://schemas.microsoft.com/office/word/2010/wordprocessingShape">
                    <wps:wsp>
                      <wps:cNvSpPr/>
                      <wps:spPr>
                        <a:xfrm>
                          <a:off x="0" y="0"/>
                          <a:ext cx="1393200" cy="471240"/>
                        </a:xfrm>
                        <a:prstGeom prst="borderCallout2">
                          <a:avLst>
                            <a:gd name="adj1" fmla="val 18750"/>
                            <a:gd name="adj2" fmla="val -8333"/>
                            <a:gd name="adj3" fmla="val 24259"/>
                            <a:gd name="adj4" fmla="val 125203"/>
                            <a:gd name="adj5" fmla="val 207680"/>
                            <a:gd name="adj6" fmla="val 159800"/>
                          </a:avLst>
                        </a:prstGeom>
                        <a:solidFill>
                          <a:srgbClr val="FFFFFF"/>
                        </a:solidFill>
                        <a:ln w="9360">
                          <a:solidFill>
                            <a:srgbClr val="000000"/>
                          </a:solidFill>
                          <a:miter/>
                          <a:headEnd type="oval" w="med" len="med"/>
                          <a:tailEnd type="oval" w="med" len="med"/>
                        </a:ln>
                      </wps:spPr>
                      <wps:style>
                        <a:lnRef idx="0">
                          <a:scrgbClr r="0" g="0" b="0"/>
                        </a:lnRef>
                        <a:fillRef idx="0">
                          <a:scrgbClr r="0" g="0" b="0"/>
                        </a:fillRef>
                        <a:effectRef idx="0">
                          <a:scrgbClr r="0" g="0" b="0"/>
                        </a:effectRef>
                        <a:fontRef idx="minor"/>
                      </wps:style>
                      <wps:txbx>
                        <w:txbxContent>
                          <w:p w14:paraId="6E9EF9C7" w14:textId="77777777" w:rsidR="0060680B" w:rsidRDefault="0060680B">
                            <w:pPr>
                              <w:overflowPunct w:val="0"/>
                              <w:spacing w:line="240" w:lineRule="exact"/>
                            </w:pPr>
                            <w:r>
                              <w:rPr>
                                <w:rFonts w:ascii="Arial" w:hAnsi="Arial" w:cs="Arial"/>
                                <w:b/>
                                <w:kern w:val="2"/>
                                <w:sz w:val="15"/>
                                <w:szCs w:val="15"/>
                              </w:rPr>
                              <w:t>昌平区（</w:t>
                            </w:r>
                            <w:r>
                              <w:rPr>
                                <w:rFonts w:ascii="Arial" w:hAnsi="Arial" w:cs="Arial"/>
                                <w:b/>
                                <w:kern w:val="2"/>
                                <w:sz w:val="15"/>
                                <w:szCs w:val="15"/>
                              </w:rPr>
                              <w:t>1</w:t>
                            </w:r>
                            <w:r>
                              <w:rPr>
                                <w:rFonts w:ascii="Arial" w:hAnsi="Arial" w:cs="Arial"/>
                                <w:b/>
                                <w:kern w:val="2"/>
                                <w:sz w:val="15"/>
                                <w:szCs w:val="15"/>
                              </w:rPr>
                              <w:t>宗）</w:t>
                            </w:r>
                          </w:p>
                          <w:p w14:paraId="63E14505" w14:textId="77777777" w:rsidR="0060680B" w:rsidRDefault="0060680B">
                            <w:pPr>
                              <w:overflowPunct w:val="0"/>
                              <w:spacing w:line="240" w:lineRule="exact"/>
                            </w:pPr>
                            <w:r>
                              <w:rPr>
                                <w:rFonts w:ascii="Arial" w:hAnsi="Arial" w:cs="Arial"/>
                                <w:kern w:val="2"/>
                                <w:sz w:val="15"/>
                                <w:szCs w:val="15"/>
                              </w:rPr>
                              <w:t>北七家，</w:t>
                            </w: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174</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wps:txbx>
                      <wps:bodyPr lIns="36360" tIns="36360" rIns="36360" bIns="36360">
                        <a:noAutofit/>
                      </wps:bodyPr>
                    </wps:wsp>
                  </a:graphicData>
                </a:graphic>
              </wp:anchor>
            </w:drawing>
          </mc:Choice>
          <mc:Fallback>
            <w:pict>
              <v:shape w14:anchorId="7DF6FDDE" id="线形标注 2 31" o:spid="_x0000_s1032" type="#_x0000_t48" style="position:absolute;margin-left:8.5pt;margin-top:158pt;width:109.75pt;height:37.15pt;z-index:79;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" adj="34517,44859,27044,5240" strokeweight=".26mm">
                <v:stroke startarrow="oval" endarrow="oval"/>
                <v:textbox inset="1.01mm,1.01mm,1.01mm,1.01mm">
                  <w:txbxContent>
                    <w:p w14:paraId="6E9EF9C7" w14:textId="77777777" w:rsidR="0060680B" w:rsidRDefault="0060680B">
                      <w:pPr>
                        <w:overflowPunct w:val="0"/>
                        <w:spacing w:line="240" w:lineRule="exact"/>
                      </w:pPr>
                      <w:r>
                        <w:rPr>
                          <w:rFonts w:ascii="Arial" w:hAnsi="Arial" w:cs="Arial"/>
                          <w:b/>
                          <w:kern w:val="2"/>
                          <w:sz w:val="15"/>
                          <w:szCs w:val="15"/>
                        </w:rPr>
                        <w:t>昌平区（</w:t>
                      </w:r>
                      <w:r>
                        <w:rPr>
                          <w:rFonts w:ascii="Arial" w:hAnsi="Arial" w:cs="Arial"/>
                          <w:b/>
                          <w:kern w:val="2"/>
                          <w:sz w:val="15"/>
                          <w:szCs w:val="15"/>
                        </w:rPr>
                        <w:t>1</w:t>
                      </w:r>
                      <w:r>
                        <w:rPr>
                          <w:rFonts w:ascii="Arial" w:hAnsi="Arial" w:cs="Arial"/>
                          <w:b/>
                          <w:kern w:val="2"/>
                          <w:sz w:val="15"/>
                          <w:szCs w:val="15"/>
                        </w:rPr>
                        <w:t>宗）</w:t>
                      </w:r>
                    </w:p>
                    <w:p w14:paraId="63E14505" w14:textId="77777777" w:rsidR="0060680B" w:rsidRDefault="0060680B">
                      <w:pPr>
                        <w:overflowPunct w:val="0"/>
                        <w:spacing w:line="240" w:lineRule="exact"/>
                      </w:pPr>
                      <w:r>
                        <w:rPr>
                          <w:rFonts w:ascii="Arial" w:hAnsi="Arial" w:cs="Arial"/>
                          <w:kern w:val="2"/>
                          <w:sz w:val="15"/>
                          <w:szCs w:val="15"/>
                        </w:rPr>
                        <w:t>北七家，</w:t>
                      </w: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174</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v:textbox>
                <o:callout v:ext="edit" minusx="t" minusy="t"/>
              </v:shape>
            </w:pict>
          </mc:Fallback>
        </mc:AlternateContent>
      </w:r>
      <w:r>
        <w:rPr>
          <w:noProof/>
        </w:rPr>
        <w:drawing>
          <wp:inline distT="0" distB="0" distL="0" distR="0" wp14:anchorId="58D0184A" wp14:editId="4240A1C1">
            <wp:extent cx="5749925" cy="5760720"/>
            <wp:effectExtent l="0" t="0" r="0" b="0"/>
            <wp:docPr id="32" name="图像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像8"/>
                    <pic:cNvPicPr>
                      <a:picLocks noChangeAspect="1" noChangeArrowheads="1"/>
                    </pic:cNvPicPr>
                  </pic:nvPicPr>
                  <pic:blipFill>
                    <a:blip r:embed="rId31"/>
                    <a:srcRect l="-5" t="-6" r="-5" b="-6"/>
                    <a:stretch>
                      <a:fillRect/>
                    </a:stretch>
                  </pic:blipFill>
                  <pic:spPr bwMode="auto">
                    <a:xfrm>
                      <a:off x="0" y="0"/>
                      <a:ext cx="5749925" cy="5760720"/>
                    </a:xfrm>
                    <a:prstGeom prst="rect">
                      <a:avLst/>
                    </a:prstGeom>
                  </pic:spPr>
                </pic:pic>
              </a:graphicData>
            </a:graphic>
          </wp:inline>
        </w:drawing>
      </w:r>
      <w:r>
        <w:rPr>
          <w:noProof/>
        </w:rPr>
        <mc:AlternateContent>
          <mc:Choice Requires="wps">
            <w:drawing>
              <wp:anchor distT="0" distB="0" distL="114935" distR="114935" simplePos="0" relativeHeight="80" behindDoc="0" locked="0" layoutInCell="1" allowOverlap="1" wp14:anchorId="448A3EE8" wp14:editId="069C234D">
                <wp:simplePos x="0" y="0"/>
                <wp:positionH relativeFrom="column">
                  <wp:posOffset>2136775</wp:posOffset>
                </wp:positionH>
                <wp:positionV relativeFrom="paragraph">
                  <wp:posOffset>163195</wp:posOffset>
                </wp:positionV>
                <wp:extent cx="1703070" cy="257175"/>
                <wp:effectExtent l="0" t="0" r="0" b="0"/>
                <wp:wrapNone/>
                <wp:docPr id="33" name="框架2"/>
                <wp:cNvGraphicFramePr/>
                <a:graphic xmlns:a="http://schemas.openxmlformats.org/drawingml/2006/main">
                  <a:graphicData uri="http://schemas.microsoft.com/office/word/2010/wordprocessingShape">
                    <wps:wsp>
                      <wps:cNvSpPr txBox="1"/>
                      <wps:spPr>
                        <a:xfrm>
                          <a:off x="0" y="0"/>
                          <a:ext cx="1703070" cy="257175"/>
                        </a:xfrm>
                        <a:prstGeom prst="rect">
                          <a:avLst/>
                        </a:prstGeom>
                        <a:solidFill>
                          <a:srgbClr val="FFFFFF"/>
                        </a:solidFill>
                      </wps:spPr>
                      <wps:txbx>
                        <w:txbxContent>
                          <w:p w14:paraId="2F318BF1" w14:textId="77777777" w:rsidR="0060680B" w:rsidRDefault="0060680B">
                            <w:pPr>
                              <w:spacing w:line="240" w:lineRule="exact"/>
                              <w:jc w:val="center"/>
                              <w:rPr>
                                <w:rFonts w:ascii="Arial" w:hAnsi="Arial" w:cs="Arial"/>
                                <w:sz w:val="21"/>
                                <w:szCs w:val="21"/>
                              </w:rPr>
                            </w:pPr>
                            <w:r>
                              <w:rPr>
                                <w:rFonts w:ascii="Arial" w:hAnsi="Arial" w:cs="Arial"/>
                                <w:b/>
                                <w:sz w:val="21"/>
                                <w:szCs w:val="21"/>
                              </w:rPr>
                              <w:t>工业用地成交分布图</w:t>
                            </w:r>
                          </w:p>
                        </w:txbxContent>
                      </wps:txbx>
                      <wps:bodyPr lIns="36830" tIns="36830" rIns="36830" bIns="36830" anchor="t">
                        <a:noAutofit/>
                      </wps:bodyPr>
                    </wps:wsp>
                  </a:graphicData>
                </a:graphic>
              </wp:anchor>
            </w:drawing>
          </mc:Choice>
          <mc:Fallback>
            <w:pict>
              <v:shape w14:anchorId="448A3EE8" id="框架2" o:spid="_x0000_s1033" type="#_x0000_t202" style="position:absolute;margin-left:168.25pt;margin-top:12.85pt;width:134.1pt;height:20.25pt;z-index:8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" stroked="f">
                <v:textbox inset="2.9pt,2.9pt,2.9pt,2.9pt">
                  <w:txbxContent>
                    <w:p w14:paraId="2F318BF1" w14:textId="77777777" w:rsidR="0060680B" w:rsidRDefault="0060680B">
                      <w:pPr>
                        <w:spacing w:line="240" w:lineRule="exact"/>
                        <w:jc w:val="center"/>
                        <w:rPr>
                          <w:rFonts w:ascii="Arial" w:hAnsi="Arial" w:cs="Arial"/>
                          <w:sz w:val="21"/>
                          <w:szCs w:val="21"/>
                        </w:rPr>
                      </w:pPr>
                      <w:r>
                        <w:rPr>
                          <w:rFonts w:ascii="Arial" w:hAnsi="Arial" w:cs="Arial"/>
                          <w:b/>
                          <w:sz w:val="21"/>
                          <w:szCs w:val="21"/>
                        </w:rPr>
                        <w:t>工业用地成交分布图</w:t>
                      </w:r>
                    </w:p>
                  </w:txbxContent>
                </v:textbox>
              </v:shape>
            </w:pict>
          </mc:Fallback>
        </mc:AlternateContent>
      </w:r>
    </w:p>
    <w:p w14:paraId="6093903E" w14:textId="77777777" w:rsidR="00E70101" w:rsidRDefault="0060680B">
      <w:pPr>
        <w:widowControl/>
        <w:spacing w:line="360" w:lineRule="auto"/>
        <w:ind w:firstLine="560"/>
        <w:jc w:val="both"/>
      </w:pPr>
      <w:r>
        <w:rPr>
          <w:rFonts w:ascii="Arial" w:eastAsia="仿宋_GB2312;仿宋" w:hAnsi="Arial" w:cs="Arial"/>
          <w:bCs/>
          <w:color w:val="000000"/>
          <w:sz w:val="28"/>
          <w:szCs w:val="28"/>
        </w:rPr>
        <w:t>（</w:t>
      </w:r>
      <w:r>
        <w:rPr>
          <w:rFonts w:ascii="Arial" w:eastAsia="仿宋_GB2312;仿宋" w:hAnsi="Arial" w:cs="Arial"/>
          <w:bCs/>
          <w:color w:val="000000"/>
          <w:sz w:val="28"/>
          <w:szCs w:val="28"/>
        </w:rPr>
        <w:t>4</w:t>
      </w:r>
      <w:r>
        <w:rPr>
          <w:rFonts w:ascii="Arial" w:eastAsia="仿宋_GB2312;仿宋" w:hAnsi="Arial" w:cs="Arial"/>
          <w:bCs/>
          <w:color w:val="000000"/>
          <w:sz w:val="28"/>
          <w:szCs w:val="28"/>
        </w:rPr>
        <w:t>）未来趋势</w:t>
      </w:r>
    </w:p>
    <w:p w14:paraId="181173C4"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sz w:val="28"/>
          <w:szCs w:val="28"/>
        </w:rPr>
        <w:t>北京市随着经济的稳步修复，工业生产持续回升，高端产业发挥引领作用。北京</w:t>
      </w:r>
      <w:r>
        <w:rPr>
          <w:rFonts w:ascii="Arial" w:eastAsia="仿宋_GB2312;仿宋" w:hAnsi="Arial" w:cs="Arial"/>
          <w:bCs/>
          <w:sz w:val="28"/>
          <w:szCs w:val="28"/>
        </w:rPr>
        <w:t>“</w:t>
      </w:r>
      <w:r>
        <w:rPr>
          <w:rFonts w:ascii="Arial" w:eastAsia="仿宋_GB2312;仿宋" w:hAnsi="Arial" w:cs="Arial"/>
          <w:bCs/>
          <w:sz w:val="28"/>
          <w:szCs w:val="28"/>
        </w:rPr>
        <w:t>十四五</w:t>
      </w:r>
      <w:r>
        <w:rPr>
          <w:rFonts w:ascii="Arial" w:eastAsia="仿宋_GB2312;仿宋" w:hAnsi="Arial" w:cs="Arial"/>
          <w:bCs/>
          <w:sz w:val="28"/>
          <w:szCs w:val="28"/>
        </w:rPr>
        <w:t>”</w:t>
      </w:r>
      <w:r>
        <w:rPr>
          <w:rFonts w:ascii="Arial" w:eastAsia="仿宋_GB2312;仿宋" w:hAnsi="Arial" w:cs="Arial"/>
          <w:bCs/>
          <w:sz w:val="28"/>
          <w:szCs w:val="28"/>
        </w:rPr>
        <w:t>规划明确新一代信息技术、医药健康、新能源智能网联汽车、绿色智慧能源等为未来重点产业发展方向，界定多个未来重点发展新区及区域产业发展细分方向；同时，</w:t>
      </w:r>
      <w:r>
        <w:rPr>
          <w:rFonts w:ascii="Arial" w:eastAsia="仿宋_GB2312;仿宋" w:hAnsi="Arial" w:cs="Arial"/>
          <w:bCs/>
          <w:sz w:val="28"/>
          <w:szCs w:val="28"/>
        </w:rPr>
        <w:t>“</w:t>
      </w:r>
      <w:r>
        <w:rPr>
          <w:rFonts w:ascii="Arial" w:eastAsia="仿宋_GB2312;仿宋" w:hAnsi="Arial" w:cs="Arial"/>
          <w:bCs/>
          <w:sz w:val="28"/>
          <w:szCs w:val="28"/>
        </w:rPr>
        <w:t>十四五</w:t>
      </w:r>
      <w:r>
        <w:rPr>
          <w:rFonts w:ascii="Arial" w:eastAsia="仿宋_GB2312;仿宋" w:hAnsi="Arial" w:cs="Arial"/>
          <w:bCs/>
          <w:sz w:val="28"/>
          <w:szCs w:val="28"/>
        </w:rPr>
        <w:t>”</w:t>
      </w:r>
      <w:r>
        <w:rPr>
          <w:rFonts w:ascii="Arial" w:eastAsia="仿宋_GB2312;仿宋" w:hAnsi="Arial" w:cs="Arial"/>
          <w:bCs/>
          <w:sz w:val="28"/>
          <w:szCs w:val="28"/>
        </w:rPr>
        <w:t>规划还提出支持具备条件的物流园区和重点企业引入铁路专用线，支持利用工业厂房改造建设冷链物流基础设施，发展智能立体仓等</w:t>
      </w:r>
      <w:r>
        <w:rPr>
          <w:rFonts w:ascii="Arial" w:eastAsia="仿宋_GB2312;仿宋" w:hAnsi="Arial" w:cs="Arial"/>
          <w:bCs/>
          <w:color w:val="000000"/>
          <w:sz w:val="28"/>
          <w:szCs w:val="28"/>
        </w:rPr>
        <w:t>。在高技术产业快速增长的带动下，各园区稳步发展，预计工业地价继续稳中向上。</w:t>
      </w:r>
    </w:p>
    <w:p w14:paraId="7092E67D"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3.</w:t>
      </w:r>
      <w:r>
        <w:rPr>
          <w:rFonts w:ascii="Arial" w:eastAsia="仿宋_GB2312;仿宋" w:hAnsi="Arial" w:cs="Arial"/>
          <w:bCs/>
          <w:color w:val="000000"/>
          <w:sz w:val="28"/>
          <w:szCs w:val="28"/>
        </w:rPr>
        <w:t>产业政策</w:t>
      </w:r>
    </w:p>
    <w:p w14:paraId="4EA143C4" w14:textId="77777777" w:rsidR="00E70101" w:rsidRDefault="0060680B">
      <w:pPr>
        <w:overflowPunct w:val="0"/>
        <w:spacing w:line="360" w:lineRule="auto"/>
        <w:jc w:val="both"/>
        <w:textAlignment w:val="auto"/>
        <w:rPr>
          <w:rFonts w:ascii="Arial" w:eastAsia="仿宋_GB2312;仿宋" w:hAnsi="Arial" w:cs="Arial"/>
          <w:bCs/>
          <w:color w:val="000000"/>
          <w:sz w:val="28"/>
          <w:szCs w:val="28"/>
        </w:rPr>
      </w:pPr>
      <w:r>
        <w:rPr>
          <w:rFonts w:ascii="MS Gothic;ＭＳ ゴシック" w:eastAsia="MS Gothic;ＭＳ ゴシック" w:hAnsi="MS Gothic;ＭＳ ゴシック" w:cs="MS Gothic;ＭＳ ゴシック"/>
          <w:b/>
          <w:bCs/>
          <w:color w:val="000000"/>
          <w:sz w:val="28"/>
          <w:szCs w:val="28"/>
        </w:rPr>
        <w:t xml:space="preserve">◆  </w:t>
      </w:r>
      <w:r>
        <w:rPr>
          <w:rFonts w:ascii="Arial" w:eastAsia="仿宋_GB2312;仿宋" w:hAnsi="Arial" w:cs="Arial"/>
          <w:b/>
          <w:bCs/>
          <w:color w:val="000000"/>
          <w:sz w:val="28"/>
          <w:szCs w:val="28"/>
        </w:rPr>
        <w:t>产业优惠政策</w:t>
      </w:r>
    </w:p>
    <w:p w14:paraId="1BB1A7DF"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2019</w:t>
      </w:r>
      <w:r>
        <w:rPr>
          <w:rFonts w:ascii="Arial" w:eastAsia="仿宋_GB2312;仿宋" w:hAnsi="Arial" w:cs="Arial"/>
          <w:bCs/>
          <w:color w:val="000000"/>
          <w:sz w:val="28"/>
          <w:szCs w:val="28"/>
        </w:rPr>
        <w:t>年</w:t>
      </w:r>
      <w:r>
        <w:rPr>
          <w:rFonts w:ascii="Arial" w:eastAsia="仿宋_GB2312;仿宋" w:hAnsi="Arial" w:cs="Arial"/>
          <w:bCs/>
          <w:color w:val="000000"/>
          <w:sz w:val="28"/>
          <w:szCs w:val="28"/>
        </w:rPr>
        <w:t>5</w:t>
      </w:r>
      <w:r>
        <w:rPr>
          <w:rFonts w:ascii="Arial" w:eastAsia="仿宋_GB2312;仿宋" w:hAnsi="Arial" w:cs="Arial"/>
          <w:bCs/>
          <w:color w:val="000000"/>
          <w:sz w:val="28"/>
          <w:szCs w:val="28"/>
        </w:rPr>
        <w:t>月</w:t>
      </w:r>
      <w:r>
        <w:rPr>
          <w:rFonts w:ascii="Arial" w:eastAsia="仿宋_GB2312;仿宋" w:hAnsi="Arial" w:cs="Arial"/>
          <w:bCs/>
          <w:color w:val="000000"/>
          <w:sz w:val="28"/>
          <w:szCs w:val="28"/>
        </w:rPr>
        <w:t>15</w:t>
      </w:r>
      <w:r>
        <w:rPr>
          <w:rFonts w:ascii="Arial" w:eastAsia="仿宋_GB2312;仿宋" w:hAnsi="Arial" w:cs="Arial"/>
          <w:bCs/>
          <w:color w:val="000000"/>
          <w:sz w:val="28"/>
          <w:szCs w:val="28"/>
        </w:rPr>
        <w:t>日，自然资源部发布《产业用地政策实施工作指引（</w:t>
      </w:r>
      <w:r>
        <w:rPr>
          <w:rFonts w:ascii="Arial" w:eastAsia="仿宋_GB2312;仿宋" w:hAnsi="Arial" w:cs="Arial"/>
          <w:bCs/>
          <w:color w:val="000000"/>
          <w:sz w:val="28"/>
          <w:szCs w:val="28"/>
        </w:rPr>
        <w:t>2019</w:t>
      </w:r>
      <w:r>
        <w:rPr>
          <w:rFonts w:ascii="Arial" w:eastAsia="仿宋_GB2312;仿宋" w:hAnsi="Arial" w:cs="Arial"/>
          <w:bCs/>
          <w:color w:val="000000"/>
          <w:sz w:val="28"/>
          <w:szCs w:val="28"/>
        </w:rPr>
        <w:t>年版）》（简称</w:t>
      </w:r>
      <w:r>
        <w:rPr>
          <w:rFonts w:ascii="Arial" w:eastAsia="仿宋_GB2312;仿宋" w:hAnsi="Arial" w:cs="Arial"/>
          <w:bCs/>
          <w:color w:val="000000"/>
          <w:sz w:val="28"/>
          <w:szCs w:val="28"/>
        </w:rPr>
        <w:t>2019</w:t>
      </w:r>
      <w:r>
        <w:rPr>
          <w:rFonts w:ascii="Arial" w:eastAsia="仿宋_GB2312;仿宋" w:hAnsi="Arial" w:cs="Arial"/>
          <w:bCs/>
          <w:color w:val="000000"/>
          <w:sz w:val="28"/>
          <w:szCs w:val="28"/>
        </w:rPr>
        <w:t>年版《指引》），此次更新是为了更好地指导地方自然资源主管部门规范执行产业用地政策，为包括民营企业在内的各种所有制经济提供良好服务。重点体现三个方面：一、坚持营造公平竞争环境。指导地方自然资源主管部门在产业用地政策执行中做到对各种所有制经济一视同仁，保障其平等取得土地要素。二、坚持推动高质量发展。指导地方自然资源主管部门在产业用地政策执行中落实严控增量、盘活存量、优化结构、提升效率，切实提高城镇建设用地集约化程度的总体要求，积极引导推动产业发展节约集约用地。三、坚持更好服务市场主体。对政策执行作必要说明，一方面使得市场主体能够更加充分地理解，有利于营造公开公平透明的市场环境；另一方面指导地方自然资源主管部门把握政策实施要点，积极为各种所有制经济提供良好服务。</w:t>
      </w:r>
    </w:p>
    <w:p w14:paraId="0981DE8C"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2019</w:t>
      </w:r>
      <w:r>
        <w:rPr>
          <w:rFonts w:ascii="Arial" w:eastAsia="仿宋_GB2312;仿宋" w:hAnsi="Arial" w:cs="Arial"/>
          <w:bCs/>
          <w:color w:val="000000"/>
          <w:sz w:val="28"/>
          <w:szCs w:val="28"/>
        </w:rPr>
        <w:t>年</w:t>
      </w:r>
      <w:r>
        <w:rPr>
          <w:rFonts w:ascii="Arial" w:eastAsia="仿宋_GB2312;仿宋" w:hAnsi="Arial" w:cs="Arial"/>
          <w:bCs/>
          <w:color w:val="000000"/>
          <w:sz w:val="28"/>
          <w:szCs w:val="28"/>
        </w:rPr>
        <w:t>5</w:t>
      </w:r>
      <w:r>
        <w:rPr>
          <w:rFonts w:ascii="Arial" w:eastAsia="仿宋_GB2312;仿宋" w:hAnsi="Arial" w:cs="Arial"/>
          <w:bCs/>
          <w:color w:val="000000"/>
          <w:sz w:val="28"/>
          <w:szCs w:val="28"/>
        </w:rPr>
        <w:t>月</w:t>
      </w:r>
      <w:r>
        <w:rPr>
          <w:rFonts w:ascii="Arial" w:eastAsia="仿宋_GB2312;仿宋" w:hAnsi="Arial" w:cs="Arial"/>
          <w:bCs/>
          <w:color w:val="000000"/>
          <w:sz w:val="28"/>
          <w:szCs w:val="28"/>
        </w:rPr>
        <w:t>23</w:t>
      </w:r>
      <w:r>
        <w:rPr>
          <w:rFonts w:ascii="Arial" w:eastAsia="仿宋_GB2312;仿宋" w:hAnsi="Arial" w:cs="Arial"/>
          <w:bCs/>
          <w:color w:val="000000"/>
          <w:sz w:val="28"/>
          <w:szCs w:val="28"/>
        </w:rPr>
        <w:t>日，北京市住房和城乡建设委员会官网发布《关于进一步完善已建成研发、工业项目转让管理有关问题的通知（京建发〔</w:t>
      </w:r>
      <w:r>
        <w:rPr>
          <w:rFonts w:ascii="Arial" w:eastAsia="仿宋_GB2312;仿宋" w:hAnsi="Arial" w:cs="Arial"/>
          <w:bCs/>
          <w:color w:val="000000"/>
          <w:sz w:val="28"/>
          <w:szCs w:val="28"/>
        </w:rPr>
        <w:t>2019</w:t>
      </w:r>
      <w:r>
        <w:rPr>
          <w:rFonts w:ascii="Arial" w:eastAsia="仿宋_GB2312;仿宋" w:hAnsi="Arial" w:cs="Arial"/>
          <w:bCs/>
          <w:color w:val="000000"/>
          <w:sz w:val="28"/>
          <w:szCs w:val="28"/>
        </w:rPr>
        <w:t>〕</w:t>
      </w:r>
      <w:r>
        <w:rPr>
          <w:rFonts w:ascii="Arial" w:eastAsia="仿宋_GB2312;仿宋" w:hAnsi="Arial" w:cs="Arial"/>
          <w:bCs/>
          <w:color w:val="000000"/>
          <w:sz w:val="28"/>
          <w:szCs w:val="28"/>
        </w:rPr>
        <w:t>216</w:t>
      </w:r>
      <w:r>
        <w:rPr>
          <w:rFonts w:ascii="Arial" w:eastAsia="仿宋_GB2312;仿宋" w:hAnsi="Arial" w:cs="Arial"/>
          <w:bCs/>
          <w:color w:val="000000"/>
          <w:sz w:val="28"/>
          <w:szCs w:val="28"/>
        </w:rPr>
        <w:t>号）》和《关于进一步明确已建成产业项目买受人审核有关问题的通知（京建发〔</w:t>
      </w:r>
      <w:r>
        <w:rPr>
          <w:rFonts w:ascii="Arial" w:eastAsia="仿宋_GB2312;仿宋" w:hAnsi="Arial" w:cs="Arial"/>
          <w:bCs/>
          <w:color w:val="000000"/>
          <w:sz w:val="28"/>
          <w:szCs w:val="28"/>
        </w:rPr>
        <w:t>2019</w:t>
      </w:r>
      <w:r>
        <w:rPr>
          <w:rFonts w:ascii="Arial" w:eastAsia="仿宋_GB2312;仿宋" w:hAnsi="Arial" w:cs="Arial"/>
          <w:bCs/>
          <w:color w:val="000000"/>
          <w:sz w:val="28"/>
          <w:szCs w:val="28"/>
        </w:rPr>
        <w:t>〕</w:t>
      </w:r>
      <w:r>
        <w:rPr>
          <w:rFonts w:ascii="Arial" w:eastAsia="仿宋_GB2312;仿宋" w:hAnsi="Arial" w:cs="Arial"/>
          <w:bCs/>
          <w:color w:val="000000"/>
          <w:sz w:val="28"/>
          <w:szCs w:val="28"/>
        </w:rPr>
        <w:t>217</w:t>
      </w:r>
      <w:r>
        <w:rPr>
          <w:rFonts w:ascii="Arial" w:eastAsia="仿宋_GB2312;仿宋" w:hAnsi="Arial" w:cs="Arial"/>
          <w:bCs/>
          <w:color w:val="000000"/>
          <w:sz w:val="28"/>
          <w:szCs w:val="28"/>
        </w:rPr>
        <w:t>号）》两份文件。一方面，要求建设单位不得分割销售研发、工业项目，买受人应是区政府审定的企业或专业园、公共服务平台、孵化器运营机构。这是由于研发、工业项目分割销售政策可能会带来一定的负面影响，干扰房地产市场秩序，为了扼制违规炒房抄地行为，故禁止研发、工业项目的分割销售。另一方面，审批权下放，审批主体从市政府调整为区政府，对买受人的申请，应在</w:t>
      </w:r>
      <w:r>
        <w:rPr>
          <w:rFonts w:ascii="Arial" w:eastAsia="仿宋_GB2312;仿宋" w:hAnsi="Arial" w:cs="Arial"/>
          <w:bCs/>
          <w:color w:val="000000"/>
          <w:sz w:val="28"/>
          <w:szCs w:val="28"/>
        </w:rPr>
        <w:t>15</w:t>
      </w:r>
      <w:r>
        <w:rPr>
          <w:rFonts w:ascii="Arial" w:eastAsia="仿宋_GB2312;仿宋" w:hAnsi="Arial" w:cs="Arial"/>
          <w:bCs/>
          <w:color w:val="000000"/>
          <w:sz w:val="28"/>
          <w:szCs w:val="28"/>
        </w:rPr>
        <w:t>个工作日内出具书面意见，这大大加快了产业地产的审批效率，促进了产业地产的招商周转速度。</w:t>
      </w:r>
    </w:p>
    <w:p w14:paraId="56434DBE"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2020</w:t>
      </w:r>
      <w:r>
        <w:rPr>
          <w:rFonts w:ascii="Arial" w:eastAsia="仿宋_GB2312;仿宋" w:hAnsi="Arial" w:cs="Arial"/>
          <w:bCs/>
          <w:color w:val="000000"/>
          <w:sz w:val="28"/>
          <w:szCs w:val="28"/>
        </w:rPr>
        <w:t>年</w:t>
      </w:r>
      <w:r>
        <w:rPr>
          <w:rFonts w:ascii="Arial" w:eastAsia="仿宋_GB2312;仿宋" w:hAnsi="Arial" w:cs="Arial"/>
          <w:bCs/>
          <w:color w:val="000000"/>
          <w:sz w:val="28"/>
          <w:szCs w:val="28"/>
        </w:rPr>
        <w:t>10</w:t>
      </w:r>
      <w:r>
        <w:rPr>
          <w:rFonts w:ascii="Arial" w:eastAsia="仿宋_GB2312;仿宋" w:hAnsi="Arial" w:cs="Arial"/>
          <w:bCs/>
          <w:color w:val="000000"/>
          <w:sz w:val="28"/>
          <w:szCs w:val="28"/>
        </w:rPr>
        <w:t>月</w:t>
      </w:r>
      <w:r>
        <w:rPr>
          <w:rFonts w:ascii="Arial" w:eastAsia="仿宋_GB2312;仿宋" w:hAnsi="Arial" w:cs="Arial"/>
          <w:bCs/>
          <w:color w:val="000000"/>
          <w:sz w:val="28"/>
          <w:szCs w:val="28"/>
        </w:rPr>
        <w:t>23</w:t>
      </w:r>
      <w:r>
        <w:rPr>
          <w:rFonts w:ascii="Arial" w:eastAsia="仿宋_GB2312;仿宋" w:hAnsi="Arial" w:cs="Arial"/>
          <w:bCs/>
          <w:color w:val="000000"/>
          <w:sz w:val="28"/>
          <w:szCs w:val="28"/>
        </w:rPr>
        <w:t>日，《关于支持民营企业加快改革与转型升级的实施意见》（发改体改</w:t>
      </w:r>
      <w:r>
        <w:rPr>
          <w:rFonts w:ascii="Arial" w:eastAsia="仿宋_GB2312;仿宋" w:hAnsi="Arial" w:cs="Arial"/>
          <w:bCs/>
          <w:color w:val="000000"/>
          <w:sz w:val="28"/>
          <w:szCs w:val="28"/>
        </w:rPr>
        <w:t>[2020]1566</w:t>
      </w:r>
      <w:r>
        <w:rPr>
          <w:rFonts w:ascii="Arial" w:eastAsia="仿宋_GB2312;仿宋" w:hAnsi="Arial" w:cs="Arial"/>
          <w:bCs/>
          <w:color w:val="000000"/>
          <w:sz w:val="28"/>
          <w:szCs w:val="28"/>
        </w:rPr>
        <w:t>号），允许中小民营企业联合参与工业用地招拍挂，可按规定进行宗地分割；允许增加容积率的，不增收土地价款等费用；民营企业退出原使用土地的，支持依法依约转让土地；异地发展的，可以协议出让方式重新安排工业用地。</w:t>
      </w:r>
    </w:p>
    <w:p w14:paraId="6F0A444B"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2020</w:t>
      </w:r>
      <w:r>
        <w:rPr>
          <w:rFonts w:ascii="Arial" w:eastAsia="仿宋_GB2312;仿宋" w:hAnsi="Arial" w:cs="Arial"/>
          <w:bCs/>
          <w:color w:val="000000"/>
          <w:sz w:val="28"/>
          <w:szCs w:val="28"/>
        </w:rPr>
        <w:t>年</w:t>
      </w:r>
      <w:r>
        <w:rPr>
          <w:rFonts w:ascii="Arial" w:eastAsia="仿宋_GB2312;仿宋" w:hAnsi="Arial" w:cs="Arial"/>
          <w:bCs/>
          <w:color w:val="000000"/>
          <w:sz w:val="28"/>
          <w:szCs w:val="28"/>
        </w:rPr>
        <w:t>11</w:t>
      </w:r>
      <w:r>
        <w:rPr>
          <w:rFonts w:ascii="Arial" w:eastAsia="仿宋_GB2312;仿宋" w:hAnsi="Arial" w:cs="Arial"/>
          <w:bCs/>
          <w:color w:val="000000"/>
          <w:sz w:val="28"/>
          <w:szCs w:val="28"/>
        </w:rPr>
        <w:t>月</w:t>
      </w:r>
      <w:r>
        <w:rPr>
          <w:rFonts w:ascii="Arial" w:eastAsia="仿宋_GB2312;仿宋" w:hAnsi="Arial" w:cs="Arial"/>
          <w:bCs/>
          <w:color w:val="000000"/>
          <w:sz w:val="28"/>
          <w:szCs w:val="28"/>
        </w:rPr>
        <w:t>6</w:t>
      </w:r>
      <w:r>
        <w:rPr>
          <w:rFonts w:ascii="Arial" w:eastAsia="仿宋_GB2312;仿宋" w:hAnsi="Arial" w:cs="Arial"/>
          <w:bCs/>
          <w:color w:val="000000"/>
          <w:sz w:val="28"/>
          <w:szCs w:val="28"/>
        </w:rPr>
        <w:t>日，中关村管委会研究制定了《中关村国家自主创新示范区关于推进特色产业园建设</w:t>
      </w:r>
      <w:r>
        <w:rPr>
          <w:rFonts w:ascii="Arial" w:eastAsia="Arial" w:hAnsi="Arial" w:cs="Arial"/>
          <w:bCs/>
          <w:color w:val="000000"/>
          <w:sz w:val="28"/>
          <w:szCs w:val="28"/>
        </w:rPr>
        <w:t xml:space="preserve"> </w:t>
      </w:r>
      <w:r>
        <w:rPr>
          <w:rFonts w:ascii="Arial" w:eastAsia="仿宋_GB2312;仿宋" w:hAnsi="Arial" w:cs="Arial"/>
          <w:bCs/>
          <w:color w:val="000000"/>
          <w:sz w:val="28"/>
          <w:szCs w:val="28"/>
        </w:rPr>
        <w:t>提升分园产业服务能力的指导意见》。提出了到</w:t>
      </w:r>
      <w:r>
        <w:rPr>
          <w:rFonts w:ascii="Arial" w:eastAsia="仿宋_GB2312;仿宋" w:hAnsi="Arial" w:cs="Arial"/>
          <w:bCs/>
          <w:color w:val="000000"/>
          <w:sz w:val="28"/>
          <w:szCs w:val="28"/>
        </w:rPr>
        <w:t>2022</w:t>
      </w:r>
      <w:r>
        <w:rPr>
          <w:rFonts w:ascii="Arial" w:eastAsia="仿宋_GB2312;仿宋" w:hAnsi="Arial" w:cs="Arial"/>
          <w:bCs/>
          <w:color w:val="000000"/>
          <w:sz w:val="28"/>
          <w:szCs w:val="28"/>
        </w:rPr>
        <w:t>年，中关村示范区产业布局更加优化，体制机制持续创新，创新创业环境进一步改善，各分园产业服务能力显著提升，主导产业地位突出，高端化、特色化、差异化发展态势基本形成。特色产业园建设实现重点细分产业领域及发展组团两个</w:t>
      </w:r>
      <w:r>
        <w:rPr>
          <w:rFonts w:ascii="Arial" w:eastAsia="仿宋_GB2312;仿宋" w:hAnsi="Arial" w:cs="Arial"/>
          <w:bCs/>
          <w:color w:val="000000"/>
          <w:sz w:val="28"/>
          <w:szCs w:val="28"/>
        </w:rPr>
        <w:t>“</w:t>
      </w:r>
      <w:r>
        <w:rPr>
          <w:rFonts w:ascii="Arial" w:eastAsia="仿宋_GB2312;仿宋" w:hAnsi="Arial" w:cs="Arial"/>
          <w:bCs/>
          <w:color w:val="000000"/>
          <w:sz w:val="28"/>
          <w:szCs w:val="28"/>
        </w:rPr>
        <w:t>全覆盖</w:t>
      </w:r>
      <w:r>
        <w:rPr>
          <w:rFonts w:ascii="Arial" w:eastAsia="仿宋_GB2312;仿宋" w:hAnsi="Arial" w:cs="Arial"/>
          <w:bCs/>
          <w:color w:val="000000"/>
          <w:sz w:val="28"/>
          <w:szCs w:val="28"/>
        </w:rPr>
        <w:t>”</w:t>
      </w:r>
      <w:r>
        <w:rPr>
          <w:rFonts w:ascii="Arial" w:eastAsia="仿宋_GB2312;仿宋" w:hAnsi="Arial" w:cs="Arial"/>
          <w:bCs/>
          <w:color w:val="000000"/>
          <w:sz w:val="28"/>
          <w:szCs w:val="28"/>
        </w:rPr>
        <w:t>，成为分园主导产业发展的重要载体，对所在区域的经济贡献明显提升。各分园围绕主导产业建成产业促进服务机构，产业促进服务机构与分园结合紧密、运营高效，对分园主导产业发展的促进作用凸显。</w:t>
      </w:r>
    </w:p>
    <w:p w14:paraId="77EADC04"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2021</w:t>
      </w:r>
      <w:r>
        <w:rPr>
          <w:rFonts w:ascii="Arial" w:eastAsia="仿宋_GB2312;仿宋" w:hAnsi="Arial" w:cs="Arial"/>
          <w:bCs/>
          <w:color w:val="000000"/>
          <w:sz w:val="28"/>
          <w:szCs w:val="28"/>
        </w:rPr>
        <w:t>年</w:t>
      </w:r>
      <w:r>
        <w:rPr>
          <w:rFonts w:ascii="Arial" w:eastAsia="仿宋_GB2312;仿宋" w:hAnsi="Arial" w:cs="Arial"/>
          <w:bCs/>
          <w:color w:val="000000"/>
          <w:sz w:val="28"/>
          <w:szCs w:val="28"/>
        </w:rPr>
        <w:t>8</w:t>
      </w:r>
      <w:r>
        <w:rPr>
          <w:rFonts w:ascii="Arial" w:eastAsia="仿宋_GB2312;仿宋" w:hAnsi="Arial" w:cs="Arial"/>
          <w:bCs/>
          <w:color w:val="000000"/>
          <w:sz w:val="28"/>
          <w:szCs w:val="28"/>
        </w:rPr>
        <w:t>月</w:t>
      </w:r>
      <w:r>
        <w:rPr>
          <w:rFonts w:ascii="Arial" w:eastAsia="仿宋_GB2312;仿宋" w:hAnsi="Arial" w:cs="Arial"/>
          <w:bCs/>
          <w:color w:val="000000"/>
          <w:sz w:val="28"/>
          <w:szCs w:val="28"/>
        </w:rPr>
        <w:t>18</w:t>
      </w:r>
      <w:r>
        <w:rPr>
          <w:rFonts w:ascii="Arial" w:eastAsia="仿宋_GB2312;仿宋" w:hAnsi="Arial" w:cs="Arial"/>
          <w:bCs/>
          <w:color w:val="000000"/>
          <w:sz w:val="28"/>
          <w:szCs w:val="28"/>
        </w:rPr>
        <w:t>日，北京市人民政府关于印发《北京市</w:t>
      </w:r>
      <w:r>
        <w:rPr>
          <w:rFonts w:ascii="Arial" w:eastAsia="仿宋_GB2312;仿宋" w:hAnsi="Arial" w:cs="Arial"/>
          <w:bCs/>
          <w:color w:val="000000"/>
          <w:sz w:val="28"/>
          <w:szCs w:val="28"/>
        </w:rPr>
        <w:t>“</w:t>
      </w:r>
      <w:r>
        <w:rPr>
          <w:rFonts w:ascii="Arial" w:eastAsia="仿宋_GB2312;仿宋" w:hAnsi="Arial" w:cs="Arial"/>
          <w:bCs/>
          <w:color w:val="000000"/>
          <w:sz w:val="28"/>
          <w:szCs w:val="28"/>
        </w:rPr>
        <w:t>十四五</w:t>
      </w:r>
      <w:r>
        <w:rPr>
          <w:rFonts w:ascii="Arial" w:eastAsia="仿宋_GB2312;仿宋" w:hAnsi="Arial" w:cs="Arial"/>
          <w:bCs/>
          <w:color w:val="000000"/>
          <w:sz w:val="28"/>
          <w:szCs w:val="28"/>
        </w:rPr>
        <w:t>”</w:t>
      </w:r>
      <w:r>
        <w:rPr>
          <w:rFonts w:ascii="Arial" w:eastAsia="仿宋_GB2312;仿宋" w:hAnsi="Arial" w:cs="Arial"/>
          <w:bCs/>
          <w:color w:val="000000"/>
          <w:sz w:val="28"/>
          <w:szCs w:val="28"/>
        </w:rPr>
        <w:t>时期高精尖产业发展规划》的通知。作为全市</w:t>
      </w:r>
      <w:r>
        <w:rPr>
          <w:rFonts w:ascii="Arial" w:eastAsia="仿宋_GB2312;仿宋" w:hAnsi="Arial" w:cs="Arial"/>
          <w:bCs/>
          <w:color w:val="000000"/>
          <w:sz w:val="28"/>
          <w:szCs w:val="28"/>
        </w:rPr>
        <w:t>“</w:t>
      </w:r>
      <w:r>
        <w:rPr>
          <w:rFonts w:ascii="Arial" w:eastAsia="仿宋_GB2312;仿宋" w:hAnsi="Arial" w:cs="Arial"/>
          <w:bCs/>
          <w:color w:val="000000"/>
          <w:sz w:val="28"/>
          <w:szCs w:val="28"/>
        </w:rPr>
        <w:t>十四五</w:t>
      </w:r>
      <w:r>
        <w:rPr>
          <w:rFonts w:ascii="Arial" w:eastAsia="仿宋_GB2312;仿宋" w:hAnsi="Arial" w:cs="Arial"/>
          <w:bCs/>
          <w:color w:val="000000"/>
          <w:sz w:val="28"/>
          <w:szCs w:val="28"/>
        </w:rPr>
        <w:t>”</w:t>
      </w:r>
      <w:r>
        <w:rPr>
          <w:rFonts w:ascii="Arial" w:eastAsia="仿宋_GB2312;仿宋" w:hAnsi="Arial" w:cs="Arial"/>
          <w:bCs/>
          <w:color w:val="000000"/>
          <w:sz w:val="28"/>
          <w:szCs w:val="28"/>
        </w:rPr>
        <w:t>时期高精尖产业的发展蓝图，《规划》深入贯彻市委市政府工作部署，以高质量发展为主题，以城市总体规划为遵循，推动产业</w:t>
      </w:r>
      <w:r>
        <w:rPr>
          <w:rFonts w:ascii="Arial" w:eastAsia="仿宋_GB2312;仿宋" w:hAnsi="Arial" w:cs="Arial"/>
          <w:bCs/>
          <w:color w:val="000000"/>
          <w:sz w:val="28"/>
          <w:szCs w:val="28"/>
        </w:rPr>
        <w:t>“</w:t>
      </w:r>
      <w:r>
        <w:rPr>
          <w:rFonts w:ascii="Arial" w:eastAsia="仿宋_GB2312;仿宋" w:hAnsi="Arial" w:cs="Arial"/>
          <w:bCs/>
          <w:color w:val="000000"/>
          <w:sz w:val="28"/>
          <w:szCs w:val="28"/>
        </w:rPr>
        <w:t>换核、强芯、赋智、融合</w:t>
      </w:r>
      <w:r>
        <w:rPr>
          <w:rFonts w:ascii="Arial" w:eastAsia="仿宋_GB2312;仿宋" w:hAnsi="Arial" w:cs="Arial"/>
          <w:bCs/>
          <w:color w:val="000000"/>
          <w:sz w:val="28"/>
          <w:szCs w:val="28"/>
        </w:rPr>
        <w:t>”</w:t>
      </w:r>
      <w:r>
        <w:rPr>
          <w:rFonts w:ascii="Arial" w:eastAsia="仿宋_GB2312;仿宋" w:hAnsi="Arial" w:cs="Arial"/>
          <w:bCs/>
          <w:color w:val="000000"/>
          <w:sz w:val="28"/>
          <w:szCs w:val="28"/>
        </w:rPr>
        <w:t>，加快产业基础再造提升、产业链条优化升级、智能绿色全面覆盖、制造服务深度融合、区域发展开放联动</w:t>
      </w:r>
      <w:r>
        <w:rPr>
          <w:rFonts w:ascii="Arial" w:eastAsia="仿宋_GB2312;仿宋" w:hAnsi="Arial" w:cs="Arial"/>
          <w:bCs/>
          <w:color w:val="000000"/>
          <w:sz w:val="28"/>
          <w:szCs w:val="28"/>
        </w:rPr>
        <w:t>“</w:t>
      </w:r>
      <w:r>
        <w:rPr>
          <w:rFonts w:ascii="Arial" w:eastAsia="仿宋_GB2312;仿宋" w:hAnsi="Arial" w:cs="Arial"/>
          <w:bCs/>
          <w:color w:val="000000"/>
          <w:sz w:val="28"/>
          <w:szCs w:val="28"/>
        </w:rPr>
        <w:t>五个突破</w:t>
      </w:r>
      <w:r>
        <w:rPr>
          <w:rFonts w:ascii="Arial" w:eastAsia="仿宋_GB2312;仿宋" w:hAnsi="Arial" w:cs="Arial"/>
          <w:bCs/>
          <w:color w:val="000000"/>
          <w:sz w:val="28"/>
          <w:szCs w:val="28"/>
        </w:rPr>
        <w:t>”</w:t>
      </w:r>
      <w:r>
        <w:rPr>
          <w:rFonts w:ascii="Arial" w:eastAsia="仿宋_GB2312;仿宋" w:hAnsi="Arial" w:cs="Arial"/>
          <w:bCs/>
          <w:color w:val="000000"/>
          <w:sz w:val="28"/>
          <w:szCs w:val="28"/>
        </w:rPr>
        <w:t>，推进动力转换、效率提升、结构优化</w:t>
      </w:r>
      <w:r>
        <w:rPr>
          <w:rFonts w:ascii="Arial" w:eastAsia="仿宋_GB2312;仿宋" w:hAnsi="Arial" w:cs="Arial"/>
          <w:bCs/>
          <w:color w:val="000000"/>
          <w:sz w:val="28"/>
          <w:szCs w:val="28"/>
        </w:rPr>
        <w:t>“</w:t>
      </w:r>
      <w:r>
        <w:rPr>
          <w:rFonts w:ascii="Arial" w:eastAsia="仿宋_GB2312;仿宋" w:hAnsi="Arial" w:cs="Arial"/>
          <w:bCs/>
          <w:color w:val="000000"/>
          <w:sz w:val="28"/>
          <w:szCs w:val="28"/>
        </w:rPr>
        <w:t>三大变革</w:t>
      </w:r>
      <w:r>
        <w:rPr>
          <w:rFonts w:ascii="Arial" w:eastAsia="仿宋_GB2312;仿宋" w:hAnsi="Arial" w:cs="Arial"/>
          <w:bCs/>
          <w:color w:val="000000"/>
          <w:sz w:val="28"/>
          <w:szCs w:val="28"/>
        </w:rPr>
        <w:t>”</w:t>
      </w:r>
      <w:r>
        <w:rPr>
          <w:rFonts w:ascii="Arial" w:eastAsia="仿宋_GB2312;仿宋" w:hAnsi="Arial" w:cs="Arial"/>
          <w:bCs/>
          <w:color w:val="000000"/>
          <w:sz w:val="28"/>
          <w:szCs w:val="28"/>
        </w:rPr>
        <w:t>，力争到</w:t>
      </w:r>
      <w:r>
        <w:rPr>
          <w:rFonts w:ascii="Arial" w:eastAsia="仿宋_GB2312;仿宋" w:hAnsi="Arial" w:cs="Arial"/>
          <w:bCs/>
          <w:color w:val="000000"/>
          <w:sz w:val="28"/>
          <w:szCs w:val="28"/>
        </w:rPr>
        <w:t>2025</w:t>
      </w:r>
      <w:r>
        <w:rPr>
          <w:rFonts w:ascii="Arial" w:eastAsia="仿宋_GB2312;仿宋" w:hAnsi="Arial" w:cs="Arial"/>
          <w:bCs/>
          <w:color w:val="000000"/>
          <w:sz w:val="28"/>
          <w:szCs w:val="28"/>
        </w:rPr>
        <w:t>年，高精尖产业占</w:t>
      </w:r>
      <w:r>
        <w:rPr>
          <w:rFonts w:ascii="Arial" w:eastAsia="仿宋_GB2312;仿宋" w:hAnsi="Arial" w:cs="Arial"/>
          <w:bCs/>
          <w:color w:val="000000"/>
          <w:sz w:val="28"/>
          <w:szCs w:val="28"/>
        </w:rPr>
        <w:t>GDP</w:t>
      </w:r>
      <w:r>
        <w:rPr>
          <w:rFonts w:ascii="Arial" w:eastAsia="仿宋_GB2312;仿宋" w:hAnsi="Arial" w:cs="Arial"/>
          <w:bCs/>
          <w:color w:val="000000"/>
          <w:sz w:val="28"/>
          <w:szCs w:val="28"/>
        </w:rPr>
        <w:t>比重</w:t>
      </w:r>
      <w:r>
        <w:rPr>
          <w:rFonts w:ascii="Arial" w:eastAsia="仿宋_GB2312;仿宋" w:hAnsi="Arial" w:cs="Arial"/>
          <w:bCs/>
          <w:color w:val="000000"/>
          <w:sz w:val="28"/>
          <w:szCs w:val="28"/>
        </w:rPr>
        <w:t>30%</w:t>
      </w:r>
      <w:r>
        <w:rPr>
          <w:rFonts w:ascii="Arial" w:eastAsia="仿宋_GB2312;仿宋" w:hAnsi="Arial" w:cs="Arial"/>
          <w:bCs/>
          <w:color w:val="000000"/>
          <w:sz w:val="28"/>
          <w:szCs w:val="28"/>
        </w:rPr>
        <w:t>以上，培育形成</w:t>
      </w:r>
      <w:r>
        <w:rPr>
          <w:rFonts w:ascii="Arial" w:eastAsia="仿宋_GB2312;仿宋" w:hAnsi="Arial" w:cs="Arial"/>
          <w:bCs/>
          <w:color w:val="000000"/>
          <w:sz w:val="28"/>
          <w:szCs w:val="28"/>
        </w:rPr>
        <w:t>4-5</w:t>
      </w:r>
      <w:r>
        <w:rPr>
          <w:rFonts w:ascii="Arial" w:eastAsia="仿宋_GB2312;仿宋" w:hAnsi="Arial" w:cs="Arial"/>
          <w:bCs/>
          <w:color w:val="000000"/>
          <w:sz w:val="28"/>
          <w:szCs w:val="28"/>
        </w:rPr>
        <w:t>个万亿级产业集群，基本形成以智能制造、产业互联网、医药健康等为新支柱的现代产业体系，将集成电路、智能网联汽车、区块链、创新药等打造成为</w:t>
      </w:r>
      <w:r>
        <w:rPr>
          <w:rFonts w:ascii="Arial" w:eastAsia="仿宋_GB2312;仿宋" w:hAnsi="Arial" w:cs="Arial"/>
          <w:bCs/>
          <w:color w:val="000000"/>
          <w:sz w:val="28"/>
          <w:szCs w:val="28"/>
        </w:rPr>
        <w:t>“</w:t>
      </w:r>
      <w:r>
        <w:rPr>
          <w:rFonts w:ascii="Arial" w:eastAsia="仿宋_GB2312;仿宋" w:hAnsi="Arial" w:cs="Arial"/>
          <w:bCs/>
          <w:color w:val="000000"/>
          <w:sz w:val="28"/>
          <w:szCs w:val="28"/>
        </w:rPr>
        <w:t>北京智造</w:t>
      </w:r>
      <w:r>
        <w:rPr>
          <w:rFonts w:ascii="Arial" w:eastAsia="仿宋_GB2312;仿宋" w:hAnsi="Arial" w:cs="Arial"/>
          <w:bCs/>
          <w:color w:val="000000"/>
          <w:sz w:val="28"/>
          <w:szCs w:val="28"/>
        </w:rPr>
        <w:t>”“</w:t>
      </w:r>
      <w:r>
        <w:rPr>
          <w:rFonts w:ascii="Arial" w:eastAsia="仿宋_GB2312;仿宋" w:hAnsi="Arial" w:cs="Arial"/>
          <w:bCs/>
          <w:color w:val="000000"/>
          <w:sz w:val="28"/>
          <w:szCs w:val="28"/>
        </w:rPr>
        <w:t>北京服务</w:t>
      </w:r>
      <w:r>
        <w:rPr>
          <w:rFonts w:ascii="Arial" w:eastAsia="仿宋_GB2312;仿宋" w:hAnsi="Arial" w:cs="Arial"/>
          <w:bCs/>
          <w:color w:val="000000"/>
          <w:sz w:val="28"/>
          <w:szCs w:val="28"/>
        </w:rPr>
        <w:t>”</w:t>
      </w:r>
      <w:r>
        <w:rPr>
          <w:rFonts w:ascii="Arial" w:eastAsia="仿宋_GB2312;仿宋" w:hAnsi="Arial" w:cs="Arial"/>
          <w:bCs/>
          <w:color w:val="000000"/>
          <w:sz w:val="28"/>
          <w:szCs w:val="28"/>
        </w:rPr>
        <w:t>的新名片，为我国提升创新链产业链供应链现代化水平，更好建设制造强国、质量强国、网络强国和数字中国做出北京贡献。</w:t>
      </w:r>
    </w:p>
    <w:p w14:paraId="08077F84"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2023</w:t>
      </w:r>
      <w:r>
        <w:rPr>
          <w:rFonts w:ascii="Arial" w:eastAsia="仿宋_GB2312;仿宋" w:hAnsi="Arial" w:cs="Arial"/>
          <w:bCs/>
          <w:color w:val="000000"/>
          <w:sz w:val="28"/>
          <w:szCs w:val="28"/>
        </w:rPr>
        <w:t>年</w:t>
      </w:r>
      <w:r>
        <w:rPr>
          <w:rFonts w:ascii="Arial" w:eastAsia="仿宋_GB2312;仿宋" w:hAnsi="Arial" w:cs="Arial"/>
          <w:bCs/>
          <w:color w:val="000000"/>
          <w:sz w:val="28"/>
          <w:szCs w:val="28"/>
        </w:rPr>
        <w:t>8</w:t>
      </w:r>
      <w:r>
        <w:rPr>
          <w:rFonts w:ascii="Arial" w:eastAsia="仿宋_GB2312;仿宋" w:hAnsi="Arial" w:cs="Arial"/>
          <w:bCs/>
          <w:color w:val="000000"/>
          <w:sz w:val="28"/>
          <w:szCs w:val="28"/>
        </w:rPr>
        <w:t>月</w:t>
      </w:r>
      <w:r>
        <w:rPr>
          <w:rFonts w:ascii="Arial" w:eastAsia="仿宋_GB2312;仿宋" w:hAnsi="Arial" w:cs="Arial"/>
          <w:bCs/>
          <w:color w:val="000000"/>
          <w:sz w:val="28"/>
          <w:szCs w:val="28"/>
        </w:rPr>
        <w:t>31</w:t>
      </w:r>
      <w:r>
        <w:rPr>
          <w:rFonts w:ascii="Arial" w:eastAsia="仿宋_GB2312;仿宋" w:hAnsi="Arial" w:cs="Arial"/>
          <w:bCs/>
          <w:color w:val="000000"/>
          <w:sz w:val="28"/>
          <w:szCs w:val="28"/>
        </w:rPr>
        <w:t>日，北京市发展改革委发布《关于加强腾退低效产业空间改造利用促进产业高质量发展的实施方案》，在政策导向上重点突出产业引领、绿色发展、数字化转型、对街区层面的公共服务织补，还在项目管理等方面进行了一系列创新，要求各区加强低效产业空间改造的统筹协调，明确本区域低效楼宇认定标准，建立资源台账和项目储备库并动态更新管理，同时将申请资金支持的项目纳入储备库，对于获得资金支持的项目做好项目全过程管理工作。本次《实施方案》中，北京市发展改革委将对低效楼宇、老旧厂房和片区统筹改造三类项目给予支持，即在符合首都功能定位和规划前提下，项目实施单位可通过自主、联营、租赁等方式对腾退低效产业空间开展结构加固、绿色低碳改造、数字基础设施提升、建筑内外部装修以及片区基础设施改造等，带动区域产业升级。市政府固定资产投资对于符合条件的项目给予支持，支持方式分为投资补助和贷款贴息两种，其中投资补助方式是对低效楼宇改造项目按照固定资产投资总额</w:t>
      </w:r>
      <w:r>
        <w:rPr>
          <w:rFonts w:ascii="Arial" w:eastAsia="仿宋_GB2312;仿宋" w:hAnsi="Arial" w:cs="Arial"/>
          <w:bCs/>
          <w:color w:val="000000"/>
          <w:sz w:val="28"/>
          <w:szCs w:val="28"/>
        </w:rPr>
        <w:t>10%</w:t>
      </w:r>
      <w:r>
        <w:rPr>
          <w:rFonts w:ascii="Arial" w:eastAsia="仿宋_GB2312;仿宋" w:hAnsi="Arial" w:cs="Arial"/>
          <w:bCs/>
          <w:color w:val="000000"/>
          <w:sz w:val="28"/>
          <w:szCs w:val="28"/>
        </w:rPr>
        <w:t>的比例、老旧厂房改造和配套基础设施改造项目按照固定资产投资总额</w:t>
      </w:r>
      <w:r>
        <w:rPr>
          <w:rFonts w:ascii="Arial" w:eastAsia="仿宋_GB2312;仿宋" w:hAnsi="Arial" w:cs="Arial"/>
          <w:bCs/>
          <w:color w:val="000000"/>
          <w:sz w:val="28"/>
          <w:szCs w:val="28"/>
        </w:rPr>
        <w:t>30%</w:t>
      </w:r>
      <w:r>
        <w:rPr>
          <w:rFonts w:ascii="Arial" w:eastAsia="仿宋_GB2312;仿宋" w:hAnsi="Arial" w:cs="Arial"/>
          <w:bCs/>
          <w:color w:val="000000"/>
          <w:sz w:val="28"/>
          <w:szCs w:val="28"/>
        </w:rPr>
        <w:t>的比例安排补助资金；贷款贴息方式是对改造升级项目发生的银行贷款按照</w:t>
      </w:r>
      <w:r>
        <w:rPr>
          <w:rFonts w:ascii="Arial" w:eastAsia="仿宋_GB2312;仿宋" w:hAnsi="Arial" w:cs="Arial"/>
          <w:bCs/>
          <w:color w:val="000000"/>
          <w:sz w:val="28"/>
          <w:szCs w:val="28"/>
        </w:rPr>
        <w:t>LPR</w:t>
      </w:r>
      <w:r>
        <w:rPr>
          <w:rFonts w:ascii="Arial" w:eastAsia="仿宋_GB2312;仿宋" w:hAnsi="Arial" w:cs="Arial"/>
          <w:bCs/>
          <w:color w:val="000000"/>
          <w:sz w:val="28"/>
          <w:szCs w:val="28"/>
        </w:rPr>
        <w:t>（实际利率低于</w:t>
      </w:r>
      <w:r>
        <w:rPr>
          <w:rFonts w:ascii="Arial" w:eastAsia="仿宋_GB2312;仿宋" w:hAnsi="Arial" w:cs="Arial"/>
          <w:bCs/>
          <w:color w:val="000000"/>
          <w:sz w:val="28"/>
          <w:szCs w:val="28"/>
        </w:rPr>
        <w:t>LPR</w:t>
      </w:r>
      <w:r>
        <w:rPr>
          <w:rFonts w:ascii="Arial" w:eastAsia="仿宋_GB2312;仿宋" w:hAnsi="Arial" w:cs="Arial"/>
          <w:bCs/>
          <w:color w:val="000000"/>
          <w:sz w:val="28"/>
          <w:szCs w:val="28"/>
        </w:rPr>
        <w:t>的，按照实际利率）给予不超过</w:t>
      </w:r>
      <w:r>
        <w:rPr>
          <w:rFonts w:ascii="Arial" w:eastAsia="仿宋_GB2312;仿宋" w:hAnsi="Arial" w:cs="Arial"/>
          <w:bCs/>
          <w:color w:val="000000"/>
          <w:sz w:val="28"/>
          <w:szCs w:val="28"/>
        </w:rPr>
        <w:t>2</w:t>
      </w:r>
      <w:r>
        <w:rPr>
          <w:rFonts w:ascii="Arial" w:eastAsia="仿宋_GB2312;仿宋" w:hAnsi="Arial" w:cs="Arial"/>
          <w:bCs/>
          <w:color w:val="000000"/>
          <w:sz w:val="28"/>
          <w:szCs w:val="28"/>
        </w:rPr>
        <w:t>年的贴息支持。</w:t>
      </w:r>
    </w:p>
    <w:p w14:paraId="22B39A63" w14:textId="77777777" w:rsidR="00E70101" w:rsidRDefault="0060680B">
      <w:pPr>
        <w:widowControl/>
        <w:spacing w:line="360" w:lineRule="auto"/>
        <w:ind w:firstLine="560"/>
        <w:jc w:val="both"/>
      </w:pPr>
      <w:r>
        <w:rPr>
          <w:rFonts w:ascii="Arial" w:eastAsia="仿宋_GB2312;仿宋" w:hAnsi="Arial" w:cs="Arial"/>
          <w:bCs/>
          <w:color w:val="000000"/>
          <w:sz w:val="28"/>
          <w:szCs w:val="28"/>
        </w:rPr>
        <w:t>2024</w:t>
      </w:r>
      <w:r>
        <w:rPr>
          <w:rFonts w:ascii="Arial" w:eastAsia="仿宋_GB2312;仿宋" w:hAnsi="Arial" w:cs="Arial"/>
          <w:bCs/>
          <w:color w:val="000000"/>
          <w:sz w:val="28"/>
          <w:szCs w:val="28"/>
        </w:rPr>
        <w:t>年</w:t>
      </w:r>
      <w:r>
        <w:rPr>
          <w:rFonts w:ascii="Arial" w:eastAsia="仿宋_GB2312;仿宋" w:hAnsi="Arial" w:cs="Arial"/>
          <w:bCs/>
          <w:color w:val="000000"/>
          <w:sz w:val="28"/>
          <w:szCs w:val="28"/>
        </w:rPr>
        <w:t>2</w:t>
      </w:r>
      <w:r>
        <w:rPr>
          <w:rFonts w:ascii="Arial" w:eastAsia="仿宋_GB2312;仿宋" w:hAnsi="Arial" w:cs="Arial"/>
          <w:bCs/>
          <w:color w:val="000000"/>
          <w:sz w:val="28"/>
          <w:szCs w:val="28"/>
        </w:rPr>
        <w:t>月</w:t>
      </w:r>
      <w:r>
        <w:rPr>
          <w:rFonts w:ascii="Arial" w:eastAsia="仿宋_GB2312;仿宋" w:hAnsi="Arial" w:cs="Arial"/>
          <w:bCs/>
          <w:color w:val="000000"/>
          <w:sz w:val="28"/>
          <w:szCs w:val="28"/>
        </w:rPr>
        <w:t>18</w:t>
      </w:r>
      <w:r>
        <w:rPr>
          <w:rFonts w:ascii="Arial" w:eastAsia="仿宋_GB2312;仿宋" w:hAnsi="Arial" w:cs="Arial"/>
          <w:bCs/>
          <w:color w:val="000000"/>
          <w:sz w:val="28"/>
          <w:szCs w:val="28"/>
        </w:rPr>
        <w:t>日，北京市发展和改革委员会发布《关于印发北京市产业地图和产业政策导引的通知》，清晰勾勒北京市产业现状和布局，服务和引导经营主体精准布局、项目快速落地，促进产业错位互补发展。产业地图覆盖一二三产业，融合</w:t>
      </w:r>
      <w:r>
        <w:rPr>
          <w:rFonts w:ascii="Arial" w:eastAsia="仿宋_GB2312;仿宋" w:hAnsi="Arial" w:cs="Arial"/>
          <w:bCs/>
          <w:color w:val="000000"/>
          <w:sz w:val="28"/>
          <w:szCs w:val="28"/>
        </w:rPr>
        <w:t>“</w:t>
      </w:r>
      <w:r>
        <w:rPr>
          <w:rFonts w:ascii="Arial" w:eastAsia="仿宋_GB2312;仿宋" w:hAnsi="Arial" w:cs="Arial"/>
          <w:bCs/>
          <w:color w:val="000000"/>
          <w:sz w:val="28"/>
          <w:szCs w:val="28"/>
        </w:rPr>
        <w:t>高精尖</w:t>
      </w:r>
      <w:r>
        <w:rPr>
          <w:rFonts w:ascii="Arial" w:eastAsia="仿宋_GB2312;仿宋" w:hAnsi="Arial" w:cs="Arial"/>
          <w:bCs/>
          <w:color w:val="000000"/>
          <w:sz w:val="28"/>
          <w:szCs w:val="28"/>
        </w:rPr>
        <w:t>”</w:t>
      </w:r>
      <w:r>
        <w:rPr>
          <w:rFonts w:ascii="Arial" w:eastAsia="仿宋_GB2312;仿宋" w:hAnsi="Arial" w:cs="Arial"/>
          <w:bCs/>
          <w:color w:val="000000"/>
          <w:sz w:val="28"/>
          <w:szCs w:val="28"/>
        </w:rPr>
        <w:t>产业、现代服务业、</w:t>
      </w:r>
      <w:r>
        <w:rPr>
          <w:rFonts w:ascii="Arial" w:eastAsia="仿宋_GB2312;仿宋" w:hAnsi="Arial" w:cs="Arial"/>
          <w:bCs/>
          <w:color w:val="000000"/>
          <w:sz w:val="28"/>
          <w:szCs w:val="28"/>
        </w:rPr>
        <w:t>“</w:t>
      </w:r>
      <w:r>
        <w:rPr>
          <w:rFonts w:ascii="Arial" w:eastAsia="仿宋_GB2312;仿宋" w:hAnsi="Arial" w:cs="Arial"/>
          <w:bCs/>
          <w:color w:val="000000"/>
          <w:sz w:val="28"/>
          <w:szCs w:val="28"/>
        </w:rPr>
        <w:t>两业融合</w:t>
      </w:r>
      <w:r>
        <w:rPr>
          <w:rFonts w:ascii="Arial" w:eastAsia="仿宋_GB2312;仿宋" w:hAnsi="Arial" w:cs="Arial"/>
          <w:bCs/>
          <w:color w:val="000000"/>
          <w:sz w:val="28"/>
          <w:szCs w:val="28"/>
        </w:rPr>
        <w:t>”(</w:t>
      </w:r>
      <w:r>
        <w:rPr>
          <w:rFonts w:ascii="Arial" w:eastAsia="仿宋_GB2312;仿宋" w:hAnsi="Arial" w:cs="Arial"/>
          <w:bCs/>
          <w:color w:val="000000"/>
          <w:sz w:val="28"/>
          <w:szCs w:val="28"/>
        </w:rPr>
        <w:t>先进制造业和现代服务业融合</w:t>
      </w:r>
      <w:r>
        <w:rPr>
          <w:rFonts w:ascii="Arial" w:eastAsia="仿宋_GB2312;仿宋" w:hAnsi="Arial" w:cs="Arial"/>
          <w:bCs/>
          <w:color w:val="000000"/>
          <w:sz w:val="28"/>
          <w:szCs w:val="28"/>
        </w:rPr>
        <w:t>)</w:t>
      </w:r>
      <w:r>
        <w:rPr>
          <w:rFonts w:ascii="Arial" w:eastAsia="仿宋_GB2312;仿宋" w:hAnsi="Arial" w:cs="Arial"/>
          <w:bCs/>
          <w:color w:val="000000"/>
          <w:sz w:val="28"/>
          <w:szCs w:val="28"/>
        </w:rPr>
        <w:t>、现代基础设施产业、现代农业等</w:t>
      </w:r>
      <w:r>
        <w:rPr>
          <w:rFonts w:ascii="Arial" w:eastAsia="仿宋_GB2312;仿宋" w:hAnsi="Arial" w:cs="Arial"/>
          <w:bCs/>
          <w:color w:val="000000"/>
          <w:sz w:val="28"/>
          <w:szCs w:val="28"/>
        </w:rPr>
        <w:t>31</w:t>
      </w:r>
      <w:r>
        <w:rPr>
          <w:rFonts w:ascii="Arial" w:eastAsia="仿宋_GB2312;仿宋" w:hAnsi="Arial" w:cs="Arial"/>
          <w:bCs/>
          <w:color w:val="000000"/>
          <w:sz w:val="28"/>
          <w:szCs w:val="28"/>
        </w:rPr>
        <w:t>个重点行业，聚焦</w:t>
      </w:r>
      <w:r>
        <w:rPr>
          <w:rFonts w:ascii="Arial" w:eastAsia="仿宋_GB2312;仿宋" w:hAnsi="Arial" w:cs="Arial"/>
          <w:bCs/>
          <w:color w:val="000000"/>
          <w:sz w:val="28"/>
          <w:szCs w:val="28"/>
        </w:rPr>
        <w:t>16</w:t>
      </w:r>
      <w:r>
        <w:rPr>
          <w:rFonts w:ascii="Arial" w:eastAsia="仿宋_GB2312;仿宋" w:hAnsi="Arial" w:cs="Arial"/>
          <w:bCs/>
          <w:color w:val="000000"/>
          <w:sz w:val="28"/>
          <w:szCs w:val="28"/>
        </w:rPr>
        <w:t>个区和北京经济技术开发区的重点产业区域，全面展示各区、相关园区产业基础和资源禀赋优势。此次北京市基于近</w:t>
      </w:r>
      <w:r>
        <w:rPr>
          <w:rFonts w:ascii="Arial" w:eastAsia="仿宋_GB2312;仿宋" w:hAnsi="Arial" w:cs="Arial"/>
          <w:bCs/>
          <w:color w:val="000000"/>
          <w:sz w:val="28"/>
          <w:szCs w:val="28"/>
        </w:rPr>
        <w:t>3</w:t>
      </w:r>
      <w:r>
        <w:rPr>
          <w:rFonts w:ascii="Arial" w:eastAsia="仿宋_GB2312;仿宋" w:hAnsi="Arial" w:cs="Arial"/>
          <w:bCs/>
          <w:color w:val="000000"/>
          <w:sz w:val="28"/>
          <w:szCs w:val="28"/>
        </w:rPr>
        <w:t>年市级出台的相关产业政策，与产业地图同步推出政策导引，将具体政策核心条款、服务内容、办理流程、联系部门和电话提炼成</w:t>
      </w:r>
      <w:r>
        <w:rPr>
          <w:rFonts w:ascii="Arial" w:eastAsia="仿宋_GB2312;仿宋" w:hAnsi="Arial" w:cs="Arial"/>
          <w:bCs/>
          <w:color w:val="000000"/>
          <w:sz w:val="28"/>
          <w:szCs w:val="28"/>
        </w:rPr>
        <w:t>145</w:t>
      </w:r>
      <w:r>
        <w:rPr>
          <w:rFonts w:ascii="Arial" w:eastAsia="仿宋_GB2312;仿宋" w:hAnsi="Arial" w:cs="Arial"/>
          <w:bCs/>
          <w:color w:val="000000"/>
          <w:sz w:val="28"/>
          <w:szCs w:val="28"/>
        </w:rPr>
        <w:t>张政策工具应用指南卡片，其中</w:t>
      </w:r>
      <w:r>
        <w:rPr>
          <w:rFonts w:ascii="Arial" w:eastAsia="仿宋_GB2312;仿宋" w:hAnsi="Arial" w:cs="Arial"/>
          <w:bCs/>
          <w:color w:val="000000"/>
          <w:sz w:val="28"/>
          <w:szCs w:val="28"/>
        </w:rPr>
        <w:t>30</w:t>
      </w:r>
      <w:r>
        <w:rPr>
          <w:rFonts w:ascii="Arial" w:eastAsia="仿宋_GB2312;仿宋" w:hAnsi="Arial" w:cs="Arial"/>
          <w:bCs/>
          <w:color w:val="000000"/>
          <w:sz w:val="28"/>
          <w:szCs w:val="28"/>
        </w:rPr>
        <w:t>张与产业地图对应展示，形成</w:t>
      </w:r>
      <w:r>
        <w:rPr>
          <w:rFonts w:ascii="Arial" w:eastAsia="仿宋_GB2312;仿宋" w:hAnsi="Arial" w:cs="Arial"/>
          <w:bCs/>
          <w:color w:val="000000"/>
          <w:sz w:val="28"/>
          <w:szCs w:val="28"/>
        </w:rPr>
        <w:t>“</w:t>
      </w:r>
      <w:r>
        <w:rPr>
          <w:rFonts w:ascii="Arial" w:eastAsia="仿宋_GB2312;仿宋" w:hAnsi="Arial" w:cs="Arial"/>
          <w:bCs/>
          <w:color w:val="000000"/>
          <w:sz w:val="28"/>
          <w:szCs w:val="28"/>
        </w:rPr>
        <w:t>地图</w:t>
      </w:r>
      <w:r>
        <w:rPr>
          <w:rFonts w:ascii="Arial" w:eastAsia="仿宋_GB2312;仿宋" w:hAnsi="Arial" w:cs="Arial"/>
          <w:bCs/>
          <w:color w:val="000000"/>
          <w:sz w:val="28"/>
          <w:szCs w:val="28"/>
        </w:rPr>
        <w:t>+</w:t>
      </w:r>
      <w:r>
        <w:rPr>
          <w:rFonts w:ascii="Arial" w:eastAsia="仿宋_GB2312;仿宋" w:hAnsi="Arial" w:cs="Arial"/>
          <w:bCs/>
          <w:color w:val="000000"/>
          <w:sz w:val="28"/>
          <w:szCs w:val="28"/>
        </w:rPr>
        <w:t>政策</w:t>
      </w:r>
      <w:r>
        <w:rPr>
          <w:rFonts w:ascii="Arial" w:eastAsia="仿宋_GB2312;仿宋" w:hAnsi="Arial" w:cs="Arial"/>
          <w:bCs/>
          <w:color w:val="000000"/>
          <w:sz w:val="28"/>
          <w:szCs w:val="28"/>
        </w:rPr>
        <w:t>”</w:t>
      </w:r>
      <w:r>
        <w:rPr>
          <w:rFonts w:ascii="Arial" w:eastAsia="仿宋_GB2312;仿宋" w:hAnsi="Arial" w:cs="Arial"/>
          <w:bCs/>
          <w:color w:val="000000"/>
          <w:sz w:val="28"/>
          <w:szCs w:val="28"/>
        </w:rPr>
        <w:t>的立体化导引。</w:t>
      </w:r>
    </w:p>
    <w:p w14:paraId="5F367A9D" w14:textId="77777777" w:rsidR="00E70101" w:rsidRDefault="0060680B">
      <w:pPr>
        <w:overflowPunct w:val="0"/>
        <w:spacing w:line="360" w:lineRule="auto"/>
        <w:jc w:val="both"/>
        <w:textAlignment w:val="auto"/>
        <w:rPr>
          <w:rFonts w:ascii="Arial" w:eastAsia="仿宋_GB2312;仿宋" w:hAnsi="Arial" w:cs="Arial"/>
          <w:b/>
          <w:bCs/>
          <w:color w:val="000000"/>
          <w:sz w:val="28"/>
          <w:szCs w:val="28"/>
        </w:rPr>
      </w:pPr>
      <w:r>
        <w:rPr>
          <w:rFonts w:ascii="MS Gothic;ＭＳ ゴシック" w:eastAsia="MS Gothic;ＭＳ ゴシック" w:hAnsi="MS Gothic;ＭＳ ゴシック" w:cs="MS Gothic;ＭＳ ゴシック"/>
          <w:b/>
          <w:bCs/>
          <w:color w:val="000000"/>
          <w:sz w:val="28"/>
          <w:szCs w:val="28"/>
        </w:rPr>
        <w:t xml:space="preserve">◆  </w:t>
      </w:r>
      <w:r>
        <w:rPr>
          <w:rFonts w:ascii="Arial" w:eastAsia="仿宋_GB2312;仿宋" w:hAnsi="Arial" w:cs="Arial"/>
          <w:b/>
          <w:bCs/>
          <w:color w:val="000000"/>
          <w:sz w:val="28"/>
          <w:szCs w:val="28"/>
        </w:rPr>
        <w:t>税收政策：</w:t>
      </w:r>
    </w:p>
    <w:p w14:paraId="480AD125"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2023</w:t>
      </w:r>
      <w:r>
        <w:rPr>
          <w:rFonts w:ascii="Arial" w:eastAsia="仿宋_GB2312;仿宋" w:hAnsi="Arial" w:cs="Arial"/>
          <w:bCs/>
          <w:color w:val="000000"/>
          <w:sz w:val="28"/>
          <w:szCs w:val="28"/>
        </w:rPr>
        <w:t>年，按照党中央、国务院决策部署，税务总局会同财政部等部门先后发布了一系列延续优化创新实施的税费优惠政策，根据《财政部</w:t>
      </w:r>
      <w:r>
        <w:rPr>
          <w:rFonts w:ascii="Arial" w:eastAsia="Arial" w:hAnsi="Arial" w:cs="Arial"/>
          <w:bCs/>
          <w:color w:val="000000"/>
          <w:sz w:val="28"/>
          <w:szCs w:val="28"/>
        </w:rPr>
        <w:t xml:space="preserve"> </w:t>
      </w:r>
      <w:r>
        <w:rPr>
          <w:rFonts w:ascii="Arial" w:eastAsia="仿宋_GB2312;仿宋" w:hAnsi="Arial" w:cs="Arial"/>
          <w:bCs/>
          <w:color w:val="000000"/>
          <w:sz w:val="28"/>
          <w:szCs w:val="28"/>
        </w:rPr>
        <w:t>税务总局关于明确增值税小规模纳税人减免增值税等政策的公告》（</w:t>
      </w:r>
      <w:r>
        <w:rPr>
          <w:rFonts w:ascii="Arial" w:eastAsia="仿宋_GB2312;仿宋" w:hAnsi="Arial" w:cs="Arial"/>
          <w:bCs/>
          <w:color w:val="000000"/>
          <w:sz w:val="28"/>
          <w:szCs w:val="28"/>
        </w:rPr>
        <w:t>2023</w:t>
      </w:r>
      <w:r>
        <w:rPr>
          <w:rFonts w:ascii="Arial" w:eastAsia="仿宋_GB2312;仿宋" w:hAnsi="Arial" w:cs="Arial"/>
          <w:bCs/>
          <w:color w:val="000000"/>
          <w:sz w:val="28"/>
          <w:szCs w:val="28"/>
        </w:rPr>
        <w:t>年第</w:t>
      </w:r>
      <w:r>
        <w:rPr>
          <w:rFonts w:ascii="Arial" w:eastAsia="仿宋_GB2312;仿宋" w:hAnsi="Arial" w:cs="Arial"/>
          <w:bCs/>
          <w:color w:val="000000"/>
          <w:sz w:val="28"/>
          <w:szCs w:val="28"/>
        </w:rPr>
        <w:t>1</w:t>
      </w:r>
      <w:r>
        <w:rPr>
          <w:rFonts w:ascii="Arial" w:eastAsia="仿宋_GB2312;仿宋" w:hAnsi="Arial" w:cs="Arial"/>
          <w:bCs/>
          <w:color w:val="000000"/>
          <w:sz w:val="28"/>
          <w:szCs w:val="28"/>
        </w:rPr>
        <w:t>号）、《国家税务总局关于增值税小规模纳税人减免增值税等政策有关征管事项的公告》（</w:t>
      </w:r>
      <w:r>
        <w:rPr>
          <w:rFonts w:ascii="Arial" w:eastAsia="仿宋_GB2312;仿宋" w:hAnsi="Arial" w:cs="Arial"/>
          <w:bCs/>
          <w:color w:val="000000"/>
          <w:sz w:val="28"/>
          <w:szCs w:val="28"/>
        </w:rPr>
        <w:t>2023</w:t>
      </w:r>
      <w:r>
        <w:rPr>
          <w:rFonts w:ascii="Arial" w:eastAsia="仿宋_GB2312;仿宋" w:hAnsi="Arial" w:cs="Arial"/>
          <w:bCs/>
          <w:color w:val="000000"/>
          <w:sz w:val="28"/>
          <w:szCs w:val="28"/>
        </w:rPr>
        <w:t>年第</w:t>
      </w:r>
      <w:r>
        <w:rPr>
          <w:rFonts w:ascii="Arial" w:eastAsia="仿宋_GB2312;仿宋" w:hAnsi="Arial" w:cs="Arial"/>
          <w:bCs/>
          <w:color w:val="000000"/>
          <w:sz w:val="28"/>
          <w:szCs w:val="28"/>
        </w:rPr>
        <w:t>1</w:t>
      </w:r>
      <w:r>
        <w:rPr>
          <w:rFonts w:ascii="Arial" w:eastAsia="仿宋_GB2312;仿宋" w:hAnsi="Arial" w:cs="Arial"/>
          <w:bCs/>
          <w:color w:val="000000"/>
          <w:sz w:val="28"/>
          <w:szCs w:val="28"/>
        </w:rPr>
        <w:t>号），针对增值税小规模纳税人的优惠政策有：</w:t>
      </w:r>
      <w:r>
        <w:rPr>
          <w:rFonts w:ascii="Arial" w:eastAsia="仿宋_GB2312;仿宋" w:hAnsi="Arial" w:cs="Arial"/>
          <w:bCs/>
          <w:color w:val="000000"/>
          <w:sz w:val="28"/>
          <w:szCs w:val="28"/>
        </w:rPr>
        <w:t>①</w:t>
      </w:r>
      <w:r>
        <w:rPr>
          <w:rFonts w:ascii="Arial" w:eastAsia="仿宋_GB2312;仿宋" w:hAnsi="Arial" w:cs="Arial"/>
          <w:bCs/>
          <w:color w:val="000000"/>
          <w:sz w:val="28"/>
          <w:szCs w:val="28"/>
        </w:rPr>
        <w:t>增值税政策增值税小规模纳税人发生增值税应税销售行为，合计月销售额未超过</w:t>
      </w:r>
      <w:r>
        <w:rPr>
          <w:rFonts w:ascii="Arial" w:eastAsia="仿宋_GB2312;仿宋" w:hAnsi="Arial" w:cs="Arial"/>
          <w:bCs/>
          <w:color w:val="000000"/>
          <w:sz w:val="28"/>
          <w:szCs w:val="28"/>
        </w:rPr>
        <w:t>10</w:t>
      </w:r>
      <w:r>
        <w:rPr>
          <w:rFonts w:ascii="Arial" w:eastAsia="仿宋_GB2312;仿宋" w:hAnsi="Arial" w:cs="Arial"/>
          <w:bCs/>
          <w:color w:val="000000"/>
          <w:sz w:val="28"/>
          <w:szCs w:val="28"/>
        </w:rPr>
        <w:t>万元（以</w:t>
      </w:r>
      <w:r>
        <w:rPr>
          <w:rFonts w:ascii="Arial" w:eastAsia="仿宋_GB2312;仿宋" w:hAnsi="Arial" w:cs="Arial"/>
          <w:bCs/>
          <w:color w:val="000000"/>
          <w:sz w:val="28"/>
          <w:szCs w:val="28"/>
        </w:rPr>
        <w:t>1</w:t>
      </w:r>
      <w:r>
        <w:rPr>
          <w:rFonts w:ascii="Arial" w:eastAsia="仿宋_GB2312;仿宋" w:hAnsi="Arial" w:cs="Arial"/>
          <w:bCs/>
          <w:color w:val="000000"/>
          <w:sz w:val="28"/>
          <w:szCs w:val="28"/>
        </w:rPr>
        <w:t>个季度为</w:t>
      </w:r>
      <w:r>
        <w:rPr>
          <w:rFonts w:ascii="Arial" w:eastAsia="仿宋_GB2312;仿宋" w:hAnsi="Arial" w:cs="Arial"/>
          <w:bCs/>
          <w:color w:val="000000"/>
          <w:sz w:val="28"/>
          <w:szCs w:val="28"/>
        </w:rPr>
        <w:t>1</w:t>
      </w:r>
      <w:r>
        <w:rPr>
          <w:rFonts w:ascii="Arial" w:eastAsia="仿宋_GB2312;仿宋" w:hAnsi="Arial" w:cs="Arial"/>
          <w:bCs/>
          <w:color w:val="000000"/>
          <w:sz w:val="28"/>
          <w:szCs w:val="28"/>
        </w:rPr>
        <w:t>个纳税期的，季度销售额未超过</w:t>
      </w:r>
      <w:r>
        <w:rPr>
          <w:rFonts w:ascii="Arial" w:eastAsia="仿宋_GB2312;仿宋" w:hAnsi="Arial" w:cs="Arial"/>
          <w:bCs/>
          <w:color w:val="000000"/>
          <w:sz w:val="28"/>
          <w:szCs w:val="28"/>
        </w:rPr>
        <w:t>30</w:t>
      </w:r>
      <w:r>
        <w:rPr>
          <w:rFonts w:ascii="Arial" w:eastAsia="仿宋_GB2312;仿宋" w:hAnsi="Arial" w:cs="Arial"/>
          <w:bCs/>
          <w:color w:val="000000"/>
          <w:sz w:val="28"/>
          <w:szCs w:val="28"/>
        </w:rPr>
        <w:t>万元，下同）的，免征增值税。</w:t>
      </w:r>
      <w:r>
        <w:rPr>
          <w:rFonts w:ascii="Arial" w:eastAsia="仿宋_GB2312;仿宋" w:hAnsi="Arial" w:cs="Arial"/>
          <w:bCs/>
          <w:color w:val="000000"/>
          <w:sz w:val="28"/>
          <w:szCs w:val="28"/>
        </w:rPr>
        <w:t>②</w:t>
      </w:r>
      <w:r>
        <w:rPr>
          <w:rFonts w:ascii="Arial" w:eastAsia="仿宋_GB2312;仿宋" w:hAnsi="Arial" w:cs="Arial"/>
          <w:bCs/>
          <w:color w:val="000000"/>
          <w:sz w:val="28"/>
          <w:szCs w:val="28"/>
        </w:rPr>
        <w:t>自</w:t>
      </w:r>
      <w:r>
        <w:rPr>
          <w:rFonts w:ascii="Arial" w:eastAsia="仿宋_GB2312;仿宋" w:hAnsi="Arial" w:cs="Arial"/>
          <w:bCs/>
          <w:color w:val="000000"/>
          <w:sz w:val="28"/>
          <w:szCs w:val="28"/>
        </w:rPr>
        <w:t>2023</w:t>
      </w:r>
      <w:r>
        <w:rPr>
          <w:rFonts w:ascii="Arial" w:eastAsia="仿宋_GB2312;仿宋" w:hAnsi="Arial" w:cs="Arial"/>
          <w:bCs/>
          <w:color w:val="000000"/>
          <w:sz w:val="28"/>
          <w:szCs w:val="28"/>
        </w:rPr>
        <w:t>年</w:t>
      </w:r>
      <w:r>
        <w:rPr>
          <w:rFonts w:ascii="Arial" w:eastAsia="仿宋_GB2312;仿宋" w:hAnsi="Arial" w:cs="Arial"/>
          <w:bCs/>
          <w:color w:val="000000"/>
          <w:sz w:val="28"/>
          <w:szCs w:val="28"/>
        </w:rPr>
        <w:t>1</w:t>
      </w:r>
      <w:r>
        <w:rPr>
          <w:rFonts w:ascii="Arial" w:eastAsia="仿宋_GB2312;仿宋" w:hAnsi="Arial" w:cs="Arial"/>
          <w:bCs/>
          <w:color w:val="000000"/>
          <w:sz w:val="28"/>
          <w:szCs w:val="28"/>
        </w:rPr>
        <w:t>月</w:t>
      </w:r>
      <w:r>
        <w:rPr>
          <w:rFonts w:ascii="Arial" w:eastAsia="仿宋_GB2312;仿宋" w:hAnsi="Arial" w:cs="Arial"/>
          <w:bCs/>
          <w:color w:val="000000"/>
          <w:sz w:val="28"/>
          <w:szCs w:val="28"/>
        </w:rPr>
        <w:t>1</w:t>
      </w:r>
      <w:r>
        <w:rPr>
          <w:rFonts w:ascii="Arial" w:eastAsia="仿宋_GB2312;仿宋" w:hAnsi="Arial" w:cs="Arial"/>
          <w:bCs/>
          <w:color w:val="000000"/>
          <w:sz w:val="28"/>
          <w:szCs w:val="28"/>
        </w:rPr>
        <w:t>日至</w:t>
      </w:r>
      <w:r>
        <w:rPr>
          <w:rFonts w:ascii="Arial" w:eastAsia="仿宋_GB2312;仿宋" w:hAnsi="Arial" w:cs="Arial"/>
          <w:bCs/>
          <w:color w:val="000000"/>
          <w:sz w:val="28"/>
          <w:szCs w:val="28"/>
        </w:rPr>
        <w:t>2023</w:t>
      </w:r>
      <w:r>
        <w:rPr>
          <w:rFonts w:ascii="Arial" w:eastAsia="仿宋_GB2312;仿宋" w:hAnsi="Arial" w:cs="Arial"/>
          <w:bCs/>
          <w:color w:val="000000"/>
          <w:sz w:val="28"/>
          <w:szCs w:val="28"/>
        </w:rPr>
        <w:t>年</w:t>
      </w:r>
      <w:r>
        <w:rPr>
          <w:rFonts w:ascii="Arial" w:eastAsia="仿宋_GB2312;仿宋" w:hAnsi="Arial" w:cs="Arial"/>
          <w:bCs/>
          <w:color w:val="000000"/>
          <w:sz w:val="28"/>
          <w:szCs w:val="28"/>
        </w:rPr>
        <w:t>12</w:t>
      </w:r>
      <w:r>
        <w:rPr>
          <w:rFonts w:ascii="Arial" w:eastAsia="仿宋_GB2312;仿宋" w:hAnsi="Arial" w:cs="Arial"/>
          <w:bCs/>
          <w:color w:val="000000"/>
          <w:sz w:val="28"/>
          <w:szCs w:val="28"/>
        </w:rPr>
        <w:t>月</w:t>
      </w:r>
      <w:r>
        <w:rPr>
          <w:rFonts w:ascii="Arial" w:eastAsia="仿宋_GB2312;仿宋" w:hAnsi="Arial" w:cs="Arial"/>
          <w:bCs/>
          <w:color w:val="000000"/>
          <w:sz w:val="28"/>
          <w:szCs w:val="28"/>
        </w:rPr>
        <w:t>31</w:t>
      </w:r>
      <w:r>
        <w:rPr>
          <w:rFonts w:ascii="Arial" w:eastAsia="仿宋_GB2312;仿宋" w:hAnsi="Arial" w:cs="Arial"/>
          <w:bCs/>
          <w:color w:val="000000"/>
          <w:sz w:val="28"/>
          <w:szCs w:val="28"/>
        </w:rPr>
        <w:t>日，增值税小规模纳税人适用</w:t>
      </w:r>
      <w:r>
        <w:rPr>
          <w:rFonts w:ascii="Arial" w:eastAsia="仿宋_GB2312;仿宋" w:hAnsi="Arial" w:cs="Arial"/>
          <w:bCs/>
          <w:color w:val="000000"/>
          <w:sz w:val="28"/>
          <w:szCs w:val="28"/>
        </w:rPr>
        <w:t>3%</w:t>
      </w:r>
      <w:r>
        <w:rPr>
          <w:rFonts w:ascii="Arial" w:eastAsia="仿宋_GB2312;仿宋" w:hAnsi="Arial" w:cs="Arial"/>
          <w:bCs/>
          <w:color w:val="000000"/>
          <w:sz w:val="28"/>
          <w:szCs w:val="28"/>
        </w:rPr>
        <w:t>征收率的应税销售收入，减按</w:t>
      </w:r>
      <w:r>
        <w:rPr>
          <w:rFonts w:ascii="Arial" w:eastAsia="仿宋_GB2312;仿宋" w:hAnsi="Arial" w:cs="Arial"/>
          <w:bCs/>
          <w:color w:val="000000"/>
          <w:sz w:val="28"/>
          <w:szCs w:val="28"/>
        </w:rPr>
        <w:t>1%</w:t>
      </w:r>
      <w:r>
        <w:rPr>
          <w:rFonts w:ascii="Arial" w:eastAsia="仿宋_GB2312;仿宋" w:hAnsi="Arial" w:cs="Arial"/>
          <w:bCs/>
          <w:color w:val="000000"/>
          <w:sz w:val="28"/>
          <w:szCs w:val="28"/>
        </w:rPr>
        <w:t>征收率征收增值税；适用</w:t>
      </w:r>
      <w:r>
        <w:rPr>
          <w:rFonts w:ascii="Arial" w:eastAsia="仿宋_GB2312;仿宋" w:hAnsi="Arial" w:cs="Arial"/>
          <w:bCs/>
          <w:color w:val="000000"/>
          <w:sz w:val="28"/>
          <w:szCs w:val="28"/>
        </w:rPr>
        <w:t>3%</w:t>
      </w:r>
      <w:r>
        <w:rPr>
          <w:rFonts w:ascii="Arial" w:eastAsia="仿宋_GB2312;仿宋" w:hAnsi="Arial" w:cs="Arial"/>
          <w:bCs/>
          <w:color w:val="000000"/>
          <w:sz w:val="28"/>
          <w:szCs w:val="28"/>
        </w:rPr>
        <w:t>预征率的预缴增值税项目，减按</w:t>
      </w:r>
      <w:r>
        <w:rPr>
          <w:rFonts w:ascii="Arial" w:eastAsia="仿宋_GB2312;仿宋" w:hAnsi="Arial" w:cs="Arial"/>
          <w:bCs/>
          <w:color w:val="000000"/>
          <w:sz w:val="28"/>
          <w:szCs w:val="28"/>
        </w:rPr>
        <w:t>1%</w:t>
      </w:r>
      <w:r>
        <w:rPr>
          <w:rFonts w:ascii="Arial" w:eastAsia="仿宋_GB2312;仿宋" w:hAnsi="Arial" w:cs="Arial"/>
          <w:bCs/>
          <w:color w:val="000000"/>
          <w:sz w:val="28"/>
          <w:szCs w:val="28"/>
        </w:rPr>
        <w:t>预征率预缴增值税。</w:t>
      </w:r>
    </w:p>
    <w:p w14:paraId="620658CC" w14:textId="77777777" w:rsidR="00E70101" w:rsidRDefault="0060680B">
      <w:pPr>
        <w:overflowPunct w:val="0"/>
        <w:spacing w:line="360" w:lineRule="auto"/>
        <w:jc w:val="both"/>
        <w:textAlignment w:val="auto"/>
        <w:rPr>
          <w:rFonts w:ascii="Arial" w:eastAsia="仿宋_GB2312;仿宋" w:hAnsi="Arial" w:cs="Arial"/>
          <w:b/>
          <w:bCs/>
          <w:color w:val="000000"/>
          <w:sz w:val="28"/>
          <w:szCs w:val="28"/>
        </w:rPr>
      </w:pPr>
      <w:r>
        <w:rPr>
          <w:rFonts w:ascii="MS Gothic;ＭＳ ゴシック" w:eastAsia="MS Gothic;ＭＳ ゴシック" w:hAnsi="MS Gothic;ＭＳ ゴシック" w:cs="MS Gothic;ＭＳ ゴシック"/>
          <w:b/>
          <w:bCs/>
          <w:color w:val="000000"/>
          <w:sz w:val="28"/>
          <w:szCs w:val="28"/>
        </w:rPr>
        <w:t xml:space="preserve">◆  </w:t>
      </w:r>
      <w:r>
        <w:rPr>
          <w:rFonts w:ascii="Arial" w:eastAsia="仿宋_GB2312;仿宋" w:hAnsi="Arial" w:cs="Arial"/>
          <w:b/>
          <w:bCs/>
          <w:color w:val="000000"/>
          <w:sz w:val="28"/>
          <w:szCs w:val="28"/>
        </w:rPr>
        <w:t>金融政策：</w:t>
      </w:r>
    </w:p>
    <w:p w14:paraId="28897A94"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2022</w:t>
      </w:r>
      <w:r>
        <w:rPr>
          <w:rFonts w:ascii="Arial" w:eastAsia="仿宋_GB2312;仿宋" w:hAnsi="Arial" w:cs="Arial"/>
          <w:bCs/>
          <w:color w:val="000000"/>
          <w:sz w:val="28"/>
          <w:szCs w:val="28"/>
        </w:rPr>
        <w:t>年</w:t>
      </w:r>
      <w:r>
        <w:rPr>
          <w:rFonts w:ascii="Arial" w:eastAsia="仿宋_GB2312;仿宋" w:hAnsi="Arial" w:cs="Arial"/>
          <w:bCs/>
          <w:color w:val="000000"/>
          <w:sz w:val="28"/>
          <w:szCs w:val="28"/>
        </w:rPr>
        <w:t>5</w:t>
      </w:r>
      <w:r>
        <w:rPr>
          <w:rFonts w:ascii="Arial" w:eastAsia="仿宋_GB2312;仿宋" w:hAnsi="Arial" w:cs="Arial"/>
          <w:bCs/>
          <w:color w:val="000000"/>
          <w:sz w:val="28"/>
          <w:szCs w:val="28"/>
        </w:rPr>
        <w:t>月，北京市发布《</w:t>
      </w:r>
      <w:r>
        <w:rPr>
          <w:rFonts w:ascii="Arial" w:eastAsia="仿宋_GB2312;仿宋" w:hAnsi="Arial" w:cs="Arial"/>
          <w:bCs/>
          <w:color w:val="000000"/>
          <w:sz w:val="28"/>
          <w:szCs w:val="28"/>
        </w:rPr>
        <w:t>2022</w:t>
      </w:r>
      <w:r>
        <w:rPr>
          <w:rFonts w:ascii="Arial" w:eastAsia="仿宋_GB2312;仿宋" w:hAnsi="Arial" w:cs="Arial"/>
          <w:bCs/>
          <w:color w:val="000000"/>
          <w:sz w:val="28"/>
          <w:szCs w:val="28"/>
        </w:rPr>
        <w:t>年度高精尖产业发展资金实施指南》（以下简称</w:t>
      </w:r>
      <w:r>
        <w:rPr>
          <w:rFonts w:ascii="Arial" w:eastAsia="仿宋_GB2312;仿宋" w:hAnsi="Arial" w:cs="Arial"/>
          <w:bCs/>
          <w:color w:val="000000"/>
          <w:sz w:val="28"/>
          <w:szCs w:val="28"/>
        </w:rPr>
        <w:t>‘</w:t>
      </w:r>
      <w:r>
        <w:rPr>
          <w:rFonts w:ascii="Arial" w:eastAsia="仿宋_GB2312;仿宋" w:hAnsi="Arial" w:cs="Arial"/>
          <w:bCs/>
          <w:color w:val="000000"/>
          <w:sz w:val="28"/>
          <w:szCs w:val="28"/>
        </w:rPr>
        <w:t>实施指南</w:t>
      </w:r>
      <w:r>
        <w:rPr>
          <w:rFonts w:ascii="Arial" w:eastAsia="仿宋_GB2312;仿宋" w:hAnsi="Arial" w:cs="Arial"/>
          <w:bCs/>
          <w:color w:val="000000"/>
          <w:sz w:val="28"/>
          <w:szCs w:val="28"/>
        </w:rPr>
        <w:t>’</w:t>
      </w:r>
      <w:r>
        <w:rPr>
          <w:rFonts w:ascii="Arial" w:eastAsia="仿宋_GB2312;仿宋" w:hAnsi="Arial" w:cs="Arial"/>
          <w:bCs/>
          <w:color w:val="000000"/>
          <w:sz w:val="28"/>
          <w:szCs w:val="28"/>
        </w:rPr>
        <w:t>），进一步加大普惠性产业资金支持力度。《实施指南》明确，</w:t>
      </w:r>
      <w:r>
        <w:rPr>
          <w:rFonts w:ascii="Arial" w:eastAsia="仿宋_GB2312;仿宋" w:hAnsi="Arial" w:cs="Arial"/>
          <w:bCs/>
          <w:color w:val="000000"/>
          <w:sz w:val="28"/>
          <w:szCs w:val="28"/>
        </w:rPr>
        <w:t>2022</w:t>
      </w:r>
      <w:r>
        <w:rPr>
          <w:rFonts w:ascii="Arial" w:eastAsia="仿宋_GB2312;仿宋" w:hAnsi="Arial" w:cs="Arial"/>
          <w:bCs/>
          <w:color w:val="000000"/>
          <w:sz w:val="28"/>
          <w:szCs w:val="28"/>
        </w:rPr>
        <w:t>年支持方向主要是高端智能绿色发展和高精尖产业平稳发展两方面，具体分为重点新材料首批次应用奖励、医药创新品种首试产奖励等</w:t>
      </w:r>
      <w:r>
        <w:rPr>
          <w:rFonts w:ascii="Arial" w:eastAsia="仿宋_GB2312;仿宋" w:hAnsi="Arial" w:cs="Arial"/>
          <w:bCs/>
          <w:color w:val="000000"/>
          <w:sz w:val="28"/>
          <w:szCs w:val="28"/>
        </w:rPr>
        <w:t>12</w:t>
      </w:r>
      <w:r>
        <w:rPr>
          <w:rFonts w:ascii="Arial" w:eastAsia="仿宋_GB2312;仿宋" w:hAnsi="Arial" w:cs="Arial"/>
          <w:bCs/>
          <w:color w:val="000000"/>
          <w:sz w:val="28"/>
          <w:szCs w:val="28"/>
        </w:rPr>
        <w:t>个细分方向。高精尖资金将坚持</w:t>
      </w:r>
      <w:r>
        <w:rPr>
          <w:rFonts w:ascii="Arial" w:eastAsia="仿宋_GB2312;仿宋" w:hAnsi="Arial" w:cs="Arial"/>
          <w:bCs/>
          <w:color w:val="000000"/>
          <w:sz w:val="28"/>
          <w:szCs w:val="28"/>
        </w:rPr>
        <w:t>“</w:t>
      </w:r>
      <w:r>
        <w:rPr>
          <w:rFonts w:ascii="Arial" w:eastAsia="仿宋_GB2312;仿宋" w:hAnsi="Arial" w:cs="Arial"/>
          <w:bCs/>
          <w:color w:val="000000"/>
          <w:sz w:val="28"/>
          <w:szCs w:val="28"/>
        </w:rPr>
        <w:t>普惠共享</w:t>
      </w:r>
      <w:r>
        <w:rPr>
          <w:rFonts w:ascii="Arial" w:eastAsia="仿宋_GB2312;仿宋" w:hAnsi="Arial" w:cs="Arial"/>
          <w:bCs/>
          <w:color w:val="000000"/>
          <w:sz w:val="28"/>
          <w:szCs w:val="28"/>
        </w:rPr>
        <w:t>”</w:t>
      </w:r>
      <w:r>
        <w:rPr>
          <w:rFonts w:ascii="Arial" w:eastAsia="仿宋_GB2312;仿宋" w:hAnsi="Arial" w:cs="Arial"/>
          <w:bCs/>
          <w:color w:val="000000"/>
          <w:sz w:val="28"/>
          <w:szCs w:val="28"/>
        </w:rPr>
        <w:t>的支持原则，采取明确标准、达标即享的方式，进一步优化申报流程，确保对达标企业给予支持，扩大资金支持覆盖面，提高资金使用透明度。《实施指南》强调，要更加注重发挥有为政府和有效市场的双重作用，提升资金</w:t>
      </w:r>
      <w:r>
        <w:rPr>
          <w:rFonts w:ascii="Arial" w:eastAsia="仿宋_GB2312;仿宋" w:hAnsi="Arial" w:cs="Arial"/>
          <w:bCs/>
          <w:color w:val="000000"/>
          <w:sz w:val="28"/>
          <w:szCs w:val="28"/>
        </w:rPr>
        <w:t>“</w:t>
      </w:r>
      <w:r>
        <w:rPr>
          <w:rFonts w:ascii="Arial" w:eastAsia="仿宋_GB2312;仿宋" w:hAnsi="Arial" w:cs="Arial"/>
          <w:bCs/>
          <w:color w:val="000000"/>
          <w:sz w:val="28"/>
          <w:szCs w:val="28"/>
        </w:rPr>
        <w:t>四两拨千斤</w:t>
      </w:r>
      <w:r>
        <w:rPr>
          <w:rFonts w:ascii="Arial" w:eastAsia="仿宋_GB2312;仿宋" w:hAnsi="Arial" w:cs="Arial"/>
          <w:bCs/>
          <w:color w:val="000000"/>
          <w:sz w:val="28"/>
          <w:szCs w:val="28"/>
        </w:rPr>
        <w:t>”</w:t>
      </w:r>
      <w:r>
        <w:rPr>
          <w:rFonts w:ascii="Arial" w:eastAsia="仿宋_GB2312;仿宋" w:hAnsi="Arial" w:cs="Arial"/>
          <w:bCs/>
          <w:color w:val="000000"/>
          <w:sz w:val="28"/>
          <w:szCs w:val="28"/>
        </w:rPr>
        <w:t>的政策效能，更加有力地服务支撑本市制造业高质量发展，为稳定经济增长和促进产业转型升级发挥积极作用。</w:t>
      </w:r>
    </w:p>
    <w:p w14:paraId="3D304BE5" w14:textId="77777777" w:rsidR="00E70101" w:rsidRDefault="0060680B">
      <w:pPr>
        <w:widowControl/>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4.</w:t>
      </w:r>
      <w:r>
        <w:rPr>
          <w:rFonts w:ascii="Arial" w:eastAsia="仿宋_GB2312;仿宋" w:hAnsi="Arial" w:cs="Arial"/>
          <w:bCs/>
          <w:sz w:val="28"/>
          <w:szCs w:val="28"/>
        </w:rPr>
        <w:t>城市规划与发展目标</w:t>
      </w:r>
    </w:p>
    <w:p w14:paraId="00DC58A7" w14:textId="77777777" w:rsidR="00E70101" w:rsidRDefault="0060680B">
      <w:pPr>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《北京市国民经济和社会发展第十四个五年规划和二〇三五年远景目标纲要》（以下简称《纲要》）的指导思想，是要统筹推进</w:t>
      </w:r>
      <w:r>
        <w:rPr>
          <w:rFonts w:ascii="Arial" w:eastAsia="仿宋_GB2312;仿宋" w:hAnsi="Arial" w:cs="Arial"/>
          <w:bCs/>
          <w:sz w:val="28"/>
          <w:szCs w:val="28"/>
        </w:rPr>
        <w:t>“</w:t>
      </w:r>
      <w:r>
        <w:rPr>
          <w:rFonts w:ascii="Arial" w:eastAsia="仿宋_GB2312;仿宋" w:hAnsi="Arial" w:cs="Arial"/>
          <w:bCs/>
          <w:sz w:val="28"/>
          <w:szCs w:val="28"/>
        </w:rPr>
        <w:t>五位一体</w:t>
      </w:r>
      <w:r>
        <w:rPr>
          <w:rFonts w:ascii="Arial" w:eastAsia="仿宋_GB2312;仿宋" w:hAnsi="Arial" w:cs="Arial"/>
          <w:bCs/>
          <w:sz w:val="28"/>
          <w:szCs w:val="28"/>
        </w:rPr>
        <w:t>”</w:t>
      </w:r>
      <w:r>
        <w:rPr>
          <w:rFonts w:ascii="Arial" w:eastAsia="仿宋_GB2312;仿宋" w:hAnsi="Arial" w:cs="Arial"/>
          <w:bCs/>
          <w:sz w:val="28"/>
          <w:szCs w:val="28"/>
        </w:rPr>
        <w:t>总体布局，协调推进</w:t>
      </w:r>
      <w:r>
        <w:rPr>
          <w:rFonts w:ascii="Arial" w:eastAsia="仿宋_GB2312;仿宋" w:hAnsi="Arial" w:cs="Arial"/>
          <w:bCs/>
          <w:sz w:val="28"/>
          <w:szCs w:val="28"/>
        </w:rPr>
        <w:t>“</w:t>
      </w:r>
      <w:r>
        <w:rPr>
          <w:rFonts w:ascii="Arial" w:eastAsia="仿宋_GB2312;仿宋" w:hAnsi="Arial" w:cs="Arial"/>
          <w:bCs/>
          <w:sz w:val="28"/>
          <w:szCs w:val="28"/>
        </w:rPr>
        <w:t>四个全面</w:t>
      </w:r>
      <w:r>
        <w:rPr>
          <w:rFonts w:ascii="Arial" w:eastAsia="仿宋_GB2312;仿宋" w:hAnsi="Arial" w:cs="Arial"/>
          <w:bCs/>
          <w:sz w:val="28"/>
          <w:szCs w:val="28"/>
        </w:rPr>
        <w:t>”</w:t>
      </w:r>
      <w:r>
        <w:rPr>
          <w:rFonts w:ascii="Arial" w:eastAsia="仿宋_GB2312;仿宋" w:hAnsi="Arial" w:cs="Arial"/>
          <w:bCs/>
          <w:sz w:val="28"/>
          <w:szCs w:val="28"/>
        </w:rPr>
        <w:t>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w:t>
      </w:r>
      <w:r>
        <w:rPr>
          <w:rFonts w:ascii="Arial" w:eastAsia="仿宋_GB2312;仿宋" w:hAnsi="Arial" w:cs="Arial"/>
          <w:bCs/>
          <w:sz w:val="28"/>
          <w:szCs w:val="28"/>
        </w:rPr>
        <w:t>“</w:t>
      </w:r>
      <w:r>
        <w:rPr>
          <w:rFonts w:ascii="Arial" w:eastAsia="仿宋_GB2312;仿宋" w:hAnsi="Arial" w:cs="Arial"/>
          <w:bCs/>
          <w:sz w:val="28"/>
          <w:szCs w:val="28"/>
        </w:rPr>
        <w:t>牛鼻子</w:t>
      </w:r>
      <w:r>
        <w:rPr>
          <w:rFonts w:ascii="Arial" w:eastAsia="仿宋_GB2312;仿宋" w:hAnsi="Arial" w:cs="Arial"/>
          <w:bCs/>
          <w:sz w:val="28"/>
          <w:szCs w:val="28"/>
        </w:rPr>
        <w:t>”</w:t>
      </w:r>
      <w:r>
        <w:rPr>
          <w:rFonts w:ascii="Arial" w:eastAsia="仿宋_GB2312;仿宋" w:hAnsi="Arial" w:cs="Arial"/>
          <w:bCs/>
          <w:sz w:val="28"/>
          <w:szCs w:val="28"/>
        </w:rPr>
        <w:t>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2041A495" w14:textId="77777777" w:rsidR="00E70101" w:rsidRDefault="0060680B">
      <w:pPr>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《纲要》提出，</w:t>
      </w:r>
      <w:r>
        <w:rPr>
          <w:rFonts w:ascii="Arial" w:eastAsia="仿宋_GB2312;仿宋" w:hAnsi="Arial" w:cs="Arial"/>
          <w:bCs/>
          <w:sz w:val="28"/>
          <w:szCs w:val="28"/>
        </w:rPr>
        <w:t>“</w:t>
      </w:r>
      <w:r>
        <w:rPr>
          <w:rFonts w:ascii="Arial" w:eastAsia="仿宋_GB2312;仿宋" w:hAnsi="Arial" w:cs="Arial"/>
          <w:bCs/>
          <w:sz w:val="28"/>
          <w:szCs w:val="28"/>
        </w:rPr>
        <w:t>十四五</w:t>
      </w:r>
      <w:r>
        <w:rPr>
          <w:rFonts w:ascii="Arial" w:eastAsia="仿宋_GB2312;仿宋" w:hAnsi="Arial" w:cs="Arial"/>
          <w:bCs/>
          <w:sz w:val="28"/>
          <w:szCs w:val="28"/>
        </w:rPr>
        <w:t>”</w:t>
      </w:r>
      <w:r>
        <w:rPr>
          <w:rFonts w:ascii="Arial" w:eastAsia="仿宋_GB2312;仿宋" w:hAnsi="Arial" w:cs="Arial"/>
          <w:bCs/>
          <w:sz w:val="28"/>
          <w:szCs w:val="28"/>
        </w:rPr>
        <w:t>时期要坚决落实创新在现代化建设全局中的核心地位。加快建设</w:t>
      </w:r>
      <w:r>
        <w:rPr>
          <w:rFonts w:ascii="Arial" w:eastAsia="仿宋_GB2312;仿宋" w:hAnsi="Arial" w:cs="Arial"/>
          <w:bCs/>
          <w:sz w:val="28"/>
          <w:szCs w:val="28"/>
        </w:rPr>
        <w:t>“</w:t>
      </w:r>
      <w:r>
        <w:rPr>
          <w:rFonts w:ascii="Arial" w:eastAsia="仿宋_GB2312;仿宋" w:hAnsi="Arial" w:cs="Arial"/>
          <w:bCs/>
          <w:sz w:val="28"/>
          <w:szCs w:val="28"/>
        </w:rPr>
        <w:t>三城一区</w:t>
      </w:r>
      <w:r>
        <w:rPr>
          <w:rFonts w:ascii="Arial" w:eastAsia="仿宋_GB2312;仿宋" w:hAnsi="Arial" w:cs="Arial"/>
          <w:bCs/>
          <w:sz w:val="28"/>
          <w:szCs w:val="28"/>
        </w:rPr>
        <w:t>”</w:t>
      </w:r>
      <w:r>
        <w:rPr>
          <w:rFonts w:ascii="Arial" w:eastAsia="仿宋_GB2312;仿宋" w:hAnsi="Arial" w:cs="Arial"/>
          <w:bCs/>
          <w:sz w:val="28"/>
          <w:szCs w:val="28"/>
        </w:rPr>
        <w:t>主平台和中关村示范区主阵地：</w:t>
      </w:r>
      <w:r>
        <w:rPr>
          <w:rFonts w:ascii="Arial" w:eastAsia="仿宋_GB2312;仿宋" w:hAnsi="Arial" w:cs="Arial"/>
          <w:bCs/>
          <w:sz w:val="28"/>
          <w:szCs w:val="28"/>
        </w:rPr>
        <w:t>1.</w:t>
      </w:r>
      <w:r>
        <w:rPr>
          <w:rFonts w:ascii="Arial" w:eastAsia="仿宋_GB2312;仿宋" w:hAnsi="Arial" w:cs="Arial"/>
          <w:bCs/>
          <w:sz w:val="28"/>
          <w:szCs w:val="28"/>
        </w:rPr>
        <w:t>聚焦中关村科学城，立足</w:t>
      </w:r>
      <w:r>
        <w:rPr>
          <w:rFonts w:ascii="Arial" w:eastAsia="仿宋_GB2312;仿宋" w:hAnsi="Arial" w:cs="Arial"/>
          <w:bCs/>
          <w:sz w:val="28"/>
          <w:szCs w:val="28"/>
        </w:rPr>
        <w:t>“</w:t>
      </w:r>
      <w:r>
        <w:rPr>
          <w:rFonts w:ascii="Arial" w:eastAsia="仿宋_GB2312;仿宋" w:hAnsi="Arial" w:cs="Arial"/>
          <w:bCs/>
          <w:sz w:val="28"/>
          <w:szCs w:val="28"/>
        </w:rPr>
        <w:t>一轴一廊一带，一极多组团多节点</w:t>
      </w:r>
      <w:r>
        <w:rPr>
          <w:rFonts w:ascii="Arial" w:eastAsia="仿宋_GB2312;仿宋" w:hAnsi="Arial" w:cs="Arial"/>
          <w:bCs/>
          <w:sz w:val="28"/>
          <w:szCs w:val="28"/>
        </w:rPr>
        <w:t>”</w:t>
      </w:r>
      <w:r>
        <w:rPr>
          <w:rFonts w:ascii="Arial" w:eastAsia="仿宋_GB2312;仿宋" w:hAnsi="Arial" w:cs="Arial"/>
          <w:bCs/>
          <w:sz w:val="28"/>
          <w:szCs w:val="28"/>
        </w:rPr>
        <w:t>，持续推动产业与空间高效匹配。在中关村科学城北区建设国际创新创业示范区，搭建全链条、专业化、国际化的综合服务平台，持续优化国际化宜居宜业环境，打造北京国际科技创新中心建设新的重要支撑和新增长极。</w:t>
      </w:r>
      <w:r>
        <w:rPr>
          <w:rFonts w:ascii="Arial" w:eastAsia="仿宋_GB2312;仿宋" w:hAnsi="Arial" w:cs="Arial"/>
          <w:bCs/>
          <w:sz w:val="28"/>
          <w:szCs w:val="28"/>
        </w:rPr>
        <w:t>2.</w:t>
      </w:r>
      <w:r>
        <w:rPr>
          <w:rFonts w:ascii="Arial" w:eastAsia="仿宋_GB2312;仿宋" w:hAnsi="Arial" w:cs="Arial"/>
          <w:bCs/>
          <w:sz w:val="28"/>
          <w:szCs w:val="28"/>
        </w:rPr>
        <w:t>突破怀柔科学城，以支撑北京怀柔综合性国家科学中心建设为核心，体系化布局一批设施平台、创新主体。突出科学功能适度集聚与城市发展集约高效的有机融合。聚焦</w:t>
      </w:r>
      <w:r>
        <w:rPr>
          <w:rFonts w:ascii="Arial" w:eastAsia="仿宋_GB2312;仿宋" w:hAnsi="Arial" w:cs="Arial"/>
          <w:bCs/>
          <w:sz w:val="28"/>
          <w:szCs w:val="28"/>
        </w:rPr>
        <w:t>“</w:t>
      </w:r>
      <w:r>
        <w:rPr>
          <w:rFonts w:ascii="Arial" w:eastAsia="仿宋_GB2312;仿宋" w:hAnsi="Arial" w:cs="Arial"/>
          <w:bCs/>
          <w:sz w:val="28"/>
          <w:szCs w:val="28"/>
        </w:rPr>
        <w:t>一心一核</w:t>
      </w:r>
      <w:r>
        <w:rPr>
          <w:rFonts w:ascii="Arial" w:eastAsia="仿宋_GB2312;仿宋" w:hAnsi="Arial" w:cs="Arial"/>
          <w:bCs/>
          <w:sz w:val="28"/>
          <w:szCs w:val="28"/>
        </w:rPr>
        <w:t>”</w:t>
      </w:r>
      <w:r>
        <w:rPr>
          <w:rFonts w:ascii="Arial" w:eastAsia="仿宋_GB2312;仿宋" w:hAnsi="Arial" w:cs="Arial"/>
          <w:bCs/>
          <w:sz w:val="28"/>
          <w:szCs w:val="28"/>
        </w:rPr>
        <w:t>，实施城市客厅等一批城市框架起步区品质提升工程。完善</w:t>
      </w:r>
      <w:r>
        <w:rPr>
          <w:rFonts w:ascii="Arial" w:eastAsia="仿宋_GB2312;仿宋" w:hAnsi="Arial" w:cs="Arial"/>
          <w:bCs/>
          <w:sz w:val="28"/>
          <w:szCs w:val="28"/>
        </w:rPr>
        <w:t>“</w:t>
      </w:r>
      <w:r>
        <w:rPr>
          <w:rFonts w:ascii="Arial" w:eastAsia="仿宋_GB2312;仿宋" w:hAnsi="Arial" w:cs="Arial"/>
          <w:bCs/>
          <w:sz w:val="28"/>
          <w:szCs w:val="28"/>
        </w:rPr>
        <w:t>三片</w:t>
      </w:r>
      <w:r>
        <w:rPr>
          <w:rFonts w:ascii="Arial" w:eastAsia="仿宋_GB2312;仿宋" w:hAnsi="Arial" w:cs="Arial"/>
          <w:bCs/>
          <w:sz w:val="28"/>
          <w:szCs w:val="28"/>
        </w:rPr>
        <w:t>”</w:t>
      </w:r>
      <w:r>
        <w:rPr>
          <w:rFonts w:ascii="Arial" w:eastAsia="仿宋_GB2312;仿宋" w:hAnsi="Arial" w:cs="Arial"/>
          <w:bCs/>
          <w:sz w:val="28"/>
          <w:szCs w:val="28"/>
        </w:rPr>
        <w:t>功能布局。推进怀柔南站交通接驳工程，布局雁栖小镇等重大项目，推进雁栖国际人才社区建设，完善多类型分层次住房保障体系。</w:t>
      </w:r>
      <w:r>
        <w:rPr>
          <w:rFonts w:ascii="Arial" w:eastAsia="仿宋_GB2312;仿宋" w:hAnsi="Arial" w:cs="Arial"/>
          <w:bCs/>
          <w:sz w:val="28"/>
          <w:szCs w:val="28"/>
        </w:rPr>
        <w:t xml:space="preserve">3. </w:t>
      </w:r>
      <w:r>
        <w:rPr>
          <w:rFonts w:ascii="Arial" w:eastAsia="仿宋_GB2312;仿宋" w:hAnsi="Arial" w:cs="Arial"/>
          <w:bCs/>
          <w:sz w:val="28"/>
          <w:szCs w:val="28"/>
        </w:rPr>
        <w:t>搞活未来科学城，依托</w:t>
      </w:r>
      <w:r>
        <w:rPr>
          <w:rFonts w:ascii="Arial" w:eastAsia="仿宋_GB2312;仿宋" w:hAnsi="Arial" w:cs="Arial"/>
          <w:bCs/>
          <w:sz w:val="28"/>
          <w:szCs w:val="28"/>
        </w:rPr>
        <w:t>“</w:t>
      </w:r>
      <w:r>
        <w:rPr>
          <w:rFonts w:ascii="Arial" w:eastAsia="仿宋_GB2312;仿宋" w:hAnsi="Arial" w:cs="Arial"/>
          <w:bCs/>
          <w:sz w:val="28"/>
          <w:szCs w:val="28"/>
        </w:rPr>
        <w:t>两谷一园</w:t>
      </w:r>
      <w:r>
        <w:rPr>
          <w:rFonts w:ascii="Arial" w:eastAsia="仿宋_GB2312;仿宋" w:hAnsi="Arial" w:cs="Arial"/>
          <w:bCs/>
          <w:sz w:val="28"/>
          <w:szCs w:val="28"/>
        </w:rPr>
        <w:t>”</w:t>
      </w:r>
      <w:r>
        <w:rPr>
          <w:rFonts w:ascii="Arial" w:eastAsia="仿宋_GB2312;仿宋" w:hAnsi="Arial" w:cs="Arial"/>
          <w:bCs/>
          <w:sz w:val="28"/>
          <w:szCs w:val="28"/>
        </w:rPr>
        <w:t>，积极营造</w:t>
      </w:r>
      <w:r>
        <w:rPr>
          <w:rFonts w:ascii="Arial" w:eastAsia="仿宋_GB2312;仿宋" w:hAnsi="Arial" w:cs="Arial"/>
          <w:bCs/>
          <w:sz w:val="28"/>
          <w:szCs w:val="28"/>
        </w:rPr>
        <w:t>“</w:t>
      </w:r>
      <w:r>
        <w:rPr>
          <w:rFonts w:ascii="Arial" w:eastAsia="仿宋_GB2312;仿宋" w:hAnsi="Arial" w:cs="Arial"/>
          <w:bCs/>
          <w:sz w:val="28"/>
          <w:szCs w:val="28"/>
        </w:rPr>
        <w:t>龙头企业</w:t>
      </w:r>
      <w:r>
        <w:rPr>
          <w:rFonts w:ascii="Arial" w:eastAsia="仿宋_GB2312;仿宋" w:hAnsi="Arial" w:cs="Arial"/>
          <w:bCs/>
          <w:sz w:val="28"/>
          <w:szCs w:val="28"/>
        </w:rPr>
        <w:t>+</w:t>
      </w:r>
      <w:r>
        <w:rPr>
          <w:rFonts w:ascii="Arial" w:eastAsia="仿宋_GB2312;仿宋" w:hAnsi="Arial" w:cs="Arial"/>
          <w:bCs/>
          <w:sz w:val="28"/>
          <w:szCs w:val="28"/>
        </w:rPr>
        <w:t>中小创新企业</w:t>
      </w:r>
      <w:r>
        <w:rPr>
          <w:rFonts w:ascii="Arial" w:eastAsia="Arial" w:hAnsi="Arial" w:cs="Arial"/>
          <w:bCs/>
          <w:sz w:val="28"/>
          <w:szCs w:val="28"/>
        </w:rPr>
        <w:t xml:space="preserve"> </w:t>
      </w:r>
      <w:r>
        <w:rPr>
          <w:rFonts w:ascii="Arial" w:eastAsia="仿宋_GB2312;仿宋" w:hAnsi="Arial" w:cs="Arial"/>
          <w:bCs/>
          <w:sz w:val="28"/>
          <w:szCs w:val="28"/>
        </w:rPr>
        <w:t>+</w:t>
      </w:r>
      <w:r>
        <w:rPr>
          <w:rFonts w:ascii="Arial" w:eastAsia="仿宋_GB2312;仿宋" w:hAnsi="Arial" w:cs="Arial"/>
          <w:bCs/>
          <w:sz w:val="28"/>
          <w:szCs w:val="28"/>
        </w:rPr>
        <w:t>公共服务平台</w:t>
      </w:r>
      <w:r>
        <w:rPr>
          <w:rFonts w:ascii="Arial" w:eastAsia="仿宋_GB2312;仿宋" w:hAnsi="Arial" w:cs="Arial"/>
          <w:bCs/>
          <w:sz w:val="28"/>
          <w:szCs w:val="28"/>
        </w:rPr>
        <w:t>+</w:t>
      </w:r>
      <w:r>
        <w:rPr>
          <w:rFonts w:ascii="Arial" w:eastAsia="仿宋_GB2312;仿宋" w:hAnsi="Arial" w:cs="Arial"/>
          <w:bCs/>
          <w:sz w:val="28"/>
          <w:szCs w:val="28"/>
        </w:rPr>
        <w:t>高校</w:t>
      </w:r>
      <w:r>
        <w:rPr>
          <w:rFonts w:ascii="Arial" w:eastAsia="仿宋_GB2312;仿宋" w:hAnsi="Arial" w:cs="Arial"/>
          <w:bCs/>
          <w:sz w:val="28"/>
          <w:szCs w:val="28"/>
        </w:rPr>
        <w:t>”</w:t>
      </w:r>
      <w:r>
        <w:rPr>
          <w:rFonts w:ascii="Arial" w:eastAsia="仿宋_GB2312;仿宋" w:hAnsi="Arial" w:cs="Arial"/>
          <w:bCs/>
          <w:sz w:val="28"/>
          <w:szCs w:val="28"/>
        </w:rPr>
        <w:t>的创新生态。加快</w:t>
      </w:r>
      <w:r>
        <w:rPr>
          <w:rFonts w:ascii="Arial" w:eastAsia="仿宋_GB2312;仿宋" w:hAnsi="Arial" w:cs="Arial"/>
          <w:bCs/>
          <w:sz w:val="28"/>
          <w:szCs w:val="28"/>
        </w:rPr>
        <w:t>“</w:t>
      </w:r>
      <w:r>
        <w:rPr>
          <w:rFonts w:ascii="Arial" w:eastAsia="仿宋_GB2312;仿宋" w:hAnsi="Arial" w:cs="Arial"/>
          <w:bCs/>
          <w:sz w:val="28"/>
          <w:szCs w:val="28"/>
        </w:rPr>
        <w:t>能源谷</w:t>
      </w:r>
      <w:r>
        <w:rPr>
          <w:rFonts w:ascii="Arial" w:eastAsia="仿宋_GB2312;仿宋" w:hAnsi="Arial" w:cs="Arial"/>
          <w:bCs/>
          <w:sz w:val="28"/>
          <w:szCs w:val="28"/>
        </w:rPr>
        <w:t>”</w:t>
      </w:r>
      <w:r>
        <w:rPr>
          <w:rFonts w:ascii="Arial" w:eastAsia="仿宋_GB2312;仿宋" w:hAnsi="Arial" w:cs="Arial"/>
          <w:bCs/>
          <w:sz w:val="28"/>
          <w:szCs w:val="28"/>
        </w:rPr>
        <w:t>建设，</w:t>
      </w:r>
      <w:r>
        <w:rPr>
          <w:rFonts w:ascii="Arial" w:eastAsia="仿宋_GB2312;仿宋" w:hAnsi="Arial" w:cs="Arial"/>
          <w:bCs/>
          <w:sz w:val="28"/>
          <w:szCs w:val="28"/>
        </w:rPr>
        <w:t>“</w:t>
      </w:r>
      <w:r>
        <w:rPr>
          <w:rFonts w:ascii="Arial" w:eastAsia="仿宋_GB2312;仿宋" w:hAnsi="Arial" w:cs="Arial"/>
          <w:bCs/>
          <w:sz w:val="28"/>
          <w:szCs w:val="28"/>
        </w:rPr>
        <w:t>一企一策</w:t>
      </w:r>
      <w:r>
        <w:rPr>
          <w:rFonts w:ascii="Arial" w:eastAsia="仿宋_GB2312;仿宋" w:hAnsi="Arial" w:cs="Arial"/>
          <w:bCs/>
          <w:sz w:val="28"/>
          <w:szCs w:val="28"/>
        </w:rPr>
        <w:t>”</w:t>
      </w:r>
      <w:r>
        <w:rPr>
          <w:rFonts w:ascii="Arial" w:eastAsia="仿宋_GB2312;仿宋" w:hAnsi="Arial" w:cs="Arial"/>
          <w:bCs/>
          <w:sz w:val="28"/>
          <w:szCs w:val="28"/>
        </w:rPr>
        <w:t>盘活央企存量资源，加速形成更具活力的创新空间。提</w:t>
      </w:r>
      <w:r>
        <w:rPr>
          <w:rFonts w:ascii="Arial" w:eastAsia="Arial" w:hAnsi="Arial" w:cs="Arial"/>
          <w:bCs/>
          <w:sz w:val="28"/>
          <w:szCs w:val="28"/>
        </w:rPr>
        <w:t xml:space="preserve"> </w:t>
      </w:r>
      <w:r>
        <w:rPr>
          <w:rFonts w:ascii="Arial" w:eastAsia="仿宋_GB2312;仿宋" w:hAnsi="Arial" w:cs="Arial"/>
          <w:bCs/>
          <w:sz w:val="28"/>
          <w:szCs w:val="28"/>
        </w:rPr>
        <w:t>升</w:t>
      </w:r>
      <w:r>
        <w:rPr>
          <w:rFonts w:ascii="Arial" w:eastAsia="仿宋_GB2312;仿宋" w:hAnsi="Arial" w:cs="Arial"/>
          <w:bCs/>
          <w:sz w:val="28"/>
          <w:szCs w:val="28"/>
        </w:rPr>
        <w:t>“</w:t>
      </w:r>
      <w:r>
        <w:rPr>
          <w:rFonts w:ascii="Arial" w:eastAsia="仿宋_GB2312;仿宋" w:hAnsi="Arial" w:cs="Arial"/>
          <w:bCs/>
          <w:sz w:val="28"/>
          <w:szCs w:val="28"/>
        </w:rPr>
        <w:t>生命谷</w:t>
      </w:r>
      <w:r>
        <w:rPr>
          <w:rFonts w:ascii="Arial" w:eastAsia="仿宋_GB2312;仿宋" w:hAnsi="Arial" w:cs="Arial"/>
          <w:bCs/>
          <w:sz w:val="28"/>
          <w:szCs w:val="28"/>
        </w:rPr>
        <w:t>”</w:t>
      </w:r>
      <w:r>
        <w:rPr>
          <w:rFonts w:ascii="Arial" w:eastAsia="仿宋_GB2312;仿宋" w:hAnsi="Arial" w:cs="Arial"/>
          <w:bCs/>
          <w:sz w:val="28"/>
          <w:szCs w:val="28"/>
        </w:rPr>
        <w:t>创新能级，推进生命园三期建设，进一步拓展居住、产业和商业配套空间。</w:t>
      </w:r>
    </w:p>
    <w:p w14:paraId="1153BE87" w14:textId="77777777" w:rsidR="00E70101" w:rsidRDefault="0060680B">
      <w:pPr>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纵深推动京津冀协同发展，推动形成更加紧密协同发展格局，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54C0EA37" w14:textId="77777777" w:rsidR="00E70101" w:rsidRDefault="0060680B">
      <w:pPr>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构建特色与活力兼备的现代化经济体系，探索构建新发展格局的有效路径，激发</w:t>
      </w:r>
      <w:r>
        <w:rPr>
          <w:rFonts w:ascii="Arial" w:eastAsia="仿宋_GB2312;仿宋" w:hAnsi="Arial" w:cs="Arial"/>
          <w:bCs/>
          <w:sz w:val="28"/>
          <w:szCs w:val="28"/>
        </w:rPr>
        <w:t>“</w:t>
      </w:r>
      <w:r>
        <w:rPr>
          <w:rFonts w:ascii="Arial" w:eastAsia="仿宋_GB2312;仿宋" w:hAnsi="Arial" w:cs="Arial"/>
          <w:bCs/>
          <w:sz w:val="28"/>
          <w:szCs w:val="28"/>
        </w:rPr>
        <w:t>两区</w:t>
      </w:r>
      <w:r>
        <w:rPr>
          <w:rFonts w:ascii="Arial" w:eastAsia="仿宋_GB2312;仿宋" w:hAnsi="Arial" w:cs="Arial"/>
          <w:bCs/>
          <w:sz w:val="28"/>
          <w:szCs w:val="28"/>
        </w:rPr>
        <w:t>”</w:t>
      </w:r>
      <w:r>
        <w:rPr>
          <w:rFonts w:ascii="Arial" w:eastAsia="仿宋_GB2312;仿宋" w:hAnsi="Arial" w:cs="Arial"/>
          <w:bCs/>
          <w:sz w:val="28"/>
          <w:szCs w:val="28"/>
        </w:rPr>
        <w:t>新活力，全方位打造</w:t>
      </w:r>
      <w:r>
        <w:rPr>
          <w:rFonts w:ascii="Arial" w:eastAsia="仿宋_GB2312;仿宋" w:hAnsi="Arial" w:cs="Arial"/>
          <w:bCs/>
          <w:sz w:val="28"/>
          <w:szCs w:val="28"/>
        </w:rPr>
        <w:t>“</w:t>
      </w:r>
      <w:r>
        <w:rPr>
          <w:rFonts w:ascii="Arial" w:eastAsia="仿宋_GB2312;仿宋" w:hAnsi="Arial" w:cs="Arial"/>
          <w:bCs/>
          <w:sz w:val="28"/>
          <w:szCs w:val="28"/>
        </w:rPr>
        <w:t>产业</w:t>
      </w:r>
      <w:r>
        <w:rPr>
          <w:rFonts w:ascii="Arial" w:eastAsia="仿宋_GB2312;仿宋" w:hAnsi="Arial" w:cs="Arial"/>
          <w:bCs/>
          <w:sz w:val="28"/>
          <w:szCs w:val="28"/>
        </w:rPr>
        <w:t>+</w:t>
      </w:r>
      <w:r>
        <w:rPr>
          <w:rFonts w:ascii="Arial" w:eastAsia="仿宋_GB2312;仿宋" w:hAnsi="Arial" w:cs="Arial"/>
          <w:bCs/>
          <w:sz w:val="28"/>
          <w:szCs w:val="28"/>
        </w:rPr>
        <w:t>园区</w:t>
      </w:r>
      <w:r>
        <w:rPr>
          <w:rFonts w:ascii="Arial" w:eastAsia="仿宋_GB2312;仿宋" w:hAnsi="Arial" w:cs="Arial"/>
          <w:bCs/>
          <w:sz w:val="28"/>
          <w:szCs w:val="28"/>
        </w:rPr>
        <w:t>”</w:t>
      </w:r>
      <w:r>
        <w:rPr>
          <w:rFonts w:ascii="Arial" w:eastAsia="仿宋_GB2312;仿宋" w:hAnsi="Arial" w:cs="Arial"/>
          <w:bCs/>
          <w:sz w:val="28"/>
          <w:szCs w:val="28"/>
        </w:rPr>
        <w:t>协同开放，优化产业空间布局；全力建设好国家服务业扩大开放综合示范区和中国</w:t>
      </w:r>
      <w:r>
        <w:rPr>
          <w:rFonts w:ascii="Arial" w:eastAsia="仿宋_GB2312;仿宋" w:hAnsi="Arial" w:cs="Arial"/>
          <w:bCs/>
          <w:sz w:val="28"/>
          <w:szCs w:val="28"/>
        </w:rPr>
        <w:t>(</w:t>
      </w:r>
      <w:r>
        <w:rPr>
          <w:rFonts w:ascii="Arial" w:eastAsia="仿宋_GB2312;仿宋" w:hAnsi="Arial" w:cs="Arial"/>
          <w:bCs/>
          <w:sz w:val="28"/>
          <w:szCs w:val="28"/>
        </w:rPr>
        <w:t>北京</w:t>
      </w:r>
      <w:r>
        <w:rPr>
          <w:rFonts w:ascii="Arial" w:eastAsia="仿宋_GB2312;仿宋" w:hAnsi="Arial" w:cs="Arial"/>
          <w:bCs/>
          <w:sz w:val="28"/>
          <w:szCs w:val="28"/>
        </w:rPr>
        <w:t>)</w:t>
      </w:r>
      <w:r>
        <w:rPr>
          <w:rFonts w:ascii="Arial" w:eastAsia="仿宋_GB2312;仿宋" w:hAnsi="Arial" w:cs="Arial"/>
          <w:bCs/>
          <w:sz w:val="28"/>
          <w:szCs w:val="28"/>
        </w:rPr>
        <w:t>自由贸易试验区。国家服务业扩大开放综合示范区</w:t>
      </w:r>
      <w:r>
        <w:rPr>
          <w:rFonts w:ascii="Arial" w:eastAsia="Arial" w:hAnsi="Arial" w:cs="Arial"/>
          <w:bCs/>
          <w:sz w:val="28"/>
          <w:szCs w:val="28"/>
        </w:rPr>
        <w:t xml:space="preserve"> </w:t>
      </w:r>
      <w:r>
        <w:rPr>
          <w:rFonts w:ascii="Arial" w:eastAsia="仿宋_GB2312;仿宋" w:hAnsi="Arial" w:cs="Arial"/>
          <w:bCs/>
          <w:sz w:val="28"/>
          <w:szCs w:val="28"/>
        </w:rPr>
        <w:t>突出金融街、丽泽金融商务区、通州文旅区、</w:t>
      </w:r>
      <w:r>
        <w:rPr>
          <w:rFonts w:ascii="Arial" w:eastAsia="仿宋_GB2312;仿宋" w:hAnsi="Arial" w:cs="Arial"/>
          <w:bCs/>
          <w:sz w:val="28"/>
          <w:szCs w:val="28"/>
        </w:rPr>
        <w:t xml:space="preserve">CBD </w:t>
      </w:r>
      <w:r>
        <w:rPr>
          <w:rFonts w:ascii="Arial" w:eastAsia="仿宋_GB2312;仿宋" w:hAnsi="Arial" w:cs="Arial"/>
          <w:bCs/>
          <w:sz w:val="28"/>
          <w:szCs w:val="28"/>
        </w:rPr>
        <w:t>等重点园</w:t>
      </w:r>
      <w:r>
        <w:rPr>
          <w:rFonts w:ascii="Arial" w:eastAsia="Arial" w:hAnsi="Arial" w:cs="Arial"/>
          <w:bCs/>
          <w:sz w:val="28"/>
          <w:szCs w:val="28"/>
        </w:rPr>
        <w:t xml:space="preserve"> </w:t>
      </w:r>
      <w:r>
        <w:rPr>
          <w:rFonts w:ascii="Arial" w:eastAsia="仿宋_GB2312;仿宋" w:hAnsi="Arial" w:cs="Arial"/>
          <w:bCs/>
          <w:sz w:val="28"/>
          <w:szCs w:val="28"/>
        </w:rPr>
        <w:t>区建设，与自贸区三个片区衔接联动。</w:t>
      </w:r>
    </w:p>
    <w:p w14:paraId="07E625C6" w14:textId="77777777" w:rsidR="00E70101" w:rsidRDefault="0060680B">
      <w:pPr>
        <w:widowControl/>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5.</w:t>
      </w:r>
      <w:r>
        <w:rPr>
          <w:rFonts w:ascii="Arial" w:eastAsia="仿宋_GB2312;仿宋" w:hAnsi="Arial" w:cs="Arial"/>
          <w:bCs/>
          <w:sz w:val="28"/>
          <w:szCs w:val="28"/>
        </w:rPr>
        <w:t>城市经济发展运行状况</w:t>
      </w:r>
    </w:p>
    <w:p w14:paraId="2343DA5F" w14:textId="77777777" w:rsidR="00E70101" w:rsidRDefault="0060680B">
      <w:pPr>
        <w:overflowPunct w:val="0"/>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根据北京市统计局地区生产总值统一核算结果，</w:t>
      </w:r>
      <w:r>
        <w:rPr>
          <w:rFonts w:ascii="Arial" w:eastAsia="仿宋_GB2312;仿宋" w:hAnsi="Arial" w:cs="Arial"/>
          <w:bCs/>
          <w:color w:val="000000"/>
          <w:sz w:val="28"/>
          <w:szCs w:val="28"/>
        </w:rPr>
        <w:t>2024</w:t>
      </w:r>
      <w:r>
        <w:rPr>
          <w:rFonts w:ascii="Arial" w:eastAsia="仿宋_GB2312;仿宋" w:hAnsi="Arial" w:cs="Arial"/>
          <w:bCs/>
          <w:color w:val="000000"/>
          <w:sz w:val="28"/>
          <w:szCs w:val="28"/>
        </w:rPr>
        <w:t>年一季度，北京市实现地区生产总值</w:t>
      </w:r>
      <w:r>
        <w:rPr>
          <w:rFonts w:ascii="Arial" w:eastAsia="仿宋_GB2312;仿宋" w:hAnsi="Arial" w:cs="Arial"/>
          <w:bCs/>
          <w:color w:val="000000"/>
          <w:sz w:val="28"/>
          <w:szCs w:val="28"/>
        </w:rPr>
        <w:t>10581.4</w:t>
      </w:r>
      <w:r>
        <w:rPr>
          <w:rFonts w:ascii="Arial" w:eastAsia="仿宋_GB2312;仿宋" w:hAnsi="Arial" w:cs="Arial"/>
          <w:bCs/>
          <w:color w:val="000000"/>
          <w:sz w:val="28"/>
          <w:szCs w:val="28"/>
        </w:rPr>
        <w:t>亿元，按不变价格计算，同比增长</w:t>
      </w:r>
      <w:r>
        <w:rPr>
          <w:rFonts w:ascii="Arial" w:eastAsia="仿宋_GB2312;仿宋" w:hAnsi="Arial" w:cs="Arial"/>
          <w:bCs/>
          <w:color w:val="000000"/>
          <w:sz w:val="28"/>
          <w:szCs w:val="28"/>
        </w:rPr>
        <w:t>6.0%</w:t>
      </w:r>
      <w:r>
        <w:rPr>
          <w:rFonts w:ascii="Arial" w:eastAsia="仿宋_GB2312;仿宋" w:hAnsi="Arial" w:cs="Arial"/>
          <w:bCs/>
          <w:color w:val="000000"/>
          <w:sz w:val="28"/>
          <w:szCs w:val="28"/>
        </w:rPr>
        <w:t>，高于上年全年增速</w:t>
      </w:r>
      <w:r>
        <w:rPr>
          <w:rFonts w:ascii="Arial" w:eastAsia="仿宋_GB2312;仿宋" w:hAnsi="Arial" w:cs="Arial"/>
          <w:bCs/>
          <w:color w:val="000000"/>
          <w:sz w:val="28"/>
          <w:szCs w:val="28"/>
        </w:rPr>
        <w:t>0.8</w:t>
      </w:r>
      <w:r>
        <w:rPr>
          <w:rFonts w:ascii="Arial" w:eastAsia="仿宋_GB2312;仿宋" w:hAnsi="Arial" w:cs="Arial"/>
          <w:bCs/>
          <w:color w:val="000000"/>
          <w:sz w:val="28"/>
          <w:szCs w:val="28"/>
        </w:rPr>
        <w:t>个百分点。分产业看，第一产业实现增加值</w:t>
      </w:r>
      <w:r>
        <w:rPr>
          <w:rFonts w:ascii="Arial" w:eastAsia="仿宋_GB2312;仿宋" w:hAnsi="Arial" w:cs="Arial"/>
          <w:bCs/>
          <w:color w:val="000000"/>
          <w:sz w:val="28"/>
          <w:szCs w:val="28"/>
        </w:rPr>
        <w:t>15.0</w:t>
      </w:r>
      <w:r>
        <w:rPr>
          <w:rFonts w:ascii="Arial" w:eastAsia="仿宋_GB2312;仿宋" w:hAnsi="Arial" w:cs="Arial"/>
          <w:bCs/>
          <w:color w:val="000000"/>
          <w:sz w:val="28"/>
          <w:szCs w:val="28"/>
        </w:rPr>
        <w:t>亿元，增长</w:t>
      </w:r>
      <w:r>
        <w:rPr>
          <w:rFonts w:ascii="Arial" w:eastAsia="仿宋_GB2312;仿宋" w:hAnsi="Arial" w:cs="Arial"/>
          <w:bCs/>
          <w:color w:val="000000"/>
          <w:sz w:val="28"/>
          <w:szCs w:val="28"/>
        </w:rPr>
        <w:t>3.2%</w:t>
      </w:r>
      <w:r>
        <w:rPr>
          <w:rFonts w:ascii="Arial" w:eastAsia="仿宋_GB2312;仿宋" w:hAnsi="Arial" w:cs="Arial"/>
          <w:bCs/>
          <w:color w:val="000000"/>
          <w:sz w:val="28"/>
          <w:szCs w:val="28"/>
        </w:rPr>
        <w:t>；第二产业实现增加值</w:t>
      </w:r>
      <w:r>
        <w:rPr>
          <w:rFonts w:ascii="Arial" w:eastAsia="仿宋_GB2312;仿宋" w:hAnsi="Arial" w:cs="Arial"/>
          <w:bCs/>
          <w:color w:val="000000"/>
          <w:sz w:val="28"/>
          <w:szCs w:val="28"/>
        </w:rPr>
        <w:t>1310.4</w:t>
      </w:r>
      <w:r>
        <w:rPr>
          <w:rFonts w:ascii="Arial" w:eastAsia="仿宋_GB2312;仿宋" w:hAnsi="Arial" w:cs="Arial"/>
          <w:bCs/>
          <w:color w:val="000000"/>
          <w:sz w:val="28"/>
          <w:szCs w:val="28"/>
        </w:rPr>
        <w:t>亿元，增长</w:t>
      </w:r>
      <w:r>
        <w:rPr>
          <w:rFonts w:ascii="Arial" w:eastAsia="仿宋_GB2312;仿宋" w:hAnsi="Arial" w:cs="Arial"/>
          <w:bCs/>
          <w:color w:val="000000"/>
          <w:sz w:val="28"/>
          <w:szCs w:val="28"/>
        </w:rPr>
        <w:t>7.3%</w:t>
      </w:r>
      <w:r>
        <w:rPr>
          <w:rFonts w:ascii="Arial" w:eastAsia="仿宋_GB2312;仿宋" w:hAnsi="Arial" w:cs="Arial"/>
          <w:bCs/>
          <w:color w:val="000000"/>
          <w:sz w:val="28"/>
          <w:szCs w:val="28"/>
        </w:rPr>
        <w:t>；第三产业实现增加值</w:t>
      </w:r>
      <w:r>
        <w:rPr>
          <w:rFonts w:ascii="Arial" w:eastAsia="仿宋_GB2312;仿宋" w:hAnsi="Arial" w:cs="Arial"/>
          <w:bCs/>
          <w:color w:val="000000"/>
          <w:sz w:val="28"/>
          <w:szCs w:val="28"/>
        </w:rPr>
        <w:t>9256.0</w:t>
      </w:r>
      <w:r>
        <w:rPr>
          <w:rFonts w:ascii="Arial" w:eastAsia="仿宋_GB2312;仿宋" w:hAnsi="Arial" w:cs="Arial"/>
          <w:bCs/>
          <w:color w:val="000000"/>
          <w:sz w:val="28"/>
          <w:szCs w:val="28"/>
        </w:rPr>
        <w:t>亿元，增长</w:t>
      </w:r>
      <w:r>
        <w:rPr>
          <w:rFonts w:ascii="Arial" w:eastAsia="仿宋_GB2312;仿宋" w:hAnsi="Arial" w:cs="Arial"/>
          <w:bCs/>
          <w:color w:val="000000"/>
          <w:sz w:val="28"/>
          <w:szCs w:val="28"/>
        </w:rPr>
        <w:t>5.8%</w:t>
      </w:r>
      <w:r>
        <w:rPr>
          <w:rFonts w:ascii="Arial" w:eastAsia="仿宋_GB2312;仿宋" w:hAnsi="Arial" w:cs="Arial"/>
          <w:bCs/>
          <w:color w:val="000000"/>
          <w:sz w:val="28"/>
          <w:szCs w:val="28"/>
        </w:rPr>
        <w:t>。</w:t>
      </w:r>
    </w:p>
    <w:p w14:paraId="7D1D4640" w14:textId="77777777" w:rsidR="00E70101" w:rsidRDefault="0060680B">
      <w:pPr>
        <w:overflowPunct w:val="0"/>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w:t>
      </w:r>
      <w:r>
        <w:rPr>
          <w:rFonts w:ascii="Arial" w:eastAsia="仿宋_GB2312;仿宋" w:hAnsi="Arial" w:cs="Arial"/>
          <w:bCs/>
          <w:color w:val="000000"/>
          <w:sz w:val="28"/>
          <w:szCs w:val="28"/>
        </w:rPr>
        <w:t>1</w:t>
      </w:r>
      <w:r>
        <w:rPr>
          <w:rFonts w:ascii="Arial" w:eastAsia="仿宋_GB2312;仿宋" w:hAnsi="Arial" w:cs="Arial"/>
          <w:bCs/>
          <w:color w:val="000000"/>
          <w:sz w:val="28"/>
          <w:szCs w:val="28"/>
        </w:rPr>
        <w:t>）</w:t>
      </w:r>
      <w:r>
        <w:rPr>
          <w:rFonts w:ascii="Arial" w:eastAsia="仿宋_GB2312;仿宋" w:hAnsi="Arial" w:cs="Arial"/>
          <w:color w:val="000000"/>
          <w:sz w:val="28"/>
          <w:szCs w:val="28"/>
        </w:rPr>
        <w:t>农业生产实现增长，乡村休闲旅游继续恢复</w:t>
      </w:r>
    </w:p>
    <w:p w14:paraId="671CF9FC" w14:textId="77777777" w:rsidR="00E70101" w:rsidRDefault="0060680B">
      <w:pPr>
        <w:overflowPunct w:val="0"/>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一季度，北京市实现农林牧渔业总产值</w:t>
      </w:r>
      <w:r>
        <w:rPr>
          <w:rFonts w:ascii="Arial" w:eastAsia="仿宋_GB2312;仿宋" w:hAnsi="Arial" w:cs="Arial"/>
          <w:bCs/>
          <w:color w:val="000000"/>
          <w:sz w:val="28"/>
          <w:szCs w:val="28"/>
        </w:rPr>
        <w:t>38.5</w:t>
      </w:r>
      <w:r>
        <w:rPr>
          <w:rFonts w:ascii="Arial" w:eastAsia="仿宋_GB2312;仿宋" w:hAnsi="Arial" w:cs="Arial"/>
          <w:bCs/>
          <w:color w:val="000000"/>
          <w:sz w:val="28"/>
          <w:szCs w:val="28"/>
        </w:rPr>
        <w:t>亿元，按可比价格计算，同比增长</w:t>
      </w:r>
      <w:r>
        <w:rPr>
          <w:rFonts w:ascii="Arial" w:eastAsia="仿宋_GB2312;仿宋" w:hAnsi="Arial" w:cs="Arial"/>
          <w:bCs/>
          <w:color w:val="000000"/>
          <w:sz w:val="28"/>
          <w:szCs w:val="28"/>
        </w:rPr>
        <w:t>3.0%</w:t>
      </w:r>
      <w:r>
        <w:rPr>
          <w:rFonts w:ascii="Arial" w:eastAsia="仿宋_GB2312;仿宋" w:hAnsi="Arial" w:cs="Arial"/>
          <w:bCs/>
          <w:color w:val="000000"/>
          <w:sz w:val="28"/>
          <w:szCs w:val="28"/>
        </w:rPr>
        <w:t>。其中，实现农业（种植业）产值</w:t>
      </w:r>
      <w:r>
        <w:rPr>
          <w:rFonts w:ascii="Arial" w:eastAsia="仿宋_GB2312;仿宋" w:hAnsi="Arial" w:cs="Arial"/>
          <w:bCs/>
          <w:color w:val="000000"/>
          <w:sz w:val="28"/>
          <w:szCs w:val="28"/>
        </w:rPr>
        <w:t>15.2</w:t>
      </w:r>
      <w:r>
        <w:rPr>
          <w:rFonts w:ascii="Arial" w:eastAsia="仿宋_GB2312;仿宋" w:hAnsi="Arial" w:cs="Arial"/>
          <w:bCs/>
          <w:color w:val="000000"/>
          <w:sz w:val="28"/>
          <w:szCs w:val="28"/>
        </w:rPr>
        <w:t>亿元，增长</w:t>
      </w:r>
      <w:r>
        <w:rPr>
          <w:rFonts w:ascii="Arial" w:eastAsia="仿宋_GB2312;仿宋" w:hAnsi="Arial" w:cs="Arial"/>
          <w:bCs/>
          <w:color w:val="000000"/>
          <w:sz w:val="28"/>
          <w:szCs w:val="28"/>
        </w:rPr>
        <w:t>2.7%</w:t>
      </w:r>
      <w:r>
        <w:rPr>
          <w:rFonts w:ascii="Arial" w:eastAsia="仿宋_GB2312;仿宋" w:hAnsi="Arial" w:cs="Arial"/>
          <w:bCs/>
          <w:color w:val="000000"/>
          <w:sz w:val="28"/>
          <w:szCs w:val="28"/>
        </w:rPr>
        <w:t>，稳步推进春耕备耕，冬小麦苗情总体良好，主要粮食作物种植意向持续提升，瓜果类播种面积和产量分别增长</w:t>
      </w:r>
      <w:r>
        <w:rPr>
          <w:rFonts w:ascii="Arial" w:eastAsia="仿宋_GB2312;仿宋" w:hAnsi="Arial" w:cs="Arial"/>
          <w:bCs/>
          <w:color w:val="000000"/>
          <w:sz w:val="28"/>
          <w:szCs w:val="28"/>
        </w:rPr>
        <w:t>9.7%</w:t>
      </w:r>
      <w:r>
        <w:rPr>
          <w:rFonts w:ascii="Arial" w:eastAsia="仿宋_GB2312;仿宋" w:hAnsi="Arial" w:cs="Arial"/>
          <w:bCs/>
          <w:color w:val="000000"/>
          <w:sz w:val="28"/>
          <w:szCs w:val="28"/>
        </w:rPr>
        <w:t>和</w:t>
      </w:r>
      <w:r>
        <w:rPr>
          <w:rFonts w:ascii="Arial" w:eastAsia="仿宋_GB2312;仿宋" w:hAnsi="Arial" w:cs="Arial"/>
          <w:bCs/>
          <w:color w:val="000000"/>
          <w:sz w:val="28"/>
          <w:szCs w:val="28"/>
        </w:rPr>
        <w:t>13.7%</w:t>
      </w:r>
      <w:r>
        <w:rPr>
          <w:rFonts w:ascii="Arial" w:eastAsia="仿宋_GB2312;仿宋" w:hAnsi="Arial" w:cs="Arial"/>
          <w:bCs/>
          <w:color w:val="000000"/>
          <w:sz w:val="28"/>
          <w:szCs w:val="28"/>
        </w:rPr>
        <w:t>；受禽蛋生产带动，实现牧业产值</w:t>
      </w:r>
      <w:r>
        <w:rPr>
          <w:rFonts w:ascii="Arial" w:eastAsia="仿宋_GB2312;仿宋" w:hAnsi="Arial" w:cs="Arial"/>
          <w:bCs/>
          <w:color w:val="000000"/>
          <w:sz w:val="28"/>
          <w:szCs w:val="28"/>
        </w:rPr>
        <w:t>10.3</w:t>
      </w:r>
      <w:r>
        <w:rPr>
          <w:rFonts w:ascii="Arial" w:eastAsia="仿宋_GB2312;仿宋" w:hAnsi="Arial" w:cs="Arial"/>
          <w:bCs/>
          <w:color w:val="000000"/>
          <w:sz w:val="28"/>
          <w:szCs w:val="28"/>
        </w:rPr>
        <w:t>亿元，增长</w:t>
      </w:r>
      <w:r>
        <w:rPr>
          <w:rFonts w:ascii="Arial" w:eastAsia="仿宋_GB2312;仿宋" w:hAnsi="Arial" w:cs="Arial"/>
          <w:bCs/>
          <w:color w:val="000000"/>
          <w:sz w:val="28"/>
          <w:szCs w:val="28"/>
        </w:rPr>
        <w:t>10.7%</w:t>
      </w:r>
      <w:r>
        <w:rPr>
          <w:rFonts w:ascii="Arial" w:eastAsia="仿宋_GB2312;仿宋" w:hAnsi="Arial" w:cs="Arial"/>
          <w:bCs/>
          <w:color w:val="000000"/>
          <w:sz w:val="28"/>
          <w:szCs w:val="28"/>
        </w:rPr>
        <w:t>。乡村休闲旅游接待游客</w:t>
      </w:r>
      <w:r>
        <w:rPr>
          <w:rFonts w:ascii="Arial" w:eastAsia="仿宋_GB2312;仿宋" w:hAnsi="Arial" w:cs="Arial"/>
          <w:bCs/>
          <w:color w:val="000000"/>
          <w:sz w:val="28"/>
          <w:szCs w:val="28"/>
        </w:rPr>
        <w:t>381.1</w:t>
      </w:r>
      <w:r>
        <w:rPr>
          <w:rFonts w:ascii="Arial" w:eastAsia="仿宋_GB2312;仿宋" w:hAnsi="Arial" w:cs="Arial"/>
          <w:bCs/>
          <w:color w:val="000000"/>
          <w:sz w:val="28"/>
          <w:szCs w:val="28"/>
        </w:rPr>
        <w:t>万人次，实现收入</w:t>
      </w:r>
      <w:r>
        <w:rPr>
          <w:rFonts w:ascii="Arial" w:eastAsia="仿宋_GB2312;仿宋" w:hAnsi="Arial" w:cs="Arial"/>
          <w:bCs/>
          <w:color w:val="000000"/>
          <w:sz w:val="28"/>
          <w:szCs w:val="28"/>
        </w:rPr>
        <w:t>7.1</w:t>
      </w:r>
      <w:r>
        <w:rPr>
          <w:rFonts w:ascii="Arial" w:eastAsia="仿宋_GB2312;仿宋" w:hAnsi="Arial" w:cs="Arial"/>
          <w:bCs/>
          <w:color w:val="000000"/>
          <w:sz w:val="28"/>
          <w:szCs w:val="28"/>
        </w:rPr>
        <w:t>亿元，分别增长</w:t>
      </w:r>
      <w:r>
        <w:rPr>
          <w:rFonts w:ascii="Arial" w:eastAsia="仿宋_GB2312;仿宋" w:hAnsi="Arial" w:cs="Arial"/>
          <w:bCs/>
          <w:color w:val="000000"/>
          <w:sz w:val="28"/>
          <w:szCs w:val="28"/>
        </w:rPr>
        <w:t>13.6%</w:t>
      </w:r>
      <w:r>
        <w:rPr>
          <w:rFonts w:ascii="Arial" w:eastAsia="仿宋_GB2312;仿宋" w:hAnsi="Arial" w:cs="Arial"/>
          <w:bCs/>
          <w:color w:val="000000"/>
          <w:sz w:val="28"/>
          <w:szCs w:val="28"/>
        </w:rPr>
        <w:t>和</w:t>
      </w:r>
      <w:r>
        <w:rPr>
          <w:rFonts w:ascii="Arial" w:eastAsia="仿宋_GB2312;仿宋" w:hAnsi="Arial" w:cs="Arial"/>
          <w:bCs/>
          <w:color w:val="000000"/>
          <w:sz w:val="28"/>
          <w:szCs w:val="28"/>
        </w:rPr>
        <w:t>0.8%</w:t>
      </w:r>
      <w:r>
        <w:rPr>
          <w:rFonts w:ascii="Arial" w:eastAsia="仿宋_GB2312;仿宋" w:hAnsi="Arial" w:cs="Arial"/>
          <w:bCs/>
          <w:color w:val="000000"/>
          <w:sz w:val="28"/>
          <w:szCs w:val="28"/>
        </w:rPr>
        <w:t>。</w:t>
      </w:r>
    </w:p>
    <w:p w14:paraId="5DAF38BF" w14:textId="77777777" w:rsidR="00E70101" w:rsidRDefault="0060680B">
      <w:pPr>
        <w:overflowPunct w:val="0"/>
        <w:spacing w:line="360" w:lineRule="auto"/>
        <w:ind w:firstLine="560"/>
        <w:jc w:val="both"/>
      </w:pPr>
      <w:r>
        <w:rPr>
          <w:rFonts w:ascii="Arial" w:eastAsia="仿宋_GB2312;仿宋" w:hAnsi="Arial" w:cs="Arial"/>
          <w:bCs/>
          <w:color w:val="000000"/>
          <w:sz w:val="28"/>
          <w:szCs w:val="28"/>
        </w:rPr>
        <w:t>（</w:t>
      </w:r>
      <w:r>
        <w:rPr>
          <w:rFonts w:ascii="Arial" w:eastAsia="仿宋_GB2312;仿宋" w:hAnsi="Arial" w:cs="Arial"/>
          <w:bCs/>
          <w:color w:val="000000"/>
          <w:sz w:val="28"/>
          <w:szCs w:val="28"/>
        </w:rPr>
        <w:t>2</w:t>
      </w:r>
      <w:r>
        <w:rPr>
          <w:rFonts w:ascii="Arial" w:eastAsia="仿宋_GB2312;仿宋" w:hAnsi="Arial" w:cs="Arial"/>
          <w:bCs/>
          <w:color w:val="000000"/>
          <w:sz w:val="28"/>
          <w:szCs w:val="28"/>
        </w:rPr>
        <w:t>）</w:t>
      </w:r>
      <w:r>
        <w:rPr>
          <w:rFonts w:ascii="Arial" w:eastAsia="仿宋_GB2312;仿宋" w:hAnsi="Arial" w:cs="Arial"/>
          <w:color w:val="000000"/>
          <w:sz w:val="28"/>
          <w:szCs w:val="28"/>
        </w:rPr>
        <w:t>工业生产加快，重点行业增</w:t>
      </w:r>
      <w:r>
        <w:rPr>
          <w:rFonts w:ascii="Arial" w:eastAsia="仿宋_GB2312;仿宋" w:hAnsi="Arial" w:cs="Arial"/>
          <w:bCs/>
          <w:color w:val="000000"/>
          <w:sz w:val="28"/>
          <w:szCs w:val="28"/>
        </w:rPr>
        <w:t>势较好</w:t>
      </w:r>
    </w:p>
    <w:p w14:paraId="2620EF6C" w14:textId="77777777" w:rsidR="00E70101" w:rsidRDefault="0060680B">
      <w:pPr>
        <w:overflowPunct w:val="0"/>
        <w:spacing w:line="360" w:lineRule="auto"/>
        <w:ind w:firstLine="560"/>
        <w:jc w:val="both"/>
      </w:pPr>
      <w:r>
        <w:rPr>
          <w:rFonts w:ascii="Arial" w:eastAsia="仿宋_GB2312;仿宋" w:hAnsi="Arial" w:cs="Arial"/>
          <w:color w:val="000000"/>
          <w:sz w:val="28"/>
          <w:szCs w:val="28"/>
        </w:rPr>
        <w:t>一季度，</w:t>
      </w:r>
      <w:r>
        <w:rPr>
          <w:rFonts w:ascii="Arial" w:eastAsia="仿宋_GB2312;仿宋" w:hAnsi="Arial" w:cs="Arial"/>
          <w:bCs/>
          <w:color w:val="000000"/>
          <w:sz w:val="28"/>
          <w:szCs w:val="28"/>
        </w:rPr>
        <w:t>北京市</w:t>
      </w:r>
      <w:r>
        <w:rPr>
          <w:rFonts w:ascii="Arial" w:eastAsia="仿宋_GB2312;仿宋" w:hAnsi="Arial" w:cs="Arial"/>
          <w:color w:val="000000"/>
          <w:sz w:val="28"/>
          <w:szCs w:val="28"/>
        </w:rPr>
        <w:t>规模以上工业增加值按可比价格计算，同比增长</w:t>
      </w:r>
      <w:r>
        <w:rPr>
          <w:rFonts w:ascii="Arial" w:eastAsia="仿宋_GB2312;仿宋" w:hAnsi="Arial" w:cs="Arial"/>
          <w:color w:val="000000"/>
          <w:sz w:val="28"/>
          <w:szCs w:val="28"/>
        </w:rPr>
        <w:t>7.5%</w:t>
      </w:r>
      <w:r>
        <w:rPr>
          <w:rFonts w:ascii="Arial" w:eastAsia="仿宋_GB2312;仿宋" w:hAnsi="Arial" w:cs="Arial"/>
          <w:color w:val="000000"/>
          <w:sz w:val="28"/>
          <w:szCs w:val="28"/>
        </w:rPr>
        <w:t>，比</w:t>
      </w:r>
      <w:r>
        <w:rPr>
          <w:rFonts w:ascii="Arial" w:eastAsia="仿宋_GB2312;仿宋" w:hAnsi="Arial" w:cs="Arial"/>
          <w:color w:val="000000"/>
          <w:sz w:val="28"/>
          <w:szCs w:val="28"/>
        </w:rPr>
        <w:t>1-2</w:t>
      </w:r>
      <w:r>
        <w:rPr>
          <w:rFonts w:ascii="Arial" w:eastAsia="仿宋_GB2312;仿宋" w:hAnsi="Arial" w:cs="Arial"/>
          <w:color w:val="000000"/>
          <w:sz w:val="28"/>
          <w:szCs w:val="28"/>
        </w:rPr>
        <w:t>月提高</w:t>
      </w:r>
      <w:r>
        <w:rPr>
          <w:rFonts w:ascii="Arial" w:eastAsia="仿宋_GB2312;仿宋" w:hAnsi="Arial" w:cs="Arial"/>
          <w:color w:val="000000"/>
          <w:sz w:val="28"/>
          <w:szCs w:val="28"/>
        </w:rPr>
        <w:t>1.1</w:t>
      </w:r>
      <w:r>
        <w:rPr>
          <w:rFonts w:ascii="Arial" w:eastAsia="仿宋_GB2312;仿宋" w:hAnsi="Arial" w:cs="Arial"/>
          <w:color w:val="000000"/>
          <w:sz w:val="28"/>
          <w:szCs w:val="28"/>
        </w:rPr>
        <w:t>个百分点。重点行业中，计算机、通信和其他电子设备制造业增长</w:t>
      </w:r>
      <w:r>
        <w:rPr>
          <w:rFonts w:ascii="Arial" w:eastAsia="仿宋_GB2312;仿宋" w:hAnsi="Arial" w:cs="Arial"/>
          <w:color w:val="000000"/>
          <w:sz w:val="28"/>
          <w:szCs w:val="28"/>
        </w:rPr>
        <w:t>19.0%</w:t>
      </w:r>
      <w:r>
        <w:rPr>
          <w:rFonts w:ascii="Arial" w:eastAsia="仿宋_GB2312;仿宋" w:hAnsi="Arial" w:cs="Arial"/>
          <w:color w:val="000000"/>
          <w:sz w:val="28"/>
          <w:szCs w:val="28"/>
        </w:rPr>
        <w:t>，汽车制造业增长</w:t>
      </w:r>
      <w:r>
        <w:rPr>
          <w:rFonts w:ascii="Arial" w:eastAsia="仿宋_GB2312;仿宋" w:hAnsi="Arial" w:cs="Arial"/>
          <w:color w:val="000000"/>
          <w:sz w:val="28"/>
          <w:szCs w:val="28"/>
        </w:rPr>
        <w:t>15.2%</w:t>
      </w:r>
      <w:r>
        <w:rPr>
          <w:rFonts w:ascii="Arial" w:eastAsia="仿宋_GB2312;仿宋" w:hAnsi="Arial" w:cs="Arial"/>
          <w:color w:val="000000"/>
          <w:sz w:val="28"/>
          <w:szCs w:val="28"/>
        </w:rPr>
        <w:t>，电力、热力生产和供应业增长</w:t>
      </w:r>
      <w:r>
        <w:rPr>
          <w:rFonts w:ascii="Arial" w:eastAsia="仿宋_GB2312;仿宋" w:hAnsi="Arial" w:cs="Arial"/>
          <w:color w:val="000000"/>
          <w:sz w:val="28"/>
          <w:szCs w:val="28"/>
        </w:rPr>
        <w:t>10.6%</w:t>
      </w:r>
      <w:r>
        <w:rPr>
          <w:rFonts w:ascii="Arial" w:eastAsia="仿宋_GB2312;仿宋" w:hAnsi="Arial" w:cs="Arial"/>
          <w:color w:val="000000"/>
          <w:sz w:val="28"/>
          <w:szCs w:val="28"/>
        </w:rPr>
        <w:t>，医药制造业扭转下降态势，同比持平。新兴领域表现活跃，规模以上工业战略性新兴产业增加值增长</w:t>
      </w:r>
      <w:r>
        <w:rPr>
          <w:rFonts w:ascii="Arial" w:eastAsia="仿宋_GB2312;仿宋" w:hAnsi="Arial" w:cs="Arial"/>
          <w:color w:val="000000"/>
          <w:sz w:val="28"/>
          <w:szCs w:val="28"/>
        </w:rPr>
        <w:t>12.0%</w:t>
      </w:r>
      <w:r>
        <w:rPr>
          <w:rFonts w:ascii="Arial" w:eastAsia="仿宋_GB2312;仿宋" w:hAnsi="Arial" w:cs="Arial"/>
          <w:color w:val="000000"/>
          <w:sz w:val="28"/>
          <w:szCs w:val="28"/>
        </w:rPr>
        <w:t>，新能源汽车、智能电视、工业机器人、集成电路产量分别增长</w:t>
      </w:r>
      <w:r>
        <w:rPr>
          <w:rFonts w:ascii="Arial" w:eastAsia="仿宋_GB2312;仿宋" w:hAnsi="Arial" w:cs="Arial"/>
          <w:color w:val="000000"/>
          <w:sz w:val="28"/>
          <w:szCs w:val="28"/>
        </w:rPr>
        <w:t>2.4</w:t>
      </w:r>
      <w:r>
        <w:rPr>
          <w:rFonts w:ascii="Arial" w:eastAsia="仿宋_GB2312;仿宋" w:hAnsi="Arial" w:cs="Arial"/>
          <w:color w:val="000000"/>
          <w:sz w:val="28"/>
          <w:szCs w:val="28"/>
        </w:rPr>
        <w:t>倍、</w:t>
      </w:r>
      <w:r>
        <w:rPr>
          <w:rFonts w:ascii="Arial" w:eastAsia="仿宋_GB2312;仿宋" w:hAnsi="Arial" w:cs="Arial"/>
          <w:color w:val="000000"/>
          <w:sz w:val="28"/>
          <w:szCs w:val="28"/>
        </w:rPr>
        <w:t>2</w:t>
      </w:r>
      <w:r>
        <w:rPr>
          <w:rFonts w:ascii="Arial" w:eastAsia="仿宋_GB2312;仿宋" w:hAnsi="Arial" w:cs="Arial"/>
          <w:color w:val="000000"/>
          <w:sz w:val="28"/>
          <w:szCs w:val="28"/>
        </w:rPr>
        <w:t>倍、</w:t>
      </w:r>
      <w:r>
        <w:rPr>
          <w:rFonts w:ascii="Arial" w:eastAsia="仿宋_GB2312;仿宋" w:hAnsi="Arial" w:cs="Arial"/>
          <w:color w:val="000000"/>
          <w:sz w:val="28"/>
          <w:szCs w:val="28"/>
        </w:rPr>
        <w:t>1.6</w:t>
      </w:r>
      <w:r>
        <w:rPr>
          <w:rFonts w:ascii="Arial" w:eastAsia="仿宋_GB2312;仿宋" w:hAnsi="Arial" w:cs="Arial"/>
          <w:color w:val="000000"/>
          <w:sz w:val="28"/>
          <w:szCs w:val="28"/>
        </w:rPr>
        <w:t>倍和</w:t>
      </w:r>
      <w:r>
        <w:rPr>
          <w:rFonts w:ascii="Arial" w:eastAsia="仿宋_GB2312;仿宋" w:hAnsi="Arial" w:cs="Arial"/>
          <w:color w:val="000000"/>
          <w:sz w:val="28"/>
          <w:szCs w:val="28"/>
        </w:rPr>
        <w:t>22.6%</w:t>
      </w:r>
      <w:r>
        <w:rPr>
          <w:rFonts w:ascii="Arial" w:eastAsia="仿宋_GB2312;仿宋" w:hAnsi="Arial" w:cs="Arial"/>
          <w:color w:val="000000"/>
          <w:sz w:val="28"/>
          <w:szCs w:val="28"/>
        </w:rPr>
        <w:t>。</w:t>
      </w:r>
    </w:p>
    <w:p w14:paraId="588DDB9F" w14:textId="77777777" w:rsidR="00E70101" w:rsidRDefault="0060680B">
      <w:pPr>
        <w:overflowPunct w:val="0"/>
        <w:spacing w:line="360" w:lineRule="auto"/>
        <w:ind w:firstLine="560"/>
        <w:jc w:val="both"/>
        <w:rPr>
          <w:rFonts w:ascii="Arial" w:eastAsia="仿宋_GB2312;仿宋" w:hAnsi="Arial" w:cs="Arial"/>
          <w:color w:val="000000"/>
          <w:sz w:val="28"/>
          <w:szCs w:val="28"/>
        </w:rPr>
      </w:pPr>
      <w:r>
        <w:rPr>
          <w:rFonts w:ascii="Arial" w:eastAsia="仿宋_GB2312;仿宋" w:hAnsi="Arial" w:cs="Arial"/>
          <w:color w:val="000000"/>
          <w:sz w:val="28"/>
          <w:szCs w:val="28"/>
        </w:rPr>
        <w:t>（</w:t>
      </w:r>
      <w:r>
        <w:rPr>
          <w:rFonts w:ascii="Arial" w:eastAsia="仿宋_GB2312;仿宋" w:hAnsi="Arial" w:cs="Arial"/>
          <w:color w:val="000000"/>
          <w:sz w:val="28"/>
          <w:szCs w:val="28"/>
        </w:rPr>
        <w:t>3</w:t>
      </w:r>
      <w:r>
        <w:rPr>
          <w:rFonts w:ascii="Arial" w:eastAsia="仿宋_GB2312;仿宋" w:hAnsi="Arial" w:cs="Arial"/>
          <w:color w:val="000000"/>
          <w:sz w:val="28"/>
          <w:szCs w:val="28"/>
        </w:rPr>
        <w:t>）服务业总体平稳，优势行业带动突出</w:t>
      </w:r>
    </w:p>
    <w:p w14:paraId="552F5759" w14:textId="77777777" w:rsidR="00E70101" w:rsidRDefault="0060680B">
      <w:pPr>
        <w:overflowPunct w:val="0"/>
        <w:spacing w:line="360" w:lineRule="auto"/>
        <w:ind w:firstLine="560"/>
        <w:jc w:val="both"/>
      </w:pPr>
      <w:r>
        <w:rPr>
          <w:rFonts w:ascii="Arial" w:eastAsia="仿宋_GB2312;仿宋" w:hAnsi="Arial" w:cs="Arial"/>
          <w:color w:val="000000"/>
          <w:sz w:val="28"/>
          <w:szCs w:val="28"/>
        </w:rPr>
        <w:t>一季度，</w:t>
      </w:r>
      <w:r>
        <w:rPr>
          <w:rFonts w:ascii="Arial" w:eastAsia="仿宋_GB2312;仿宋" w:hAnsi="Arial" w:cs="Arial"/>
          <w:bCs/>
          <w:color w:val="000000"/>
          <w:sz w:val="28"/>
          <w:szCs w:val="28"/>
        </w:rPr>
        <w:t>北京市</w:t>
      </w:r>
      <w:r>
        <w:rPr>
          <w:rFonts w:ascii="Arial" w:eastAsia="仿宋_GB2312;仿宋" w:hAnsi="Arial" w:cs="Arial"/>
          <w:color w:val="000000"/>
          <w:sz w:val="28"/>
          <w:szCs w:val="28"/>
        </w:rPr>
        <w:t>第三产业增加值按不变价格计算，同比增长</w:t>
      </w:r>
      <w:r>
        <w:rPr>
          <w:rFonts w:ascii="Arial" w:eastAsia="仿宋_GB2312;仿宋" w:hAnsi="Arial" w:cs="Arial"/>
          <w:color w:val="000000"/>
          <w:sz w:val="28"/>
          <w:szCs w:val="28"/>
        </w:rPr>
        <w:t>5.8%</w:t>
      </w:r>
      <w:r>
        <w:rPr>
          <w:rFonts w:ascii="Arial" w:eastAsia="仿宋_GB2312;仿宋" w:hAnsi="Arial" w:cs="Arial"/>
          <w:color w:val="000000"/>
          <w:sz w:val="28"/>
          <w:szCs w:val="28"/>
        </w:rPr>
        <w:t>。其中，信息传输、软件和信息技术服务业快速增长，实现增加值</w:t>
      </w:r>
      <w:r>
        <w:rPr>
          <w:rFonts w:ascii="Arial" w:eastAsia="仿宋_GB2312;仿宋" w:hAnsi="Arial" w:cs="Arial"/>
          <w:color w:val="000000"/>
          <w:sz w:val="28"/>
          <w:szCs w:val="28"/>
        </w:rPr>
        <w:t>2379.2</w:t>
      </w:r>
      <w:r>
        <w:rPr>
          <w:rFonts w:ascii="Arial" w:eastAsia="仿宋_GB2312;仿宋" w:hAnsi="Arial" w:cs="Arial"/>
          <w:color w:val="000000"/>
          <w:sz w:val="28"/>
          <w:szCs w:val="28"/>
        </w:rPr>
        <w:t>亿元，增长</w:t>
      </w:r>
      <w:r>
        <w:rPr>
          <w:rFonts w:ascii="Arial" w:eastAsia="仿宋_GB2312;仿宋" w:hAnsi="Arial" w:cs="Arial"/>
          <w:color w:val="000000"/>
          <w:sz w:val="28"/>
          <w:szCs w:val="28"/>
        </w:rPr>
        <w:t>13.7%</w:t>
      </w:r>
      <w:r>
        <w:rPr>
          <w:rFonts w:ascii="Arial" w:eastAsia="仿宋_GB2312;仿宋" w:hAnsi="Arial" w:cs="Arial"/>
          <w:color w:val="000000"/>
          <w:sz w:val="28"/>
          <w:szCs w:val="28"/>
        </w:rPr>
        <w:t>；金融业平稳支撑，实现增加值</w:t>
      </w:r>
      <w:r>
        <w:rPr>
          <w:rFonts w:ascii="Arial" w:eastAsia="仿宋_GB2312;仿宋" w:hAnsi="Arial" w:cs="Arial"/>
          <w:color w:val="000000"/>
          <w:sz w:val="28"/>
          <w:szCs w:val="28"/>
        </w:rPr>
        <w:t>2197.0</w:t>
      </w:r>
      <w:r>
        <w:rPr>
          <w:rFonts w:ascii="Arial" w:eastAsia="仿宋_GB2312;仿宋" w:hAnsi="Arial" w:cs="Arial"/>
          <w:color w:val="000000"/>
          <w:sz w:val="28"/>
          <w:szCs w:val="28"/>
        </w:rPr>
        <w:t>亿元，增长</w:t>
      </w:r>
      <w:r>
        <w:rPr>
          <w:rFonts w:ascii="Arial" w:eastAsia="仿宋_GB2312;仿宋" w:hAnsi="Arial" w:cs="Arial"/>
          <w:color w:val="000000"/>
          <w:sz w:val="28"/>
          <w:szCs w:val="28"/>
        </w:rPr>
        <w:t>4.7%</w:t>
      </w:r>
      <w:r>
        <w:rPr>
          <w:rFonts w:ascii="Arial" w:eastAsia="仿宋_GB2312;仿宋" w:hAnsi="Arial" w:cs="Arial"/>
          <w:color w:val="000000"/>
          <w:sz w:val="28"/>
          <w:szCs w:val="28"/>
        </w:rPr>
        <w:t>；接触性行业继续恢复，租赁和商务服务业实现增加值</w:t>
      </w:r>
      <w:r>
        <w:rPr>
          <w:rFonts w:ascii="Arial" w:eastAsia="仿宋_GB2312;仿宋" w:hAnsi="Arial" w:cs="Arial"/>
          <w:color w:val="000000"/>
          <w:sz w:val="28"/>
          <w:szCs w:val="28"/>
        </w:rPr>
        <w:t>582.2</w:t>
      </w:r>
      <w:r>
        <w:rPr>
          <w:rFonts w:ascii="Arial" w:eastAsia="仿宋_GB2312;仿宋" w:hAnsi="Arial" w:cs="Arial"/>
          <w:color w:val="000000"/>
          <w:sz w:val="28"/>
          <w:szCs w:val="28"/>
        </w:rPr>
        <w:t>亿元，增长</w:t>
      </w:r>
      <w:r>
        <w:rPr>
          <w:rFonts w:ascii="Arial" w:eastAsia="仿宋_GB2312;仿宋" w:hAnsi="Arial" w:cs="Arial"/>
          <w:color w:val="000000"/>
          <w:sz w:val="28"/>
          <w:szCs w:val="28"/>
        </w:rPr>
        <w:t>8.3%</w:t>
      </w:r>
      <w:r>
        <w:rPr>
          <w:rFonts w:ascii="Arial" w:eastAsia="仿宋_GB2312;仿宋" w:hAnsi="Arial" w:cs="Arial"/>
          <w:color w:val="000000"/>
          <w:sz w:val="28"/>
          <w:szCs w:val="28"/>
        </w:rPr>
        <w:t>；交通运输、仓储和邮政业实现增加值</w:t>
      </w:r>
      <w:r>
        <w:rPr>
          <w:rFonts w:ascii="Arial" w:eastAsia="仿宋_GB2312;仿宋" w:hAnsi="Arial" w:cs="Arial"/>
          <w:color w:val="000000"/>
          <w:sz w:val="28"/>
          <w:szCs w:val="28"/>
        </w:rPr>
        <w:t>243.8</w:t>
      </w:r>
      <w:r>
        <w:rPr>
          <w:rFonts w:ascii="Arial" w:eastAsia="仿宋_GB2312;仿宋" w:hAnsi="Arial" w:cs="Arial"/>
          <w:color w:val="000000"/>
          <w:sz w:val="28"/>
          <w:szCs w:val="28"/>
        </w:rPr>
        <w:t>亿元，增长</w:t>
      </w:r>
      <w:r>
        <w:rPr>
          <w:rFonts w:ascii="Arial" w:eastAsia="仿宋_GB2312;仿宋" w:hAnsi="Arial" w:cs="Arial"/>
          <w:color w:val="000000"/>
          <w:sz w:val="28"/>
          <w:szCs w:val="28"/>
        </w:rPr>
        <w:t>12.0%</w:t>
      </w:r>
      <w:r>
        <w:rPr>
          <w:rFonts w:ascii="Arial" w:eastAsia="仿宋_GB2312;仿宋" w:hAnsi="Arial" w:cs="Arial"/>
          <w:color w:val="000000"/>
          <w:sz w:val="28"/>
          <w:szCs w:val="28"/>
        </w:rPr>
        <w:t>。</w:t>
      </w:r>
    </w:p>
    <w:p w14:paraId="1436E373" w14:textId="77777777" w:rsidR="00E70101" w:rsidRDefault="0060680B">
      <w:pPr>
        <w:overflowPunct w:val="0"/>
        <w:spacing w:line="360" w:lineRule="auto"/>
        <w:ind w:firstLine="560"/>
        <w:jc w:val="both"/>
        <w:rPr>
          <w:rFonts w:ascii="Arial" w:eastAsia="仿宋_GB2312;仿宋" w:hAnsi="Arial" w:cs="Arial"/>
          <w:color w:val="000000"/>
          <w:sz w:val="28"/>
          <w:szCs w:val="28"/>
        </w:rPr>
      </w:pPr>
      <w:r>
        <w:rPr>
          <w:rFonts w:ascii="Arial" w:eastAsia="仿宋_GB2312;仿宋" w:hAnsi="Arial" w:cs="Arial"/>
          <w:color w:val="000000"/>
          <w:sz w:val="28"/>
          <w:szCs w:val="28"/>
        </w:rPr>
        <w:t>（</w:t>
      </w:r>
      <w:r>
        <w:rPr>
          <w:rFonts w:ascii="Arial" w:eastAsia="仿宋_GB2312;仿宋" w:hAnsi="Arial" w:cs="Arial"/>
          <w:color w:val="000000"/>
          <w:sz w:val="28"/>
          <w:szCs w:val="28"/>
        </w:rPr>
        <w:t>4</w:t>
      </w:r>
      <w:r>
        <w:rPr>
          <w:rFonts w:ascii="Arial" w:eastAsia="仿宋_GB2312;仿宋" w:hAnsi="Arial" w:cs="Arial"/>
          <w:color w:val="000000"/>
          <w:sz w:val="28"/>
          <w:szCs w:val="28"/>
        </w:rPr>
        <w:t>）</w:t>
      </w:r>
      <w:r>
        <w:rPr>
          <w:rFonts w:ascii="Arial" w:eastAsia="仿宋_GB2312;仿宋" w:hAnsi="Arial" w:cs="Arial"/>
          <w:bCs/>
          <w:color w:val="000000"/>
          <w:sz w:val="28"/>
          <w:szCs w:val="28"/>
        </w:rPr>
        <w:t>固定资产投资较快增长，高技术产业彰显活力</w:t>
      </w:r>
    </w:p>
    <w:p w14:paraId="18C07EC2" w14:textId="77777777" w:rsidR="00E70101" w:rsidRDefault="0060680B">
      <w:pPr>
        <w:overflowPunct w:val="0"/>
        <w:spacing w:line="360" w:lineRule="auto"/>
        <w:ind w:firstLine="560"/>
        <w:jc w:val="both"/>
      </w:pPr>
      <w:r>
        <w:rPr>
          <w:rFonts w:ascii="Arial" w:eastAsia="仿宋_GB2312;仿宋" w:hAnsi="Arial" w:cs="Arial"/>
          <w:color w:val="000000"/>
          <w:sz w:val="28"/>
          <w:szCs w:val="28"/>
        </w:rPr>
        <w:t>一季度，</w:t>
      </w:r>
      <w:r>
        <w:rPr>
          <w:rFonts w:ascii="Arial" w:eastAsia="仿宋_GB2312;仿宋" w:hAnsi="Arial" w:cs="Arial"/>
          <w:bCs/>
          <w:color w:val="000000"/>
          <w:sz w:val="28"/>
          <w:szCs w:val="28"/>
        </w:rPr>
        <w:t>北京市</w:t>
      </w:r>
      <w:r>
        <w:rPr>
          <w:rFonts w:ascii="Arial" w:eastAsia="仿宋_GB2312;仿宋" w:hAnsi="Arial" w:cs="Arial"/>
          <w:color w:val="000000"/>
          <w:sz w:val="28"/>
          <w:szCs w:val="28"/>
        </w:rPr>
        <w:t>固定资产投资（不含农户）同比增长</w:t>
      </w:r>
      <w:r>
        <w:rPr>
          <w:rFonts w:ascii="Arial" w:eastAsia="仿宋_GB2312;仿宋" w:hAnsi="Arial" w:cs="Arial"/>
          <w:color w:val="000000"/>
          <w:sz w:val="28"/>
          <w:szCs w:val="28"/>
        </w:rPr>
        <w:t>13.6%</w:t>
      </w:r>
      <w:r>
        <w:rPr>
          <w:rFonts w:ascii="Arial" w:eastAsia="仿宋_GB2312;仿宋" w:hAnsi="Arial" w:cs="Arial"/>
          <w:color w:val="000000"/>
          <w:sz w:val="28"/>
          <w:szCs w:val="28"/>
        </w:rPr>
        <w:t>，比</w:t>
      </w:r>
      <w:r>
        <w:rPr>
          <w:rFonts w:ascii="Arial" w:eastAsia="仿宋_GB2312;仿宋" w:hAnsi="Arial" w:cs="Arial"/>
          <w:color w:val="000000"/>
          <w:sz w:val="28"/>
          <w:szCs w:val="28"/>
        </w:rPr>
        <w:t>1-2</w:t>
      </w:r>
      <w:r>
        <w:rPr>
          <w:rFonts w:ascii="Arial" w:eastAsia="仿宋_GB2312;仿宋" w:hAnsi="Arial" w:cs="Arial"/>
          <w:color w:val="000000"/>
          <w:sz w:val="28"/>
          <w:szCs w:val="28"/>
        </w:rPr>
        <w:t>月提高</w:t>
      </w:r>
      <w:r>
        <w:rPr>
          <w:rFonts w:ascii="Arial" w:eastAsia="仿宋_GB2312;仿宋" w:hAnsi="Arial" w:cs="Arial"/>
          <w:color w:val="000000"/>
          <w:sz w:val="28"/>
          <w:szCs w:val="28"/>
        </w:rPr>
        <w:t>4.2</w:t>
      </w:r>
      <w:r>
        <w:rPr>
          <w:rFonts w:ascii="Arial" w:eastAsia="仿宋_GB2312;仿宋" w:hAnsi="Arial" w:cs="Arial"/>
          <w:color w:val="000000"/>
          <w:sz w:val="28"/>
          <w:szCs w:val="28"/>
        </w:rPr>
        <w:t>个百分点。其中，反映企业扩大生产能力的设备购置投资增长</w:t>
      </w:r>
      <w:r>
        <w:rPr>
          <w:rFonts w:ascii="Arial" w:eastAsia="仿宋_GB2312;仿宋" w:hAnsi="Arial" w:cs="Arial"/>
          <w:color w:val="000000"/>
          <w:sz w:val="28"/>
          <w:szCs w:val="28"/>
        </w:rPr>
        <w:t>53.5%</w:t>
      </w:r>
      <w:r>
        <w:rPr>
          <w:rFonts w:ascii="Arial" w:eastAsia="仿宋_GB2312;仿宋" w:hAnsi="Arial" w:cs="Arial"/>
          <w:color w:val="000000"/>
          <w:sz w:val="28"/>
          <w:szCs w:val="28"/>
        </w:rPr>
        <w:t>，反映实物工作量的建筑安装工程投资增长</w:t>
      </w:r>
      <w:r>
        <w:rPr>
          <w:rFonts w:ascii="Arial" w:eastAsia="仿宋_GB2312;仿宋" w:hAnsi="Arial" w:cs="Arial"/>
          <w:color w:val="000000"/>
          <w:sz w:val="28"/>
          <w:szCs w:val="28"/>
        </w:rPr>
        <w:t>16.9%</w:t>
      </w:r>
      <w:r>
        <w:rPr>
          <w:rFonts w:ascii="Arial" w:eastAsia="仿宋_GB2312;仿宋" w:hAnsi="Arial" w:cs="Arial"/>
          <w:color w:val="000000"/>
          <w:sz w:val="28"/>
          <w:szCs w:val="28"/>
        </w:rPr>
        <w:t>。分领域看，基础设施投资增长</w:t>
      </w:r>
      <w:r>
        <w:rPr>
          <w:rFonts w:ascii="Arial" w:eastAsia="仿宋_GB2312;仿宋" w:hAnsi="Arial" w:cs="Arial"/>
          <w:color w:val="000000"/>
          <w:sz w:val="28"/>
          <w:szCs w:val="28"/>
        </w:rPr>
        <w:t>25.2%</w:t>
      </w:r>
      <w:r>
        <w:rPr>
          <w:rFonts w:ascii="Arial" w:eastAsia="仿宋_GB2312;仿宋" w:hAnsi="Arial" w:cs="Arial"/>
          <w:color w:val="000000"/>
          <w:sz w:val="28"/>
          <w:szCs w:val="28"/>
        </w:rPr>
        <w:t>，制造业投资增长</w:t>
      </w:r>
      <w:r>
        <w:rPr>
          <w:rFonts w:ascii="Arial" w:eastAsia="仿宋_GB2312;仿宋" w:hAnsi="Arial" w:cs="Arial"/>
          <w:color w:val="000000"/>
          <w:sz w:val="28"/>
          <w:szCs w:val="28"/>
        </w:rPr>
        <w:t>15.0%</w:t>
      </w:r>
      <w:r>
        <w:rPr>
          <w:rFonts w:ascii="Arial" w:eastAsia="仿宋_GB2312;仿宋" w:hAnsi="Arial" w:cs="Arial"/>
          <w:color w:val="000000"/>
          <w:sz w:val="28"/>
          <w:szCs w:val="28"/>
        </w:rPr>
        <w:t>，房地产开发投资增长</w:t>
      </w:r>
      <w:r>
        <w:rPr>
          <w:rFonts w:ascii="Arial" w:eastAsia="仿宋_GB2312;仿宋" w:hAnsi="Arial" w:cs="Arial"/>
          <w:color w:val="000000"/>
          <w:sz w:val="28"/>
          <w:szCs w:val="28"/>
        </w:rPr>
        <w:t>2.0%</w:t>
      </w:r>
      <w:r>
        <w:rPr>
          <w:rFonts w:ascii="Arial" w:eastAsia="仿宋_GB2312;仿宋" w:hAnsi="Arial" w:cs="Arial"/>
          <w:color w:val="000000"/>
          <w:sz w:val="28"/>
          <w:szCs w:val="28"/>
        </w:rPr>
        <w:t>。分产业看，第一产业投资下降</w:t>
      </w:r>
      <w:r>
        <w:rPr>
          <w:rFonts w:ascii="Arial" w:eastAsia="仿宋_GB2312;仿宋" w:hAnsi="Arial" w:cs="Arial"/>
          <w:color w:val="000000"/>
          <w:sz w:val="28"/>
          <w:szCs w:val="28"/>
        </w:rPr>
        <w:t>54.3%</w:t>
      </w:r>
      <w:r>
        <w:rPr>
          <w:rFonts w:ascii="Arial" w:eastAsia="仿宋_GB2312;仿宋" w:hAnsi="Arial" w:cs="Arial"/>
          <w:color w:val="000000"/>
          <w:sz w:val="28"/>
          <w:szCs w:val="28"/>
        </w:rPr>
        <w:t>，第二产业投资增长</w:t>
      </w:r>
      <w:r>
        <w:rPr>
          <w:rFonts w:ascii="Arial" w:eastAsia="仿宋_GB2312;仿宋" w:hAnsi="Arial" w:cs="Arial"/>
          <w:color w:val="000000"/>
          <w:sz w:val="28"/>
          <w:szCs w:val="28"/>
        </w:rPr>
        <w:t>9.2%</w:t>
      </w:r>
      <w:r>
        <w:rPr>
          <w:rFonts w:ascii="Arial" w:eastAsia="仿宋_GB2312;仿宋" w:hAnsi="Arial" w:cs="Arial"/>
          <w:color w:val="000000"/>
          <w:sz w:val="28"/>
          <w:szCs w:val="28"/>
        </w:rPr>
        <w:t>，第三产业投资增长</w:t>
      </w:r>
      <w:r>
        <w:rPr>
          <w:rFonts w:ascii="Arial" w:eastAsia="仿宋_GB2312;仿宋" w:hAnsi="Arial" w:cs="Arial"/>
          <w:color w:val="000000"/>
          <w:sz w:val="28"/>
          <w:szCs w:val="28"/>
        </w:rPr>
        <w:t>14.5%</w:t>
      </w:r>
      <w:r>
        <w:rPr>
          <w:rFonts w:ascii="Arial" w:eastAsia="仿宋_GB2312;仿宋" w:hAnsi="Arial" w:cs="Arial"/>
          <w:color w:val="000000"/>
          <w:sz w:val="28"/>
          <w:szCs w:val="28"/>
        </w:rPr>
        <w:t>。高技术产业投资快速增长，高技术制造业投资增长</w:t>
      </w:r>
      <w:r>
        <w:rPr>
          <w:rFonts w:ascii="Arial" w:eastAsia="仿宋_GB2312;仿宋" w:hAnsi="Arial" w:cs="Arial"/>
          <w:color w:val="000000"/>
          <w:sz w:val="28"/>
          <w:szCs w:val="28"/>
        </w:rPr>
        <w:t>28.6%</w:t>
      </w:r>
      <w:r>
        <w:rPr>
          <w:rFonts w:ascii="Arial" w:eastAsia="仿宋_GB2312;仿宋" w:hAnsi="Arial" w:cs="Arial"/>
          <w:color w:val="000000"/>
          <w:sz w:val="28"/>
          <w:szCs w:val="28"/>
        </w:rPr>
        <w:t>，其中，计算机、通信和其他电子设备制造业，专用设备制造业分别增长</w:t>
      </w:r>
      <w:r>
        <w:rPr>
          <w:rFonts w:ascii="Arial" w:eastAsia="仿宋_GB2312;仿宋" w:hAnsi="Arial" w:cs="Arial"/>
          <w:color w:val="000000"/>
          <w:sz w:val="28"/>
          <w:szCs w:val="28"/>
        </w:rPr>
        <w:t>37.5%</w:t>
      </w:r>
      <w:r>
        <w:rPr>
          <w:rFonts w:ascii="Arial" w:eastAsia="仿宋_GB2312;仿宋" w:hAnsi="Arial" w:cs="Arial"/>
          <w:color w:val="000000"/>
          <w:sz w:val="28"/>
          <w:szCs w:val="28"/>
        </w:rPr>
        <w:t>和</w:t>
      </w:r>
      <w:r>
        <w:rPr>
          <w:rFonts w:ascii="Arial" w:eastAsia="仿宋_GB2312;仿宋" w:hAnsi="Arial" w:cs="Arial"/>
          <w:color w:val="000000"/>
          <w:sz w:val="28"/>
          <w:szCs w:val="28"/>
        </w:rPr>
        <w:t>9.5%</w:t>
      </w:r>
      <w:r>
        <w:rPr>
          <w:rFonts w:ascii="Arial" w:eastAsia="仿宋_GB2312;仿宋" w:hAnsi="Arial" w:cs="Arial"/>
          <w:color w:val="000000"/>
          <w:sz w:val="28"/>
          <w:szCs w:val="28"/>
        </w:rPr>
        <w:t>；高技术服务业投资增长</w:t>
      </w:r>
      <w:r>
        <w:rPr>
          <w:rFonts w:ascii="Arial" w:eastAsia="仿宋_GB2312;仿宋" w:hAnsi="Arial" w:cs="Arial"/>
          <w:color w:val="000000"/>
          <w:sz w:val="28"/>
          <w:szCs w:val="28"/>
        </w:rPr>
        <w:t>37.0%</w:t>
      </w:r>
      <w:r>
        <w:rPr>
          <w:rFonts w:ascii="Arial" w:eastAsia="仿宋_GB2312;仿宋" w:hAnsi="Arial" w:cs="Arial"/>
          <w:color w:val="000000"/>
          <w:sz w:val="28"/>
          <w:szCs w:val="28"/>
        </w:rPr>
        <w:t>，其中，研发与设计服务、信息服务投资分别增长</w:t>
      </w:r>
      <w:r>
        <w:rPr>
          <w:rFonts w:ascii="Arial" w:eastAsia="仿宋_GB2312;仿宋" w:hAnsi="Arial" w:cs="Arial"/>
          <w:color w:val="000000"/>
          <w:sz w:val="28"/>
          <w:szCs w:val="28"/>
        </w:rPr>
        <w:t>87.2%</w:t>
      </w:r>
      <w:r>
        <w:rPr>
          <w:rFonts w:ascii="Arial" w:eastAsia="仿宋_GB2312;仿宋" w:hAnsi="Arial" w:cs="Arial"/>
          <w:color w:val="000000"/>
          <w:sz w:val="28"/>
          <w:szCs w:val="28"/>
        </w:rPr>
        <w:t>和</w:t>
      </w:r>
      <w:r>
        <w:rPr>
          <w:rFonts w:ascii="Arial" w:eastAsia="仿宋_GB2312;仿宋" w:hAnsi="Arial" w:cs="Arial"/>
          <w:color w:val="000000"/>
          <w:sz w:val="28"/>
          <w:szCs w:val="28"/>
        </w:rPr>
        <w:t>55.0%</w:t>
      </w:r>
      <w:r>
        <w:rPr>
          <w:rFonts w:ascii="Arial" w:eastAsia="仿宋_GB2312;仿宋" w:hAnsi="Arial" w:cs="Arial"/>
          <w:color w:val="000000"/>
          <w:sz w:val="28"/>
          <w:szCs w:val="28"/>
        </w:rPr>
        <w:t>。</w:t>
      </w:r>
    </w:p>
    <w:p w14:paraId="2BCB92FF" w14:textId="77777777" w:rsidR="00E70101" w:rsidRDefault="0060680B">
      <w:pPr>
        <w:overflowPunct w:val="0"/>
        <w:spacing w:line="360" w:lineRule="auto"/>
        <w:ind w:firstLine="560"/>
        <w:jc w:val="both"/>
        <w:rPr>
          <w:rFonts w:ascii="Arial" w:eastAsia="仿宋_GB2312;仿宋" w:hAnsi="Arial" w:cs="Arial"/>
          <w:bCs/>
          <w:color w:val="000000"/>
          <w:sz w:val="28"/>
          <w:szCs w:val="28"/>
        </w:rPr>
      </w:pPr>
      <w:r>
        <w:rPr>
          <w:rFonts w:ascii="Arial" w:eastAsia="仿宋_GB2312;仿宋" w:hAnsi="Arial" w:cs="Arial"/>
          <w:color w:val="000000"/>
          <w:sz w:val="28"/>
          <w:szCs w:val="28"/>
        </w:rPr>
        <w:t>一季度，</w:t>
      </w:r>
      <w:r>
        <w:rPr>
          <w:rFonts w:ascii="Arial" w:eastAsia="仿宋_GB2312;仿宋" w:hAnsi="Arial" w:cs="Arial"/>
          <w:bCs/>
          <w:color w:val="000000"/>
          <w:sz w:val="28"/>
          <w:szCs w:val="28"/>
        </w:rPr>
        <w:t>北京市</w:t>
      </w:r>
      <w:r>
        <w:rPr>
          <w:rFonts w:ascii="Arial" w:eastAsia="仿宋_GB2312;仿宋" w:hAnsi="Arial" w:cs="Arial"/>
          <w:color w:val="000000"/>
          <w:sz w:val="28"/>
          <w:szCs w:val="28"/>
        </w:rPr>
        <w:t>房屋施工面积</w:t>
      </w:r>
      <w:r>
        <w:rPr>
          <w:rFonts w:ascii="Arial" w:eastAsia="仿宋_GB2312;仿宋" w:hAnsi="Arial" w:cs="Arial"/>
          <w:color w:val="000000"/>
          <w:sz w:val="28"/>
          <w:szCs w:val="28"/>
        </w:rPr>
        <w:t>10323</w:t>
      </w:r>
      <w:r>
        <w:rPr>
          <w:rFonts w:ascii="Arial" w:eastAsia="仿宋_GB2312;仿宋" w:hAnsi="Arial" w:cs="Arial"/>
          <w:color w:val="000000"/>
          <w:sz w:val="28"/>
          <w:szCs w:val="28"/>
        </w:rPr>
        <w:t>万平方米，同比下降</w:t>
      </w:r>
      <w:r>
        <w:rPr>
          <w:rFonts w:ascii="Arial" w:eastAsia="仿宋_GB2312;仿宋" w:hAnsi="Arial" w:cs="Arial"/>
          <w:color w:val="000000"/>
          <w:sz w:val="28"/>
          <w:szCs w:val="28"/>
        </w:rPr>
        <w:t>11.3%</w:t>
      </w:r>
      <w:r>
        <w:rPr>
          <w:rFonts w:ascii="Arial" w:eastAsia="仿宋_GB2312;仿宋" w:hAnsi="Arial" w:cs="Arial"/>
          <w:color w:val="000000"/>
          <w:sz w:val="28"/>
          <w:szCs w:val="28"/>
        </w:rPr>
        <w:t>，其中住宅施工面积</w:t>
      </w:r>
      <w:r>
        <w:rPr>
          <w:rFonts w:ascii="Arial" w:eastAsia="仿宋_GB2312;仿宋" w:hAnsi="Arial" w:cs="Arial"/>
          <w:color w:val="000000"/>
          <w:sz w:val="28"/>
          <w:szCs w:val="28"/>
        </w:rPr>
        <w:t>5066.5</w:t>
      </w:r>
      <w:r>
        <w:rPr>
          <w:rFonts w:ascii="Arial" w:eastAsia="仿宋_GB2312;仿宋" w:hAnsi="Arial" w:cs="Arial"/>
          <w:color w:val="000000"/>
          <w:sz w:val="28"/>
          <w:szCs w:val="28"/>
        </w:rPr>
        <w:t>万平方米，下降</w:t>
      </w:r>
      <w:r>
        <w:rPr>
          <w:rFonts w:ascii="Arial" w:eastAsia="仿宋_GB2312;仿宋" w:hAnsi="Arial" w:cs="Arial"/>
          <w:color w:val="000000"/>
          <w:sz w:val="28"/>
          <w:szCs w:val="28"/>
        </w:rPr>
        <w:t>12.0%</w:t>
      </w:r>
      <w:r>
        <w:rPr>
          <w:rFonts w:ascii="Arial" w:eastAsia="仿宋_GB2312;仿宋" w:hAnsi="Arial" w:cs="Arial"/>
          <w:color w:val="000000"/>
          <w:sz w:val="28"/>
          <w:szCs w:val="28"/>
        </w:rPr>
        <w:t>。全市商品房销售面积</w:t>
      </w:r>
      <w:r>
        <w:rPr>
          <w:rFonts w:ascii="Arial" w:eastAsia="仿宋_GB2312;仿宋" w:hAnsi="Arial" w:cs="Arial"/>
          <w:color w:val="000000"/>
          <w:sz w:val="28"/>
          <w:szCs w:val="28"/>
        </w:rPr>
        <w:t>232.8</w:t>
      </w:r>
      <w:r>
        <w:rPr>
          <w:rFonts w:ascii="Arial" w:eastAsia="仿宋_GB2312;仿宋" w:hAnsi="Arial" w:cs="Arial"/>
          <w:color w:val="000000"/>
          <w:sz w:val="28"/>
          <w:szCs w:val="28"/>
        </w:rPr>
        <w:t>万平方米，在保障房集中签约带动下，同比增长</w:t>
      </w:r>
      <w:r>
        <w:rPr>
          <w:rFonts w:ascii="Arial" w:eastAsia="仿宋_GB2312;仿宋" w:hAnsi="Arial" w:cs="Arial"/>
          <w:color w:val="000000"/>
          <w:sz w:val="28"/>
          <w:szCs w:val="28"/>
        </w:rPr>
        <w:t>6.5%</w:t>
      </w:r>
      <w:r>
        <w:rPr>
          <w:rFonts w:ascii="Arial" w:eastAsia="仿宋_GB2312;仿宋" w:hAnsi="Arial" w:cs="Arial"/>
          <w:color w:val="000000"/>
          <w:sz w:val="28"/>
          <w:szCs w:val="28"/>
        </w:rPr>
        <w:t>，其中住宅销售面积</w:t>
      </w:r>
      <w:r>
        <w:rPr>
          <w:rFonts w:ascii="Arial" w:eastAsia="仿宋_GB2312;仿宋" w:hAnsi="Arial" w:cs="Arial"/>
          <w:color w:val="000000"/>
          <w:sz w:val="28"/>
          <w:szCs w:val="28"/>
        </w:rPr>
        <w:t>160.3</w:t>
      </w:r>
      <w:r>
        <w:rPr>
          <w:rFonts w:ascii="Arial" w:eastAsia="仿宋_GB2312;仿宋" w:hAnsi="Arial" w:cs="Arial"/>
          <w:color w:val="000000"/>
          <w:sz w:val="28"/>
          <w:szCs w:val="28"/>
        </w:rPr>
        <w:t>万平方米，增长</w:t>
      </w:r>
      <w:r>
        <w:rPr>
          <w:rFonts w:ascii="Arial" w:eastAsia="仿宋_GB2312;仿宋" w:hAnsi="Arial" w:cs="Arial"/>
          <w:color w:val="000000"/>
          <w:sz w:val="28"/>
          <w:szCs w:val="28"/>
        </w:rPr>
        <w:t>8.8%</w:t>
      </w:r>
      <w:r>
        <w:rPr>
          <w:rFonts w:ascii="Arial" w:eastAsia="仿宋_GB2312;仿宋" w:hAnsi="Arial" w:cs="Arial"/>
          <w:color w:val="000000"/>
          <w:sz w:val="28"/>
          <w:szCs w:val="28"/>
        </w:rPr>
        <w:t>。</w:t>
      </w:r>
    </w:p>
    <w:p w14:paraId="3BD31528" w14:textId="77777777" w:rsidR="00E70101" w:rsidRDefault="0060680B">
      <w:pPr>
        <w:overflowPunct w:val="0"/>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w:t>
      </w:r>
      <w:r>
        <w:rPr>
          <w:rFonts w:ascii="Arial" w:eastAsia="仿宋_GB2312;仿宋" w:hAnsi="Arial" w:cs="Arial"/>
          <w:bCs/>
          <w:color w:val="000000"/>
          <w:sz w:val="28"/>
          <w:szCs w:val="28"/>
        </w:rPr>
        <w:t>5</w:t>
      </w:r>
      <w:r>
        <w:rPr>
          <w:rFonts w:ascii="Arial" w:eastAsia="仿宋_GB2312;仿宋" w:hAnsi="Arial" w:cs="Arial"/>
          <w:bCs/>
          <w:color w:val="000000"/>
          <w:sz w:val="28"/>
          <w:szCs w:val="28"/>
        </w:rPr>
        <w:t>）市场消费继续恢复，服务消费增长较快</w:t>
      </w:r>
    </w:p>
    <w:p w14:paraId="2BDF752D" w14:textId="77777777" w:rsidR="00E70101" w:rsidRDefault="0060680B">
      <w:pPr>
        <w:overflowPunct w:val="0"/>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一季度，北京市市场总消费额同比增长</w:t>
      </w:r>
      <w:r>
        <w:rPr>
          <w:rFonts w:ascii="Arial" w:eastAsia="仿宋_GB2312;仿宋" w:hAnsi="Arial" w:cs="Arial"/>
          <w:bCs/>
          <w:color w:val="000000"/>
          <w:sz w:val="28"/>
          <w:szCs w:val="28"/>
        </w:rPr>
        <w:t>5.8%</w:t>
      </w:r>
      <w:r>
        <w:rPr>
          <w:rFonts w:ascii="Arial" w:eastAsia="仿宋_GB2312;仿宋" w:hAnsi="Arial" w:cs="Arial"/>
          <w:bCs/>
          <w:color w:val="000000"/>
          <w:sz w:val="28"/>
          <w:szCs w:val="28"/>
        </w:rPr>
        <w:t>。其中，服务性消费额增长</w:t>
      </w:r>
      <w:r>
        <w:rPr>
          <w:rFonts w:ascii="Arial" w:eastAsia="仿宋_GB2312;仿宋" w:hAnsi="Arial" w:cs="Arial"/>
          <w:bCs/>
          <w:color w:val="000000"/>
          <w:sz w:val="28"/>
          <w:szCs w:val="28"/>
        </w:rPr>
        <w:t>12.0%</w:t>
      </w:r>
      <w:r>
        <w:rPr>
          <w:rFonts w:ascii="Arial" w:eastAsia="仿宋_GB2312;仿宋" w:hAnsi="Arial" w:cs="Arial"/>
          <w:bCs/>
          <w:color w:val="000000"/>
          <w:sz w:val="28"/>
          <w:szCs w:val="28"/>
        </w:rPr>
        <w:t>，文旅需求旺盛，交通、信息服务持续向好；实现社会消费品零售总额</w:t>
      </w:r>
      <w:r>
        <w:rPr>
          <w:rFonts w:ascii="Arial" w:eastAsia="仿宋_GB2312;仿宋" w:hAnsi="Arial" w:cs="Arial"/>
          <w:bCs/>
          <w:color w:val="000000"/>
          <w:sz w:val="28"/>
          <w:szCs w:val="28"/>
        </w:rPr>
        <w:t>3553.1</w:t>
      </w:r>
      <w:r>
        <w:rPr>
          <w:rFonts w:ascii="Arial" w:eastAsia="仿宋_GB2312;仿宋" w:hAnsi="Arial" w:cs="Arial"/>
          <w:bCs/>
          <w:color w:val="000000"/>
          <w:sz w:val="28"/>
          <w:szCs w:val="28"/>
        </w:rPr>
        <w:t>亿元，下降</w:t>
      </w:r>
      <w:r>
        <w:rPr>
          <w:rFonts w:ascii="Arial" w:eastAsia="仿宋_GB2312;仿宋" w:hAnsi="Arial" w:cs="Arial"/>
          <w:bCs/>
          <w:color w:val="000000"/>
          <w:sz w:val="28"/>
          <w:szCs w:val="28"/>
        </w:rPr>
        <w:t>0.1%</w:t>
      </w:r>
      <w:r>
        <w:rPr>
          <w:rFonts w:ascii="Arial" w:eastAsia="仿宋_GB2312;仿宋" w:hAnsi="Arial" w:cs="Arial"/>
          <w:bCs/>
          <w:color w:val="000000"/>
          <w:sz w:val="28"/>
          <w:szCs w:val="28"/>
        </w:rPr>
        <w:t>。社会消费品零售总额中，按消费形态分，商品零售</w:t>
      </w:r>
      <w:r>
        <w:rPr>
          <w:rFonts w:ascii="Arial" w:eastAsia="仿宋_GB2312;仿宋" w:hAnsi="Arial" w:cs="Arial"/>
          <w:bCs/>
          <w:color w:val="000000"/>
          <w:sz w:val="28"/>
          <w:szCs w:val="28"/>
        </w:rPr>
        <w:t>3235.0</w:t>
      </w:r>
      <w:r>
        <w:rPr>
          <w:rFonts w:ascii="Arial" w:eastAsia="仿宋_GB2312;仿宋" w:hAnsi="Arial" w:cs="Arial"/>
          <w:bCs/>
          <w:color w:val="000000"/>
          <w:sz w:val="28"/>
          <w:szCs w:val="28"/>
        </w:rPr>
        <w:t>亿元，下降</w:t>
      </w:r>
      <w:r>
        <w:rPr>
          <w:rFonts w:ascii="Arial" w:eastAsia="仿宋_GB2312;仿宋" w:hAnsi="Arial" w:cs="Arial"/>
          <w:bCs/>
          <w:color w:val="000000"/>
          <w:sz w:val="28"/>
          <w:szCs w:val="28"/>
        </w:rPr>
        <w:t>0.2%</w:t>
      </w:r>
      <w:r>
        <w:rPr>
          <w:rFonts w:ascii="Arial" w:eastAsia="仿宋_GB2312;仿宋" w:hAnsi="Arial" w:cs="Arial"/>
          <w:bCs/>
          <w:color w:val="000000"/>
          <w:sz w:val="28"/>
          <w:szCs w:val="28"/>
        </w:rPr>
        <w:t>，餐饮收入</w:t>
      </w:r>
      <w:r>
        <w:rPr>
          <w:rFonts w:ascii="Arial" w:eastAsia="仿宋_GB2312;仿宋" w:hAnsi="Arial" w:cs="Arial"/>
          <w:bCs/>
          <w:color w:val="000000"/>
          <w:sz w:val="28"/>
          <w:szCs w:val="28"/>
        </w:rPr>
        <w:t>318.0</w:t>
      </w:r>
      <w:r>
        <w:rPr>
          <w:rFonts w:ascii="Arial" w:eastAsia="仿宋_GB2312;仿宋" w:hAnsi="Arial" w:cs="Arial"/>
          <w:bCs/>
          <w:color w:val="000000"/>
          <w:sz w:val="28"/>
          <w:szCs w:val="28"/>
        </w:rPr>
        <w:t>亿元，增长</w:t>
      </w:r>
      <w:r>
        <w:rPr>
          <w:rFonts w:ascii="Arial" w:eastAsia="仿宋_GB2312;仿宋" w:hAnsi="Arial" w:cs="Arial"/>
          <w:bCs/>
          <w:color w:val="000000"/>
          <w:sz w:val="28"/>
          <w:szCs w:val="28"/>
        </w:rPr>
        <w:t>0.1%</w:t>
      </w:r>
      <w:r>
        <w:rPr>
          <w:rFonts w:ascii="Arial" w:eastAsia="仿宋_GB2312;仿宋" w:hAnsi="Arial" w:cs="Arial"/>
          <w:bCs/>
          <w:color w:val="000000"/>
          <w:sz w:val="28"/>
          <w:szCs w:val="28"/>
        </w:rPr>
        <w:t>。按商品类别分，限额以上批发和零售业中，与升级类消费相关的金银珠宝类、体育娱乐用品类、通讯器材类商品零售额分别增长</w:t>
      </w:r>
      <w:r>
        <w:rPr>
          <w:rFonts w:ascii="Arial" w:eastAsia="仿宋_GB2312;仿宋" w:hAnsi="Arial" w:cs="Arial"/>
          <w:bCs/>
          <w:color w:val="000000"/>
          <w:sz w:val="28"/>
          <w:szCs w:val="28"/>
        </w:rPr>
        <w:t>24.7%</w:t>
      </w:r>
      <w:r>
        <w:rPr>
          <w:rFonts w:ascii="Arial" w:eastAsia="仿宋_GB2312;仿宋" w:hAnsi="Arial" w:cs="Arial"/>
          <w:bCs/>
          <w:color w:val="000000"/>
          <w:sz w:val="28"/>
          <w:szCs w:val="28"/>
        </w:rPr>
        <w:t>、</w:t>
      </w:r>
      <w:r>
        <w:rPr>
          <w:rFonts w:ascii="Arial" w:eastAsia="仿宋_GB2312;仿宋" w:hAnsi="Arial" w:cs="Arial"/>
          <w:bCs/>
          <w:color w:val="000000"/>
          <w:sz w:val="28"/>
          <w:szCs w:val="28"/>
        </w:rPr>
        <w:t>12.7%</w:t>
      </w:r>
      <w:r>
        <w:rPr>
          <w:rFonts w:ascii="Arial" w:eastAsia="仿宋_GB2312;仿宋" w:hAnsi="Arial" w:cs="Arial"/>
          <w:bCs/>
          <w:color w:val="000000"/>
          <w:sz w:val="28"/>
          <w:szCs w:val="28"/>
        </w:rPr>
        <w:t>和</w:t>
      </w:r>
      <w:r>
        <w:rPr>
          <w:rFonts w:ascii="Arial" w:eastAsia="仿宋_GB2312;仿宋" w:hAnsi="Arial" w:cs="Arial"/>
          <w:bCs/>
          <w:color w:val="000000"/>
          <w:sz w:val="28"/>
          <w:szCs w:val="28"/>
        </w:rPr>
        <w:t>7.6%</w:t>
      </w:r>
      <w:r>
        <w:rPr>
          <w:rFonts w:ascii="Arial" w:eastAsia="仿宋_GB2312;仿宋" w:hAnsi="Arial" w:cs="Arial"/>
          <w:bCs/>
          <w:color w:val="000000"/>
          <w:sz w:val="28"/>
          <w:szCs w:val="28"/>
        </w:rPr>
        <w:t>，汽车类商品零售额增长</w:t>
      </w:r>
      <w:r>
        <w:rPr>
          <w:rFonts w:ascii="Arial" w:eastAsia="仿宋_GB2312;仿宋" w:hAnsi="Arial" w:cs="Arial"/>
          <w:bCs/>
          <w:color w:val="000000"/>
          <w:sz w:val="28"/>
          <w:szCs w:val="28"/>
        </w:rPr>
        <w:t>2.3%</w:t>
      </w:r>
      <w:r>
        <w:rPr>
          <w:rFonts w:ascii="Arial" w:eastAsia="仿宋_GB2312;仿宋" w:hAnsi="Arial" w:cs="Arial"/>
          <w:bCs/>
          <w:color w:val="000000"/>
          <w:sz w:val="28"/>
          <w:szCs w:val="28"/>
        </w:rPr>
        <w:t>，其中新能源汽车增长</w:t>
      </w:r>
      <w:r>
        <w:rPr>
          <w:rFonts w:ascii="Arial" w:eastAsia="仿宋_GB2312;仿宋" w:hAnsi="Arial" w:cs="Arial"/>
          <w:bCs/>
          <w:color w:val="000000"/>
          <w:sz w:val="28"/>
          <w:szCs w:val="28"/>
        </w:rPr>
        <w:t>18.9%</w:t>
      </w:r>
      <w:r>
        <w:rPr>
          <w:rFonts w:ascii="Arial" w:eastAsia="仿宋_GB2312;仿宋" w:hAnsi="Arial" w:cs="Arial"/>
          <w:bCs/>
          <w:color w:val="000000"/>
          <w:sz w:val="28"/>
          <w:szCs w:val="28"/>
        </w:rPr>
        <w:t>。</w:t>
      </w:r>
    </w:p>
    <w:p w14:paraId="369F0A6D" w14:textId="77777777" w:rsidR="00E70101" w:rsidRDefault="0060680B">
      <w:pPr>
        <w:overflowPunct w:val="0"/>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w:t>
      </w:r>
      <w:r>
        <w:rPr>
          <w:rFonts w:ascii="Arial" w:eastAsia="仿宋_GB2312;仿宋" w:hAnsi="Arial" w:cs="Arial"/>
          <w:bCs/>
          <w:color w:val="000000"/>
          <w:sz w:val="28"/>
          <w:szCs w:val="28"/>
        </w:rPr>
        <w:t>6</w:t>
      </w:r>
      <w:r>
        <w:rPr>
          <w:rFonts w:ascii="Arial" w:eastAsia="仿宋_GB2312;仿宋" w:hAnsi="Arial" w:cs="Arial"/>
          <w:bCs/>
          <w:color w:val="000000"/>
          <w:sz w:val="28"/>
          <w:szCs w:val="28"/>
        </w:rPr>
        <w:t>）</w:t>
      </w:r>
      <w:r>
        <w:rPr>
          <w:rFonts w:ascii="Arial" w:eastAsia="仿宋_GB2312;仿宋" w:hAnsi="Arial" w:cs="Arial"/>
          <w:color w:val="000000"/>
          <w:sz w:val="28"/>
          <w:szCs w:val="28"/>
        </w:rPr>
        <w:t>居民消费价格温和上涨，工业生产者出厂价格同比下降</w:t>
      </w:r>
    </w:p>
    <w:p w14:paraId="0E5FD197" w14:textId="77777777" w:rsidR="00E70101" w:rsidRDefault="0060680B">
      <w:pPr>
        <w:overflowPunct w:val="0"/>
        <w:spacing w:line="360" w:lineRule="auto"/>
        <w:ind w:firstLine="560"/>
        <w:jc w:val="both"/>
      </w:pPr>
      <w:r>
        <w:rPr>
          <w:rFonts w:ascii="Arial" w:eastAsia="仿宋_GB2312;仿宋" w:hAnsi="Arial" w:cs="Arial"/>
          <w:bCs/>
          <w:color w:val="000000"/>
          <w:sz w:val="28"/>
          <w:szCs w:val="28"/>
        </w:rPr>
        <w:t>一季度，北京市居民消费价格同比上涨</w:t>
      </w:r>
      <w:r>
        <w:rPr>
          <w:rFonts w:ascii="Arial" w:eastAsia="仿宋_GB2312;仿宋" w:hAnsi="Arial" w:cs="Arial"/>
          <w:bCs/>
          <w:color w:val="000000"/>
          <w:sz w:val="28"/>
          <w:szCs w:val="28"/>
        </w:rPr>
        <w:t>0.2%</w:t>
      </w:r>
      <w:r>
        <w:rPr>
          <w:rFonts w:ascii="Arial" w:eastAsia="仿宋_GB2312;仿宋" w:hAnsi="Arial" w:cs="Arial"/>
          <w:bCs/>
          <w:color w:val="000000"/>
          <w:sz w:val="28"/>
          <w:szCs w:val="28"/>
        </w:rPr>
        <w:t>。其中，消费品价格下降</w:t>
      </w:r>
      <w:r>
        <w:rPr>
          <w:rFonts w:ascii="Arial" w:eastAsia="仿宋_GB2312;仿宋" w:hAnsi="Arial" w:cs="Arial"/>
          <w:bCs/>
          <w:color w:val="000000"/>
          <w:sz w:val="28"/>
          <w:szCs w:val="28"/>
        </w:rPr>
        <w:t>1.2%</w:t>
      </w:r>
      <w:r>
        <w:rPr>
          <w:rFonts w:ascii="Arial" w:eastAsia="仿宋_GB2312;仿宋" w:hAnsi="Arial" w:cs="Arial"/>
          <w:bCs/>
          <w:color w:val="000000"/>
          <w:sz w:val="28"/>
          <w:szCs w:val="28"/>
        </w:rPr>
        <w:t>，服务价格上涨</w:t>
      </w:r>
      <w:r>
        <w:rPr>
          <w:rFonts w:ascii="Arial" w:eastAsia="仿宋_GB2312;仿宋" w:hAnsi="Arial" w:cs="Arial"/>
          <w:bCs/>
          <w:color w:val="000000"/>
          <w:sz w:val="28"/>
          <w:szCs w:val="28"/>
        </w:rPr>
        <w:t>1.7%</w:t>
      </w:r>
      <w:r>
        <w:rPr>
          <w:rFonts w:ascii="Arial" w:eastAsia="仿宋_GB2312;仿宋" w:hAnsi="Arial" w:cs="Arial"/>
          <w:bCs/>
          <w:color w:val="000000"/>
          <w:sz w:val="28"/>
          <w:szCs w:val="28"/>
        </w:rPr>
        <w:t>。八大类商品和服务项目中，教育文化娱乐类价格上涨</w:t>
      </w:r>
      <w:r>
        <w:rPr>
          <w:rFonts w:ascii="Arial" w:eastAsia="仿宋_GB2312;仿宋" w:hAnsi="Arial" w:cs="Arial"/>
          <w:bCs/>
          <w:color w:val="000000"/>
          <w:sz w:val="28"/>
          <w:szCs w:val="28"/>
        </w:rPr>
        <w:t>6.2%</w:t>
      </w:r>
      <w:r>
        <w:rPr>
          <w:rFonts w:ascii="Arial" w:eastAsia="仿宋_GB2312;仿宋" w:hAnsi="Arial" w:cs="Arial"/>
          <w:bCs/>
          <w:color w:val="000000"/>
          <w:sz w:val="28"/>
          <w:szCs w:val="28"/>
        </w:rPr>
        <w:t>，其他用品及服务类价格上涨</w:t>
      </w:r>
      <w:r>
        <w:rPr>
          <w:rFonts w:ascii="Arial" w:eastAsia="仿宋_GB2312;仿宋" w:hAnsi="Arial" w:cs="Arial"/>
          <w:bCs/>
          <w:color w:val="000000"/>
          <w:sz w:val="28"/>
          <w:szCs w:val="28"/>
        </w:rPr>
        <w:t>3.5%</w:t>
      </w:r>
      <w:r>
        <w:rPr>
          <w:rFonts w:ascii="Arial" w:eastAsia="仿宋_GB2312;仿宋" w:hAnsi="Arial" w:cs="Arial"/>
          <w:bCs/>
          <w:color w:val="000000"/>
          <w:sz w:val="28"/>
          <w:szCs w:val="28"/>
        </w:rPr>
        <w:t>，衣着类价格上涨</w:t>
      </w:r>
      <w:r>
        <w:rPr>
          <w:rFonts w:ascii="Arial" w:eastAsia="仿宋_GB2312;仿宋" w:hAnsi="Arial" w:cs="Arial"/>
          <w:bCs/>
          <w:color w:val="000000"/>
          <w:sz w:val="28"/>
          <w:szCs w:val="28"/>
        </w:rPr>
        <w:t>0.4%</w:t>
      </w:r>
      <w:r>
        <w:rPr>
          <w:rFonts w:ascii="Arial" w:eastAsia="仿宋_GB2312;仿宋" w:hAnsi="Arial" w:cs="Arial"/>
          <w:bCs/>
          <w:color w:val="000000"/>
          <w:sz w:val="28"/>
          <w:szCs w:val="28"/>
        </w:rPr>
        <w:t>，生活用品及服务类价格上涨</w:t>
      </w:r>
      <w:r>
        <w:rPr>
          <w:rFonts w:ascii="Arial" w:eastAsia="仿宋_GB2312;仿宋" w:hAnsi="Arial" w:cs="Arial"/>
          <w:bCs/>
          <w:color w:val="000000"/>
          <w:sz w:val="28"/>
          <w:szCs w:val="28"/>
        </w:rPr>
        <w:t>0.3%</w:t>
      </w:r>
      <w:r>
        <w:rPr>
          <w:rFonts w:ascii="Arial" w:eastAsia="仿宋_GB2312;仿宋" w:hAnsi="Arial" w:cs="Arial"/>
          <w:bCs/>
          <w:color w:val="000000"/>
          <w:sz w:val="28"/>
          <w:szCs w:val="28"/>
        </w:rPr>
        <w:t>，医疗保健类价格上涨</w:t>
      </w:r>
      <w:r>
        <w:rPr>
          <w:rFonts w:ascii="Arial" w:eastAsia="仿宋_GB2312;仿宋" w:hAnsi="Arial" w:cs="Arial"/>
          <w:bCs/>
          <w:color w:val="000000"/>
          <w:sz w:val="28"/>
          <w:szCs w:val="28"/>
        </w:rPr>
        <w:t>0.1%</w:t>
      </w:r>
      <w:r>
        <w:rPr>
          <w:rFonts w:ascii="Arial" w:eastAsia="仿宋_GB2312;仿宋" w:hAnsi="Arial" w:cs="Arial"/>
          <w:bCs/>
          <w:color w:val="000000"/>
          <w:sz w:val="28"/>
          <w:szCs w:val="28"/>
        </w:rPr>
        <w:t>，居住类价格同比持平，食品烟酒类价格下降</w:t>
      </w:r>
      <w:r>
        <w:rPr>
          <w:rFonts w:ascii="Arial" w:eastAsia="仿宋_GB2312;仿宋" w:hAnsi="Arial" w:cs="Arial"/>
          <w:bCs/>
          <w:color w:val="000000"/>
          <w:sz w:val="28"/>
          <w:szCs w:val="28"/>
        </w:rPr>
        <w:t>2.7%</w:t>
      </w:r>
      <w:r>
        <w:rPr>
          <w:rFonts w:ascii="Arial" w:eastAsia="仿宋_GB2312;仿宋" w:hAnsi="Arial" w:cs="Arial"/>
          <w:bCs/>
          <w:color w:val="000000"/>
          <w:sz w:val="28"/>
          <w:szCs w:val="28"/>
        </w:rPr>
        <w:t>，交通通信类价格下降</w:t>
      </w:r>
      <w:r>
        <w:rPr>
          <w:rFonts w:ascii="Arial" w:eastAsia="仿宋_GB2312;仿宋" w:hAnsi="Arial" w:cs="Arial"/>
          <w:bCs/>
          <w:color w:val="000000"/>
          <w:sz w:val="28"/>
          <w:szCs w:val="28"/>
        </w:rPr>
        <w:t>0.1%</w:t>
      </w:r>
      <w:r>
        <w:rPr>
          <w:rFonts w:ascii="Arial" w:eastAsia="仿宋_GB2312;仿宋" w:hAnsi="Arial" w:cs="Arial"/>
          <w:bCs/>
          <w:color w:val="000000"/>
          <w:sz w:val="28"/>
          <w:szCs w:val="28"/>
        </w:rPr>
        <w:t>。</w:t>
      </w:r>
      <w:r>
        <w:rPr>
          <w:rFonts w:ascii="Arial" w:eastAsia="仿宋_GB2312;仿宋" w:hAnsi="Arial" w:cs="Arial"/>
          <w:bCs/>
          <w:color w:val="000000"/>
          <w:sz w:val="28"/>
          <w:szCs w:val="28"/>
        </w:rPr>
        <w:t>3</w:t>
      </w:r>
      <w:r>
        <w:rPr>
          <w:rFonts w:ascii="Arial" w:eastAsia="仿宋_GB2312;仿宋" w:hAnsi="Arial" w:cs="Arial"/>
          <w:bCs/>
          <w:color w:val="000000"/>
          <w:sz w:val="28"/>
          <w:szCs w:val="28"/>
        </w:rPr>
        <w:t>月份，居民消费价格同比持平，环比下降</w:t>
      </w:r>
      <w:r>
        <w:rPr>
          <w:rFonts w:ascii="Arial" w:eastAsia="仿宋_GB2312;仿宋" w:hAnsi="Arial" w:cs="Arial"/>
          <w:bCs/>
          <w:color w:val="000000"/>
          <w:sz w:val="28"/>
          <w:szCs w:val="28"/>
        </w:rPr>
        <w:t>1.1%</w:t>
      </w:r>
      <w:r>
        <w:rPr>
          <w:rFonts w:ascii="Arial" w:eastAsia="仿宋_GB2312;仿宋" w:hAnsi="Arial" w:cs="Arial"/>
          <w:bCs/>
          <w:color w:val="000000"/>
          <w:sz w:val="28"/>
          <w:szCs w:val="28"/>
        </w:rPr>
        <w:t>。</w:t>
      </w:r>
    </w:p>
    <w:p w14:paraId="0CF8471B" w14:textId="77777777" w:rsidR="00E70101" w:rsidRDefault="0060680B">
      <w:pPr>
        <w:overflowPunct w:val="0"/>
        <w:spacing w:line="360" w:lineRule="auto"/>
        <w:ind w:firstLine="560"/>
        <w:jc w:val="both"/>
      </w:pPr>
      <w:r>
        <w:rPr>
          <w:rFonts w:ascii="Arial" w:eastAsia="仿宋_GB2312;仿宋" w:hAnsi="Arial" w:cs="Arial"/>
          <w:bCs/>
          <w:color w:val="000000"/>
          <w:sz w:val="28"/>
          <w:szCs w:val="28"/>
        </w:rPr>
        <w:t>一季度，北京市工业生产者出厂价格同比下降</w:t>
      </w:r>
      <w:r>
        <w:rPr>
          <w:rFonts w:ascii="Arial" w:eastAsia="仿宋_GB2312;仿宋" w:hAnsi="Arial" w:cs="Arial"/>
          <w:bCs/>
          <w:color w:val="000000"/>
          <w:sz w:val="28"/>
          <w:szCs w:val="28"/>
        </w:rPr>
        <w:t>1.1%</w:t>
      </w:r>
      <w:r>
        <w:rPr>
          <w:rFonts w:ascii="Arial" w:eastAsia="仿宋_GB2312;仿宋" w:hAnsi="Arial" w:cs="Arial"/>
          <w:bCs/>
          <w:color w:val="000000"/>
          <w:sz w:val="28"/>
          <w:szCs w:val="28"/>
        </w:rPr>
        <w:t>，购进价格同比下降</w:t>
      </w:r>
      <w:r>
        <w:rPr>
          <w:rFonts w:ascii="Arial" w:eastAsia="仿宋_GB2312;仿宋" w:hAnsi="Arial" w:cs="Arial"/>
          <w:bCs/>
          <w:color w:val="000000"/>
          <w:sz w:val="28"/>
          <w:szCs w:val="28"/>
        </w:rPr>
        <w:t>1.4%</w:t>
      </w:r>
      <w:r>
        <w:rPr>
          <w:rFonts w:ascii="Arial" w:eastAsia="仿宋_GB2312;仿宋" w:hAnsi="Arial" w:cs="Arial"/>
          <w:bCs/>
          <w:color w:val="000000"/>
          <w:sz w:val="28"/>
          <w:szCs w:val="28"/>
        </w:rPr>
        <w:t>。</w:t>
      </w:r>
      <w:r>
        <w:rPr>
          <w:rFonts w:ascii="Arial" w:eastAsia="仿宋_GB2312;仿宋" w:hAnsi="Arial" w:cs="Arial"/>
          <w:bCs/>
          <w:color w:val="000000"/>
          <w:sz w:val="28"/>
          <w:szCs w:val="28"/>
        </w:rPr>
        <w:t>3</w:t>
      </w:r>
      <w:r>
        <w:rPr>
          <w:rFonts w:ascii="Arial" w:eastAsia="仿宋_GB2312;仿宋" w:hAnsi="Arial" w:cs="Arial"/>
          <w:bCs/>
          <w:color w:val="000000"/>
          <w:sz w:val="28"/>
          <w:szCs w:val="28"/>
        </w:rPr>
        <w:t>月份，工业生产者出厂价格同比下降</w:t>
      </w:r>
      <w:r>
        <w:rPr>
          <w:rFonts w:ascii="Arial" w:eastAsia="仿宋_GB2312;仿宋" w:hAnsi="Arial" w:cs="Arial"/>
          <w:bCs/>
          <w:color w:val="000000"/>
          <w:sz w:val="28"/>
          <w:szCs w:val="28"/>
        </w:rPr>
        <w:t>1.5%</w:t>
      </w:r>
      <w:r>
        <w:rPr>
          <w:rFonts w:ascii="Arial" w:eastAsia="仿宋_GB2312;仿宋" w:hAnsi="Arial" w:cs="Arial"/>
          <w:bCs/>
          <w:color w:val="000000"/>
          <w:sz w:val="28"/>
          <w:szCs w:val="28"/>
        </w:rPr>
        <w:t>，环比下降</w:t>
      </w:r>
      <w:r>
        <w:rPr>
          <w:rFonts w:ascii="Arial" w:eastAsia="仿宋_GB2312;仿宋" w:hAnsi="Arial" w:cs="Arial"/>
          <w:bCs/>
          <w:color w:val="000000"/>
          <w:sz w:val="28"/>
          <w:szCs w:val="28"/>
        </w:rPr>
        <w:t>0.2%</w:t>
      </w:r>
      <w:r>
        <w:rPr>
          <w:rFonts w:ascii="Arial" w:eastAsia="仿宋_GB2312;仿宋" w:hAnsi="Arial" w:cs="Arial"/>
          <w:bCs/>
          <w:color w:val="000000"/>
          <w:sz w:val="28"/>
          <w:szCs w:val="28"/>
        </w:rPr>
        <w:t>；购进价格同比下降</w:t>
      </w:r>
      <w:r>
        <w:rPr>
          <w:rFonts w:ascii="Arial" w:eastAsia="仿宋_GB2312;仿宋" w:hAnsi="Arial" w:cs="Arial"/>
          <w:bCs/>
          <w:color w:val="000000"/>
          <w:sz w:val="28"/>
          <w:szCs w:val="28"/>
        </w:rPr>
        <w:t>1.4%</w:t>
      </w:r>
      <w:r>
        <w:rPr>
          <w:rFonts w:ascii="Arial" w:eastAsia="仿宋_GB2312;仿宋" w:hAnsi="Arial" w:cs="Arial"/>
          <w:bCs/>
          <w:color w:val="000000"/>
          <w:sz w:val="28"/>
          <w:szCs w:val="28"/>
        </w:rPr>
        <w:t>，环比持平。</w:t>
      </w:r>
    </w:p>
    <w:p w14:paraId="2BCC8198" w14:textId="77777777" w:rsidR="00E70101" w:rsidRDefault="0060680B">
      <w:pPr>
        <w:overflowPunct w:val="0"/>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w:t>
      </w:r>
      <w:r>
        <w:rPr>
          <w:rFonts w:ascii="Arial" w:eastAsia="仿宋_GB2312;仿宋" w:hAnsi="Arial" w:cs="Arial"/>
          <w:bCs/>
          <w:color w:val="000000"/>
          <w:sz w:val="28"/>
          <w:szCs w:val="28"/>
        </w:rPr>
        <w:t>7</w:t>
      </w:r>
      <w:r>
        <w:rPr>
          <w:rFonts w:ascii="Arial" w:eastAsia="仿宋_GB2312;仿宋" w:hAnsi="Arial" w:cs="Arial"/>
          <w:bCs/>
          <w:color w:val="000000"/>
          <w:sz w:val="28"/>
          <w:szCs w:val="28"/>
        </w:rPr>
        <w:t>）</w:t>
      </w:r>
      <w:r>
        <w:rPr>
          <w:rFonts w:ascii="Arial" w:eastAsia="仿宋_GB2312;仿宋" w:hAnsi="Arial" w:cs="Arial"/>
          <w:color w:val="000000"/>
          <w:sz w:val="28"/>
          <w:szCs w:val="28"/>
        </w:rPr>
        <w:t>就业形势总体稳定，居民收入稳步增加</w:t>
      </w:r>
    </w:p>
    <w:p w14:paraId="5F947331" w14:textId="77777777" w:rsidR="00E70101" w:rsidRDefault="0060680B">
      <w:pPr>
        <w:overflowPunct w:val="0"/>
        <w:spacing w:line="360" w:lineRule="auto"/>
        <w:ind w:firstLine="560"/>
        <w:jc w:val="both"/>
      </w:pPr>
      <w:r>
        <w:rPr>
          <w:rFonts w:ascii="Arial" w:eastAsia="仿宋_GB2312;仿宋" w:hAnsi="Arial" w:cs="Arial"/>
          <w:bCs/>
          <w:color w:val="000000"/>
          <w:sz w:val="28"/>
          <w:szCs w:val="28"/>
        </w:rPr>
        <w:t>一季度，北京市城镇调查失业率均值为</w:t>
      </w:r>
      <w:r>
        <w:rPr>
          <w:rFonts w:ascii="Arial" w:eastAsia="仿宋_GB2312;仿宋" w:hAnsi="Arial" w:cs="Arial"/>
          <w:bCs/>
          <w:color w:val="000000"/>
          <w:sz w:val="28"/>
          <w:szCs w:val="28"/>
        </w:rPr>
        <w:t>4.2%</w:t>
      </w:r>
      <w:r>
        <w:rPr>
          <w:rFonts w:ascii="Arial" w:eastAsia="仿宋_GB2312;仿宋" w:hAnsi="Arial" w:cs="Arial"/>
          <w:bCs/>
          <w:color w:val="000000"/>
          <w:sz w:val="28"/>
          <w:szCs w:val="28"/>
        </w:rPr>
        <w:t>，低于上年同期</w:t>
      </w:r>
      <w:r>
        <w:rPr>
          <w:rFonts w:ascii="Arial" w:eastAsia="仿宋_GB2312;仿宋" w:hAnsi="Arial" w:cs="Arial"/>
          <w:bCs/>
          <w:color w:val="000000"/>
          <w:sz w:val="28"/>
          <w:szCs w:val="28"/>
        </w:rPr>
        <w:t>0.4</w:t>
      </w:r>
      <w:r>
        <w:rPr>
          <w:rFonts w:ascii="Arial" w:eastAsia="仿宋_GB2312;仿宋" w:hAnsi="Arial" w:cs="Arial"/>
          <w:bCs/>
          <w:color w:val="000000"/>
          <w:sz w:val="28"/>
          <w:szCs w:val="28"/>
        </w:rPr>
        <w:t>个百分点；</w:t>
      </w:r>
      <w:r>
        <w:rPr>
          <w:rFonts w:ascii="Arial" w:eastAsia="仿宋_GB2312;仿宋" w:hAnsi="Arial" w:cs="Arial"/>
          <w:bCs/>
          <w:color w:val="000000"/>
          <w:sz w:val="28"/>
          <w:szCs w:val="28"/>
        </w:rPr>
        <w:t>3</w:t>
      </w:r>
      <w:r>
        <w:rPr>
          <w:rFonts w:ascii="Arial" w:eastAsia="仿宋_GB2312;仿宋" w:hAnsi="Arial" w:cs="Arial"/>
          <w:bCs/>
          <w:color w:val="000000"/>
          <w:sz w:val="28"/>
          <w:szCs w:val="28"/>
        </w:rPr>
        <w:t>月份，城镇调查失业率为</w:t>
      </w:r>
      <w:r>
        <w:rPr>
          <w:rFonts w:ascii="Arial" w:eastAsia="仿宋_GB2312;仿宋" w:hAnsi="Arial" w:cs="Arial"/>
          <w:bCs/>
          <w:color w:val="000000"/>
          <w:sz w:val="28"/>
          <w:szCs w:val="28"/>
        </w:rPr>
        <w:t>4.3%</w:t>
      </w:r>
      <w:r>
        <w:rPr>
          <w:rFonts w:ascii="Arial" w:eastAsia="仿宋_GB2312;仿宋" w:hAnsi="Arial" w:cs="Arial"/>
          <w:bCs/>
          <w:color w:val="000000"/>
          <w:sz w:val="28"/>
          <w:szCs w:val="28"/>
        </w:rPr>
        <w:t>，环比持平。</w:t>
      </w:r>
    </w:p>
    <w:p w14:paraId="5D1409DF" w14:textId="77777777" w:rsidR="00E70101" w:rsidRDefault="0060680B">
      <w:pPr>
        <w:overflowPunct w:val="0"/>
        <w:spacing w:line="360" w:lineRule="auto"/>
        <w:ind w:firstLine="560"/>
        <w:jc w:val="both"/>
      </w:pPr>
      <w:r>
        <w:rPr>
          <w:rFonts w:ascii="Arial" w:eastAsia="仿宋_GB2312;仿宋" w:hAnsi="Arial" w:cs="Arial"/>
          <w:bCs/>
          <w:color w:val="000000"/>
          <w:sz w:val="28"/>
          <w:szCs w:val="28"/>
        </w:rPr>
        <w:t>一季度，北京市居民人均可支配收入</w:t>
      </w:r>
      <w:r>
        <w:rPr>
          <w:rFonts w:ascii="Arial" w:eastAsia="仿宋_GB2312;仿宋" w:hAnsi="Arial" w:cs="Arial"/>
          <w:bCs/>
          <w:color w:val="000000"/>
          <w:sz w:val="28"/>
          <w:szCs w:val="28"/>
        </w:rPr>
        <w:t>22481</w:t>
      </w:r>
      <w:r>
        <w:rPr>
          <w:rFonts w:ascii="Arial" w:eastAsia="仿宋_GB2312;仿宋" w:hAnsi="Arial" w:cs="Arial"/>
          <w:bCs/>
          <w:color w:val="000000"/>
          <w:sz w:val="28"/>
          <w:szCs w:val="28"/>
        </w:rPr>
        <w:t>元，同比名义增长</w:t>
      </w:r>
      <w:r>
        <w:rPr>
          <w:rFonts w:ascii="Arial" w:eastAsia="仿宋_GB2312;仿宋" w:hAnsi="Arial" w:cs="Arial"/>
          <w:bCs/>
          <w:color w:val="000000"/>
          <w:sz w:val="28"/>
          <w:szCs w:val="28"/>
        </w:rPr>
        <w:t>5.2%</w:t>
      </w:r>
      <w:r>
        <w:rPr>
          <w:rFonts w:ascii="Arial" w:eastAsia="仿宋_GB2312;仿宋" w:hAnsi="Arial" w:cs="Arial"/>
          <w:bCs/>
          <w:color w:val="000000"/>
          <w:sz w:val="28"/>
          <w:szCs w:val="28"/>
        </w:rPr>
        <w:t>，扣除价格因素实际增长</w:t>
      </w:r>
      <w:r>
        <w:rPr>
          <w:rFonts w:ascii="Arial" w:eastAsia="仿宋_GB2312;仿宋" w:hAnsi="Arial" w:cs="Arial"/>
          <w:bCs/>
          <w:color w:val="000000"/>
          <w:sz w:val="28"/>
          <w:szCs w:val="28"/>
        </w:rPr>
        <w:t>5.0%</w:t>
      </w:r>
      <w:r>
        <w:rPr>
          <w:rFonts w:ascii="Arial" w:eastAsia="仿宋_GB2312;仿宋" w:hAnsi="Arial" w:cs="Arial"/>
          <w:bCs/>
          <w:color w:val="000000"/>
          <w:sz w:val="28"/>
          <w:szCs w:val="28"/>
        </w:rPr>
        <w:t>。其中，工资性收入增长</w:t>
      </w:r>
      <w:r>
        <w:rPr>
          <w:rFonts w:ascii="Arial" w:eastAsia="仿宋_GB2312;仿宋" w:hAnsi="Arial" w:cs="Arial"/>
          <w:bCs/>
          <w:color w:val="000000"/>
          <w:sz w:val="28"/>
          <w:szCs w:val="28"/>
        </w:rPr>
        <w:t>6.5%</w:t>
      </w:r>
      <w:r>
        <w:rPr>
          <w:rFonts w:ascii="Arial" w:eastAsia="仿宋_GB2312;仿宋" w:hAnsi="Arial" w:cs="Arial"/>
          <w:bCs/>
          <w:color w:val="000000"/>
          <w:sz w:val="28"/>
          <w:szCs w:val="28"/>
        </w:rPr>
        <w:t>，经营净收入增长</w:t>
      </w:r>
      <w:r>
        <w:rPr>
          <w:rFonts w:ascii="Arial" w:eastAsia="仿宋_GB2312;仿宋" w:hAnsi="Arial" w:cs="Arial"/>
          <w:bCs/>
          <w:color w:val="000000"/>
          <w:sz w:val="28"/>
          <w:szCs w:val="28"/>
        </w:rPr>
        <w:t>0.4%</w:t>
      </w:r>
      <w:r>
        <w:rPr>
          <w:rFonts w:ascii="Arial" w:eastAsia="仿宋_GB2312;仿宋" w:hAnsi="Arial" w:cs="Arial"/>
          <w:bCs/>
          <w:color w:val="000000"/>
          <w:sz w:val="28"/>
          <w:szCs w:val="28"/>
        </w:rPr>
        <w:t>，财产净收入增长</w:t>
      </w:r>
      <w:r>
        <w:rPr>
          <w:rFonts w:ascii="Arial" w:eastAsia="仿宋_GB2312;仿宋" w:hAnsi="Arial" w:cs="Arial"/>
          <w:bCs/>
          <w:color w:val="000000"/>
          <w:sz w:val="28"/>
          <w:szCs w:val="28"/>
        </w:rPr>
        <w:t>2.5%</w:t>
      </w:r>
      <w:r>
        <w:rPr>
          <w:rFonts w:ascii="Arial" w:eastAsia="仿宋_GB2312;仿宋" w:hAnsi="Arial" w:cs="Arial"/>
          <w:bCs/>
          <w:color w:val="000000"/>
          <w:sz w:val="28"/>
          <w:szCs w:val="28"/>
        </w:rPr>
        <w:t>，转移净收入增长</w:t>
      </w:r>
      <w:r>
        <w:rPr>
          <w:rFonts w:ascii="Arial" w:eastAsia="仿宋_GB2312;仿宋" w:hAnsi="Arial" w:cs="Arial"/>
          <w:bCs/>
          <w:color w:val="000000"/>
          <w:sz w:val="28"/>
          <w:szCs w:val="28"/>
        </w:rPr>
        <w:t>3.3%</w:t>
      </w:r>
      <w:r>
        <w:rPr>
          <w:rFonts w:ascii="Arial" w:eastAsia="仿宋_GB2312;仿宋" w:hAnsi="Arial" w:cs="Arial"/>
          <w:bCs/>
          <w:color w:val="000000"/>
          <w:sz w:val="28"/>
          <w:szCs w:val="28"/>
        </w:rPr>
        <w:t>。城镇居民人均可支配收入</w:t>
      </w:r>
      <w:r>
        <w:rPr>
          <w:rFonts w:ascii="Arial" w:eastAsia="仿宋_GB2312;仿宋" w:hAnsi="Arial" w:cs="Arial"/>
          <w:bCs/>
          <w:color w:val="000000"/>
          <w:sz w:val="28"/>
          <w:szCs w:val="28"/>
        </w:rPr>
        <w:t>24210</w:t>
      </w:r>
      <w:r>
        <w:rPr>
          <w:rFonts w:ascii="Arial" w:eastAsia="仿宋_GB2312;仿宋" w:hAnsi="Arial" w:cs="Arial"/>
          <w:bCs/>
          <w:color w:val="000000"/>
          <w:sz w:val="28"/>
          <w:szCs w:val="28"/>
        </w:rPr>
        <w:t>元，同比增长</w:t>
      </w:r>
      <w:r>
        <w:rPr>
          <w:rFonts w:ascii="Arial" w:eastAsia="仿宋_GB2312;仿宋" w:hAnsi="Arial" w:cs="Arial"/>
          <w:bCs/>
          <w:color w:val="000000"/>
          <w:sz w:val="28"/>
          <w:szCs w:val="28"/>
        </w:rPr>
        <w:t>5.0%</w:t>
      </w:r>
      <w:r>
        <w:rPr>
          <w:rFonts w:ascii="Arial" w:eastAsia="仿宋_GB2312;仿宋" w:hAnsi="Arial" w:cs="Arial"/>
          <w:bCs/>
          <w:color w:val="000000"/>
          <w:sz w:val="28"/>
          <w:szCs w:val="28"/>
        </w:rPr>
        <w:t>，农村居民人均可支配收入</w:t>
      </w:r>
      <w:r>
        <w:rPr>
          <w:rFonts w:ascii="Arial" w:eastAsia="仿宋_GB2312;仿宋" w:hAnsi="Arial" w:cs="Arial"/>
          <w:bCs/>
          <w:color w:val="000000"/>
          <w:sz w:val="28"/>
          <w:szCs w:val="28"/>
        </w:rPr>
        <w:t>11305</w:t>
      </w:r>
      <w:r>
        <w:rPr>
          <w:rFonts w:ascii="Arial" w:eastAsia="仿宋_GB2312;仿宋" w:hAnsi="Arial" w:cs="Arial"/>
          <w:bCs/>
          <w:color w:val="000000"/>
          <w:sz w:val="28"/>
          <w:szCs w:val="28"/>
        </w:rPr>
        <w:t>元，同比增长</w:t>
      </w:r>
      <w:r>
        <w:rPr>
          <w:rFonts w:ascii="Arial" w:eastAsia="仿宋_GB2312;仿宋" w:hAnsi="Arial" w:cs="Arial"/>
          <w:bCs/>
          <w:color w:val="000000"/>
          <w:sz w:val="28"/>
          <w:szCs w:val="28"/>
        </w:rPr>
        <w:t>7.1%</w:t>
      </w:r>
      <w:r>
        <w:rPr>
          <w:rFonts w:ascii="Arial" w:eastAsia="仿宋_GB2312;仿宋" w:hAnsi="Arial" w:cs="Arial"/>
          <w:bCs/>
          <w:color w:val="000000"/>
          <w:sz w:val="28"/>
          <w:szCs w:val="28"/>
        </w:rPr>
        <w:t>。</w:t>
      </w:r>
    </w:p>
    <w:p w14:paraId="64CB9F81" w14:textId="77777777" w:rsidR="00E70101" w:rsidRDefault="0060680B">
      <w:pPr>
        <w:overflowPunct w:val="0"/>
        <w:spacing w:line="360" w:lineRule="auto"/>
        <w:ind w:firstLine="560"/>
        <w:jc w:val="both"/>
      </w:pPr>
      <w:r>
        <w:rPr>
          <w:rFonts w:ascii="Arial" w:eastAsia="仿宋_GB2312;仿宋" w:hAnsi="Arial" w:cs="Arial"/>
          <w:bCs/>
          <w:color w:val="000000"/>
          <w:sz w:val="28"/>
          <w:szCs w:val="28"/>
        </w:rPr>
        <w:t>一季度，北京市居民人均消费支出</w:t>
      </w:r>
      <w:r>
        <w:rPr>
          <w:rFonts w:ascii="Arial" w:eastAsia="仿宋_GB2312;仿宋" w:hAnsi="Arial" w:cs="Arial"/>
          <w:bCs/>
          <w:color w:val="000000"/>
          <w:sz w:val="28"/>
          <w:szCs w:val="28"/>
        </w:rPr>
        <w:t>13034</w:t>
      </w:r>
      <w:r>
        <w:rPr>
          <w:rFonts w:ascii="Arial" w:eastAsia="仿宋_GB2312;仿宋" w:hAnsi="Arial" w:cs="Arial"/>
          <w:bCs/>
          <w:color w:val="000000"/>
          <w:sz w:val="28"/>
          <w:szCs w:val="28"/>
        </w:rPr>
        <w:t>元，同比增长</w:t>
      </w:r>
      <w:r>
        <w:rPr>
          <w:rFonts w:ascii="Arial" w:eastAsia="仿宋_GB2312;仿宋" w:hAnsi="Arial" w:cs="Arial"/>
          <w:bCs/>
          <w:color w:val="000000"/>
          <w:sz w:val="28"/>
          <w:szCs w:val="28"/>
        </w:rPr>
        <w:t>8.2%,</w:t>
      </w:r>
      <w:r>
        <w:rPr>
          <w:rFonts w:ascii="Arial" w:eastAsia="仿宋_GB2312;仿宋" w:hAnsi="Arial" w:cs="Arial"/>
          <w:bCs/>
          <w:color w:val="000000"/>
          <w:sz w:val="28"/>
          <w:szCs w:val="28"/>
        </w:rPr>
        <w:t>其中，城镇居民人均消费支出</w:t>
      </w:r>
      <w:r>
        <w:rPr>
          <w:rFonts w:ascii="Arial" w:eastAsia="仿宋_GB2312;仿宋" w:hAnsi="Arial" w:cs="Arial"/>
          <w:bCs/>
          <w:color w:val="000000"/>
          <w:sz w:val="28"/>
          <w:szCs w:val="28"/>
        </w:rPr>
        <w:t>13938</w:t>
      </w:r>
      <w:r>
        <w:rPr>
          <w:rFonts w:ascii="Arial" w:eastAsia="仿宋_GB2312;仿宋" w:hAnsi="Arial" w:cs="Arial"/>
          <w:bCs/>
          <w:color w:val="000000"/>
          <w:sz w:val="28"/>
          <w:szCs w:val="28"/>
        </w:rPr>
        <w:t>元，同比增长</w:t>
      </w:r>
      <w:r>
        <w:rPr>
          <w:rFonts w:ascii="Arial" w:eastAsia="仿宋_GB2312;仿宋" w:hAnsi="Arial" w:cs="Arial"/>
          <w:bCs/>
          <w:color w:val="000000"/>
          <w:sz w:val="28"/>
          <w:szCs w:val="28"/>
        </w:rPr>
        <w:t>8.3%</w:t>
      </w:r>
      <w:r>
        <w:rPr>
          <w:rFonts w:ascii="Arial" w:eastAsia="仿宋_GB2312;仿宋" w:hAnsi="Arial" w:cs="Arial"/>
          <w:bCs/>
          <w:color w:val="000000"/>
          <w:sz w:val="28"/>
          <w:szCs w:val="28"/>
        </w:rPr>
        <w:t>，农村居民人均消费支出</w:t>
      </w:r>
      <w:r>
        <w:rPr>
          <w:rFonts w:ascii="Arial" w:eastAsia="仿宋_GB2312;仿宋" w:hAnsi="Arial" w:cs="Arial"/>
          <w:bCs/>
          <w:color w:val="000000"/>
          <w:sz w:val="28"/>
          <w:szCs w:val="28"/>
        </w:rPr>
        <w:t>7190</w:t>
      </w:r>
      <w:r>
        <w:rPr>
          <w:rFonts w:ascii="Arial" w:eastAsia="仿宋_GB2312;仿宋" w:hAnsi="Arial" w:cs="Arial"/>
          <w:bCs/>
          <w:color w:val="000000"/>
          <w:sz w:val="28"/>
          <w:szCs w:val="28"/>
        </w:rPr>
        <w:t>元，同比增长</w:t>
      </w:r>
      <w:r>
        <w:rPr>
          <w:rFonts w:ascii="Arial" w:eastAsia="仿宋_GB2312;仿宋" w:hAnsi="Arial" w:cs="Arial"/>
          <w:bCs/>
          <w:color w:val="000000"/>
          <w:sz w:val="28"/>
          <w:szCs w:val="28"/>
        </w:rPr>
        <w:t>7.2%</w:t>
      </w:r>
      <w:r>
        <w:rPr>
          <w:rFonts w:ascii="Arial" w:eastAsia="仿宋_GB2312;仿宋" w:hAnsi="Arial" w:cs="Arial"/>
          <w:bCs/>
          <w:color w:val="000000"/>
          <w:sz w:val="28"/>
          <w:szCs w:val="28"/>
        </w:rPr>
        <w:t>。</w:t>
      </w:r>
    </w:p>
    <w:p w14:paraId="72B2FC7D" w14:textId="77777777" w:rsidR="00E70101" w:rsidRDefault="0060680B">
      <w:pPr>
        <w:overflowPunct w:val="0"/>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总的来看，一季度北京市经济呈现回升向好态势，在市委、市政府坚强领导下，全市上下坚决贯彻落实党中央、国务院决策部署，坚持稳中求进、以进促稳、先立后破，统筹协调各项政策措施，着力扩内需、优结构、提信心、防风险，扎实推动高质量发展，生产需求继续好转，就业物价保持稳定，市场预期不断改善，总体经济回升向好，实现良好开局。</w:t>
      </w:r>
    </w:p>
    <w:p w14:paraId="578D4570"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（二）区域因素</w:t>
      </w:r>
    </w:p>
    <w:p w14:paraId="61ADC79B"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 xml:space="preserve">1. </w:t>
      </w:r>
      <w:r>
        <w:rPr>
          <w:rFonts w:ascii="Arial" w:eastAsia="仿宋_GB2312;仿宋" w:hAnsi="Arial" w:cs="Arial"/>
          <w:sz w:val="28"/>
        </w:rPr>
        <w:t>位置状况</w:t>
      </w:r>
    </w:p>
    <w:p w14:paraId="62CF710E" w14:textId="77777777" w:rsidR="00E70101" w:rsidRDefault="0060680B">
      <w:pPr>
        <w:spacing w:line="360" w:lineRule="auto"/>
        <w:ind w:firstLine="560"/>
        <w:jc w:val="both"/>
        <w:rPr>
          <w:rFonts w:eastAsia="仿宋_GB2312;仿宋"/>
        </w:rPr>
      </w:pPr>
      <w:r>
        <w:rPr>
          <w:rFonts w:ascii="Arial" w:eastAsia="仿宋_GB2312;仿宋" w:hAnsi="Arial" w:cs="Arial"/>
          <w:sz w:val="28"/>
        </w:rPr>
        <w:t>咨询对象位于北京市昌平区北七家镇八仙庄村。北七家镇，北京市昌平区下辖镇，地处昌平区东南部，位于东经</w:t>
      </w:r>
      <w:r>
        <w:rPr>
          <w:rFonts w:ascii="Arial" w:eastAsia="仿宋_GB2312;仿宋" w:hAnsi="Arial" w:cs="Arial"/>
          <w:sz w:val="28"/>
        </w:rPr>
        <w:t>116°20</w:t>
      </w:r>
      <w:r>
        <w:rPr>
          <w:rFonts w:ascii="仿宋_GB2312;仿宋" w:eastAsia="仿宋_GB2312;仿宋" w:hAnsi="仿宋_GB2312;仿宋" w:cs="仿宋_GB2312;仿宋"/>
          <w:sz w:val="28"/>
        </w:rPr>
        <w:t>′</w:t>
      </w:r>
      <w:r>
        <w:rPr>
          <w:rFonts w:ascii="Arial" w:eastAsia="仿宋_GB2312;仿宋" w:hAnsi="Arial" w:cs="Arial"/>
          <w:sz w:val="28"/>
        </w:rPr>
        <w:t>45</w:t>
      </w:r>
      <w:r>
        <w:rPr>
          <w:rFonts w:ascii="仿宋_GB2312;仿宋" w:eastAsia="仿宋_GB2312;仿宋" w:hAnsi="仿宋_GB2312;仿宋" w:cs="仿宋_GB2312;仿宋"/>
          <w:sz w:val="28"/>
        </w:rPr>
        <w:t>″</w:t>
      </w:r>
      <w:r>
        <w:rPr>
          <w:rFonts w:ascii="Arial" w:eastAsia="仿宋_GB2312;仿宋" w:hAnsi="Arial" w:cs="Arial"/>
          <w:sz w:val="28"/>
        </w:rPr>
        <w:t>~116°29</w:t>
      </w:r>
      <w:r>
        <w:rPr>
          <w:rFonts w:ascii="仿宋_GB2312;仿宋" w:eastAsia="仿宋_GB2312;仿宋" w:hAnsi="仿宋_GB2312;仿宋" w:cs="仿宋_GB2312;仿宋"/>
          <w:sz w:val="28"/>
        </w:rPr>
        <w:t>′</w:t>
      </w:r>
      <w:r>
        <w:rPr>
          <w:rFonts w:ascii="Arial" w:eastAsia="仿宋_GB2312;仿宋" w:hAnsi="Arial" w:cs="Arial"/>
          <w:sz w:val="28"/>
        </w:rPr>
        <w:t>11</w:t>
      </w:r>
      <w:r>
        <w:rPr>
          <w:rFonts w:ascii="仿宋_GB2312;仿宋" w:eastAsia="仿宋_GB2312;仿宋" w:hAnsi="仿宋_GB2312;仿宋" w:cs="仿宋_GB2312;仿宋"/>
          <w:sz w:val="28"/>
        </w:rPr>
        <w:t>″</w:t>
      </w:r>
      <w:r>
        <w:rPr>
          <w:rFonts w:ascii="Arial" w:eastAsia="仿宋_GB2312;仿宋" w:hAnsi="Arial" w:cs="Arial"/>
          <w:sz w:val="28"/>
        </w:rPr>
        <w:t>，北纬</w:t>
      </w:r>
      <w:r>
        <w:rPr>
          <w:rFonts w:ascii="Arial" w:eastAsia="仿宋_GB2312;仿宋" w:hAnsi="Arial" w:cs="Arial"/>
          <w:sz w:val="28"/>
        </w:rPr>
        <w:t>40°03</w:t>
      </w:r>
      <w:r>
        <w:rPr>
          <w:rFonts w:ascii="仿宋_GB2312;仿宋" w:eastAsia="仿宋_GB2312;仿宋" w:hAnsi="仿宋_GB2312;仿宋" w:cs="仿宋_GB2312;仿宋"/>
          <w:sz w:val="28"/>
        </w:rPr>
        <w:t>′</w:t>
      </w:r>
      <w:r>
        <w:rPr>
          <w:rFonts w:ascii="Arial" w:eastAsia="仿宋_GB2312;仿宋" w:hAnsi="Arial" w:cs="Arial"/>
          <w:sz w:val="28"/>
        </w:rPr>
        <w:t>27</w:t>
      </w:r>
      <w:r>
        <w:rPr>
          <w:rFonts w:ascii="仿宋_GB2312;仿宋" w:eastAsia="仿宋_GB2312;仿宋" w:hAnsi="仿宋_GB2312;仿宋" w:cs="仿宋_GB2312;仿宋"/>
          <w:sz w:val="28"/>
        </w:rPr>
        <w:t>″</w:t>
      </w:r>
      <w:r>
        <w:rPr>
          <w:rFonts w:ascii="Arial" w:eastAsia="仿宋_GB2312;仿宋" w:hAnsi="Arial" w:cs="Arial"/>
          <w:sz w:val="28"/>
        </w:rPr>
        <w:t>~40°09</w:t>
      </w:r>
      <w:r>
        <w:rPr>
          <w:rFonts w:ascii="仿宋_GB2312;仿宋" w:eastAsia="仿宋_GB2312;仿宋" w:hAnsi="仿宋_GB2312;仿宋" w:cs="仿宋_GB2312;仿宋"/>
          <w:sz w:val="28"/>
        </w:rPr>
        <w:t>′</w:t>
      </w:r>
      <w:r>
        <w:rPr>
          <w:rFonts w:ascii="Arial" w:eastAsia="仿宋_GB2312;仿宋" w:hAnsi="Arial" w:cs="Arial"/>
          <w:sz w:val="28"/>
        </w:rPr>
        <w:t>10</w:t>
      </w:r>
      <w:r>
        <w:rPr>
          <w:rFonts w:ascii="仿宋_GB2312;仿宋" w:eastAsia="仿宋_GB2312;仿宋" w:hAnsi="仿宋_GB2312;仿宋" w:cs="仿宋_GB2312;仿宋"/>
          <w:sz w:val="28"/>
        </w:rPr>
        <w:t>″</w:t>
      </w:r>
      <w:r>
        <w:rPr>
          <w:rFonts w:ascii="Arial" w:eastAsia="仿宋_GB2312;仿宋" w:hAnsi="Arial" w:cs="Arial"/>
          <w:sz w:val="28"/>
        </w:rPr>
        <w:t>之间，东与顺义区后沙峪镇交界，南与朝阳区来广营乡、昌平区东小口镇接壤，西与沙河镇相邻，北与小汤山镇隔温榆河相望。镇域面积</w:t>
      </w:r>
      <w:r>
        <w:rPr>
          <w:rFonts w:ascii="Arial" w:eastAsia="仿宋_GB2312;仿宋" w:hAnsi="Arial" w:cs="Arial"/>
          <w:sz w:val="28"/>
        </w:rPr>
        <w:t>56.65</w:t>
      </w:r>
      <w:r>
        <w:rPr>
          <w:rFonts w:ascii="Arial" w:eastAsia="仿宋_GB2312;仿宋" w:hAnsi="Arial" w:cs="Arial"/>
          <w:sz w:val="28"/>
        </w:rPr>
        <w:t>平方千米。北七家镇地处温榆河冲积平原，地势西北高、东南低。最高点位于西北部八仙庄村西南，海拔</w:t>
      </w:r>
      <w:r>
        <w:rPr>
          <w:rFonts w:ascii="Arial" w:eastAsia="仿宋_GB2312;仿宋" w:hAnsi="Arial" w:cs="Arial"/>
          <w:sz w:val="28"/>
        </w:rPr>
        <w:t>40.8</w:t>
      </w:r>
      <w:r>
        <w:rPr>
          <w:rFonts w:ascii="Arial" w:eastAsia="仿宋_GB2312;仿宋" w:hAnsi="Arial" w:cs="Arial"/>
          <w:sz w:val="28"/>
        </w:rPr>
        <w:t>米，最低点位于东南部鲁瞳村南，海拔</w:t>
      </w:r>
      <w:r>
        <w:rPr>
          <w:rFonts w:ascii="Arial" w:eastAsia="仿宋_GB2312;仿宋" w:hAnsi="Arial" w:cs="Arial"/>
          <w:sz w:val="28"/>
        </w:rPr>
        <w:t>26</w:t>
      </w:r>
      <w:r>
        <w:rPr>
          <w:rFonts w:ascii="Arial" w:eastAsia="仿宋_GB2312;仿宋" w:hAnsi="Arial" w:cs="Arial"/>
          <w:sz w:val="28"/>
        </w:rPr>
        <w:t>米。北七家镇温榆河属北运河水系，从境内北部边缘流过。南部属清河水系，温榆河从西北至东南横贯镇域东南部。</w:t>
      </w:r>
      <w:r>
        <w:rPr>
          <w:rFonts w:ascii="Arial" w:eastAsia="Arial" w:hAnsi="Arial" w:cs="Arial"/>
          <w:sz w:val="28"/>
        </w:rPr>
        <w:t xml:space="preserve"> </w:t>
      </w:r>
    </w:p>
    <w:p w14:paraId="4B310791" w14:textId="77777777" w:rsidR="00E70101" w:rsidRDefault="0060680B">
      <w:pPr>
        <w:spacing w:line="360" w:lineRule="auto"/>
        <w:ind w:firstLine="560"/>
      </w:pPr>
      <w:r>
        <w:rPr>
          <w:rFonts w:ascii="Arial" w:eastAsia="仿宋_GB2312;仿宋" w:hAnsi="Arial" w:cs="Arial"/>
          <w:sz w:val="28"/>
        </w:rPr>
        <w:t>咨询对象临近八仙庄北大街，距北六环直线距离约</w:t>
      </w:r>
      <w:r>
        <w:rPr>
          <w:rFonts w:ascii="Arial" w:eastAsia="仿宋_GB2312;仿宋" w:hAnsi="Arial" w:cs="Arial"/>
          <w:sz w:val="28"/>
        </w:rPr>
        <w:t>3</w:t>
      </w:r>
      <w:r>
        <w:rPr>
          <w:rFonts w:ascii="Arial" w:eastAsia="仿宋_GB2312;仿宋" w:hAnsi="Arial" w:cs="Arial"/>
          <w:sz w:val="28"/>
        </w:rPr>
        <w:t>公里，至京承高速入口车程约</w:t>
      </w:r>
      <w:r>
        <w:rPr>
          <w:rFonts w:ascii="Arial" w:eastAsia="仿宋_GB2312;仿宋" w:hAnsi="Arial" w:cs="Arial"/>
          <w:sz w:val="28"/>
        </w:rPr>
        <w:t>20</w:t>
      </w:r>
      <w:r>
        <w:rPr>
          <w:rFonts w:ascii="Arial" w:eastAsia="仿宋_GB2312;仿宋" w:hAnsi="Arial" w:cs="Arial"/>
          <w:sz w:val="28"/>
        </w:rPr>
        <w:t>分钟，土地级别属于北京市基准地价工业类七级，地理位置较好。</w:t>
      </w:r>
    </w:p>
    <w:p w14:paraId="32FC2B94"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产业聚集度</w:t>
      </w:r>
    </w:p>
    <w:p w14:paraId="0F20A7CF"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咨询对象现状周边以产业用地为主，邻近周边有华润医药商业物流配送中心、北京同仁堂制药厂（北分厂）、国家能源集团新能源技术研究院、国网只能电网研究院有限公司等，物流企业较多，产业集聚程度较好。</w:t>
      </w:r>
    </w:p>
    <w:p w14:paraId="72D257E9"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交通便捷度</w:t>
      </w:r>
    </w:p>
    <w:p w14:paraId="0A8369D4"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咨询对象距北六环直线距离约</w:t>
      </w:r>
      <w:r>
        <w:rPr>
          <w:rFonts w:ascii="Arial" w:eastAsia="仿宋_GB2312;仿宋" w:hAnsi="Arial" w:cs="Arial"/>
          <w:sz w:val="28"/>
        </w:rPr>
        <w:t>3</w:t>
      </w:r>
      <w:r>
        <w:rPr>
          <w:rFonts w:ascii="Arial" w:eastAsia="仿宋_GB2312;仿宋" w:hAnsi="Arial" w:cs="Arial"/>
          <w:sz w:val="28"/>
        </w:rPr>
        <w:t>公里，临近城市次干道</w:t>
      </w:r>
      <w:r>
        <w:rPr>
          <w:rFonts w:ascii="Arial" w:eastAsia="仿宋_GB2312;仿宋" w:hAnsi="Arial" w:cs="Arial"/>
          <w:sz w:val="28"/>
        </w:rPr>
        <w:t>——</w:t>
      </w:r>
      <w:r>
        <w:rPr>
          <w:rFonts w:ascii="Arial" w:eastAsia="仿宋_GB2312;仿宋" w:hAnsi="Arial" w:cs="Arial"/>
          <w:sz w:val="28"/>
        </w:rPr>
        <w:t>八仙庄北大街、周边有</w:t>
      </w:r>
      <w:r>
        <w:rPr>
          <w:rFonts w:ascii="Arial" w:eastAsia="仿宋_GB2312;仿宋" w:hAnsi="Arial" w:cs="Arial"/>
          <w:sz w:val="28"/>
        </w:rPr>
        <w:t>628</w:t>
      </w:r>
      <w:r>
        <w:rPr>
          <w:rFonts w:ascii="Arial" w:eastAsia="仿宋_GB2312;仿宋" w:hAnsi="Arial" w:cs="Arial"/>
          <w:sz w:val="28"/>
        </w:rPr>
        <w:t>路、</w:t>
      </w:r>
      <w:r>
        <w:rPr>
          <w:rFonts w:ascii="Arial" w:eastAsia="仿宋_GB2312;仿宋" w:hAnsi="Arial" w:cs="Arial"/>
          <w:sz w:val="28"/>
        </w:rPr>
        <w:t>860</w:t>
      </w:r>
      <w:r>
        <w:rPr>
          <w:rFonts w:ascii="Arial" w:eastAsia="仿宋_GB2312;仿宋" w:hAnsi="Arial" w:cs="Arial"/>
          <w:sz w:val="28"/>
        </w:rPr>
        <w:t>路、</w:t>
      </w:r>
      <w:r>
        <w:rPr>
          <w:rFonts w:ascii="Arial" w:eastAsia="仿宋_GB2312;仿宋" w:hAnsi="Arial" w:cs="Arial"/>
          <w:sz w:val="28"/>
        </w:rPr>
        <w:t>871</w:t>
      </w:r>
      <w:r>
        <w:rPr>
          <w:rFonts w:ascii="Arial" w:eastAsia="仿宋_GB2312;仿宋" w:hAnsi="Arial" w:cs="Arial"/>
          <w:sz w:val="28"/>
        </w:rPr>
        <w:t>路、</w:t>
      </w:r>
      <w:r>
        <w:rPr>
          <w:rFonts w:ascii="Arial" w:eastAsia="仿宋_GB2312;仿宋" w:hAnsi="Arial" w:cs="Arial"/>
          <w:sz w:val="28"/>
        </w:rPr>
        <w:t>C120</w:t>
      </w:r>
      <w:r>
        <w:rPr>
          <w:rFonts w:ascii="Arial" w:eastAsia="仿宋_GB2312;仿宋" w:hAnsi="Arial" w:cs="Arial"/>
          <w:sz w:val="28"/>
        </w:rPr>
        <w:t>路等多条公交线路，综合评价交通便捷度较好。</w:t>
      </w:r>
    </w:p>
    <w:p w14:paraId="6E7F97F2"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环境状况</w:t>
      </w:r>
    </w:p>
    <w:p w14:paraId="2FF50604"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咨询对象周边有温榆河、葫芦河、未来科学城滨水公园等自然景观，有北京祥龙大学、北京市商业学校等人文设施，综合评价环境状况较好。</w:t>
      </w:r>
    </w:p>
    <w:p w14:paraId="65F49EE4"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公共配套设施状况</w:t>
      </w:r>
    </w:p>
    <w:p w14:paraId="7480900E" w14:textId="77777777" w:rsidR="00E70101" w:rsidRDefault="0060680B">
      <w:pPr>
        <w:spacing w:line="360" w:lineRule="auto"/>
        <w:ind w:firstLine="560"/>
      </w:pPr>
      <w:r>
        <w:rPr>
          <w:rFonts w:ascii="Arial" w:eastAsia="仿宋_GB2312;仿宋" w:hAnsi="Arial" w:cs="Arial"/>
          <w:sz w:val="28"/>
        </w:rPr>
        <w:t>咨询对象所处区域目前已拥有较完善的基础设施配套保障，区内大部分区域基础设施配套目前可达到</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（通路、通电、通上水、通下水、通讯、通燃气、通热）条件，保证程度一般。</w:t>
      </w:r>
    </w:p>
    <w:p w14:paraId="03235343" w14:textId="2D120871" w:rsidR="00E70101" w:rsidRDefault="0060680B">
      <w:pPr>
        <w:spacing w:line="360" w:lineRule="auto"/>
        <w:ind w:firstLine="560"/>
      </w:pPr>
      <w:r>
        <w:rPr>
          <w:rFonts w:ascii="Arial" w:eastAsia="仿宋_GB2312;仿宋" w:hAnsi="Arial" w:cs="Arial"/>
          <w:sz w:val="28"/>
        </w:rPr>
        <w:t>咨询对象所在区域周边</w:t>
      </w:r>
      <w:r>
        <w:rPr>
          <w:rFonts w:ascii="Arial" w:eastAsia="仿宋_GB2312;仿宋" w:hAnsi="Arial" w:cs="Arial"/>
          <w:sz w:val="28"/>
        </w:rPr>
        <w:t>2</w:t>
      </w:r>
      <w:r>
        <w:rPr>
          <w:rFonts w:ascii="Arial" w:eastAsia="仿宋_GB2312;仿宋" w:hAnsi="Arial" w:cs="Arial"/>
          <w:sz w:val="28"/>
        </w:rPr>
        <w:t>公里范围内有华联超市、北京天骄实验学校、</w:t>
      </w:r>
      <w:r w:rsidR="00693E9D">
        <w:rPr>
          <w:rFonts w:ascii="Arial" w:eastAsia="仿宋_GB2312;仿宋" w:hAnsi="Arial" w:cs="Arial"/>
          <w:sz w:val="28"/>
        </w:rPr>
        <w:t>北京市</w:t>
      </w:r>
      <w:r>
        <w:rPr>
          <w:rFonts w:ascii="Arial" w:eastAsia="仿宋_GB2312;仿宋" w:hAnsi="Arial" w:cs="Arial"/>
          <w:sz w:val="28"/>
        </w:rPr>
        <w:t>昌平区北七</w:t>
      </w:r>
      <w:r w:rsidR="004E1915">
        <w:rPr>
          <w:rFonts w:ascii="Arial" w:eastAsia="仿宋_GB2312;仿宋" w:hAnsi="Arial" w:cs="Arial"/>
          <w:sz w:val="28"/>
        </w:rPr>
        <w:t>家镇</w:t>
      </w:r>
      <w:r>
        <w:rPr>
          <w:rFonts w:ascii="Arial" w:eastAsia="仿宋_GB2312;仿宋" w:hAnsi="Arial" w:cs="Arial"/>
          <w:sz w:val="28"/>
        </w:rPr>
        <w:t>中心小学、八仙庄村幼儿园、八仙庄社区卫生服务站、中国农业银行（北京北七家支行）、中国邮政储蓄银行（北京昌平区北七家支行）等，各类配套设施齐备程度一般，故公共配套设施状况一般。</w:t>
      </w:r>
    </w:p>
    <w:p w14:paraId="7D3DF3A6" w14:textId="77777777" w:rsidR="00E70101" w:rsidRDefault="0060680B">
      <w:pPr>
        <w:spacing w:line="360" w:lineRule="auto"/>
        <w:ind w:firstLine="560"/>
        <w:jc w:val="both"/>
      </w:pPr>
      <w:r>
        <w:rPr>
          <w:rFonts w:ascii="Arial" w:eastAsia="仿宋_GB2312;仿宋" w:hAnsi="Arial" w:cs="Arial"/>
          <w:sz w:val="28"/>
        </w:rPr>
        <w:t>综上，咨询对象地理位置较好，产业聚集度较好，交通便捷度较好，环境状况较好，区内大部分区域基础设施配套目前可达到</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，公共配套设施状况一般。总体评价影响咨询对象的区位条件较好。</w:t>
      </w:r>
    </w:p>
    <w:p w14:paraId="4CB91DFE"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（三）个别因素</w:t>
      </w:r>
    </w:p>
    <w:p w14:paraId="74C07F66" w14:textId="77777777" w:rsidR="00E70101" w:rsidRDefault="0060680B">
      <w:pPr>
        <w:spacing w:line="360" w:lineRule="auto"/>
        <w:ind w:firstLine="560"/>
        <w:jc w:val="both"/>
      </w:pPr>
      <w:r>
        <w:rPr>
          <w:rFonts w:ascii="Arial" w:eastAsia="仿宋_GB2312;仿宋" w:hAnsi="Arial" w:cs="Arial"/>
          <w:sz w:val="28"/>
        </w:rPr>
        <w:t>1.</w:t>
      </w:r>
      <w:r>
        <w:rPr>
          <w:rFonts w:ascii="Arial" w:eastAsia="仿宋_GB2312;仿宋" w:hAnsi="Arial" w:cs="Arial"/>
          <w:sz w:val="28"/>
        </w:rPr>
        <w:t>咨询对象位置：咨询对象位于北京市昌平区北七家镇八仙庄村仓储用地。根据《北京市人民政府关于更新出让国有建设用地使用权基准地价的通知》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的规定，咨询对象属于工业类七级地价区</w:t>
      </w:r>
      <w:r>
        <w:rPr>
          <w:rFonts w:ascii="Arial" w:eastAsia="仿宋_GB2312;仿宋" w:hAnsi="Arial" w:cs="Arial"/>
          <w:sz w:val="28"/>
        </w:rPr>
        <w:t>VII-</w:t>
      </w:r>
      <w:r>
        <w:rPr>
          <w:rFonts w:ascii="Arial" w:eastAsia="仿宋_GB2312;仿宋" w:hAnsi="Arial" w:cs="Arial"/>
          <w:sz w:val="28"/>
        </w:rPr>
        <w:t>昌</w:t>
      </w:r>
      <w:r>
        <w:rPr>
          <w:rFonts w:ascii="Arial" w:eastAsia="仿宋_GB2312;仿宋" w:hAnsi="Arial" w:cs="Arial"/>
          <w:sz w:val="28"/>
        </w:rPr>
        <w:t>3</w:t>
      </w:r>
      <w:r>
        <w:rPr>
          <w:rFonts w:ascii="Arial" w:eastAsia="仿宋_GB2312;仿宋" w:hAnsi="Arial" w:cs="Arial"/>
          <w:sz w:val="28"/>
        </w:rPr>
        <w:t>区片。</w:t>
      </w:r>
    </w:p>
    <w:p w14:paraId="17E45C00"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宗地规划用途、面积</w:t>
      </w:r>
    </w:p>
    <w:p w14:paraId="2EAA2DDD" w14:textId="77777777" w:rsidR="00E70101" w:rsidRDefault="0060680B">
      <w:pPr>
        <w:spacing w:line="360" w:lineRule="auto"/>
        <w:ind w:firstLine="560"/>
        <w:jc w:val="both"/>
      </w:pPr>
      <w:r>
        <w:rPr>
          <w:rFonts w:ascii="Arial" w:eastAsia="仿宋_GB2312;仿宋" w:hAnsi="Arial" w:cs="Arial"/>
          <w:sz w:val="28"/>
        </w:rPr>
        <w:t>咨询对象登记土地用途为仓储，为最佳最有效用途。</w:t>
      </w:r>
    </w:p>
    <w:p w14:paraId="51AE4429"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根据委托方介绍，咨询对象用地面积为</w:t>
      </w:r>
      <w:r>
        <w:rPr>
          <w:rFonts w:ascii="Arial" w:eastAsia="仿宋_GB2312;仿宋" w:hAnsi="Arial" w:cs="Arial"/>
          <w:sz w:val="28"/>
        </w:rPr>
        <w:t>370379.14</w:t>
      </w:r>
      <w:r>
        <w:rPr>
          <w:rFonts w:ascii="Arial" w:eastAsia="仿宋_GB2312;仿宋" w:hAnsi="Arial" w:cs="Arial"/>
          <w:sz w:val="28"/>
        </w:rPr>
        <w:t>平方米。</w:t>
      </w:r>
    </w:p>
    <w:p w14:paraId="2579C0AC"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宗地容积率及可利用情况</w:t>
      </w:r>
    </w:p>
    <w:p w14:paraId="4AE14FEA" w14:textId="7CC87ADD"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根据委托方介绍，咨询对象用地面积为</w:t>
      </w:r>
      <w:r>
        <w:rPr>
          <w:rFonts w:ascii="Arial" w:eastAsia="仿宋_GB2312;仿宋" w:hAnsi="Arial" w:cs="Arial"/>
          <w:sz w:val="28"/>
        </w:rPr>
        <w:t>370379.14</w:t>
      </w:r>
      <w:r>
        <w:rPr>
          <w:rFonts w:ascii="Arial" w:eastAsia="仿宋_GB2312;仿宋" w:hAnsi="Arial" w:cs="Arial"/>
          <w:sz w:val="28"/>
        </w:rPr>
        <w:t>平方米，容积率设定为</w:t>
      </w:r>
      <w:r>
        <w:rPr>
          <w:rFonts w:ascii="Arial" w:eastAsia="仿宋_GB2312;仿宋" w:hAnsi="Arial" w:cs="Arial"/>
          <w:sz w:val="28"/>
        </w:rPr>
        <w:t>1.0</w:t>
      </w:r>
      <w:r>
        <w:rPr>
          <w:rFonts w:ascii="Arial" w:eastAsia="仿宋_GB2312;仿宋" w:hAnsi="Arial" w:cs="Arial"/>
          <w:sz w:val="28"/>
        </w:rPr>
        <w:t>，建筑面积设定为</w:t>
      </w:r>
      <w:r>
        <w:rPr>
          <w:rFonts w:ascii="Arial" w:eastAsia="仿宋_GB2312;仿宋" w:hAnsi="Arial" w:cs="Arial"/>
          <w:sz w:val="28"/>
        </w:rPr>
        <w:t>370379.14</w:t>
      </w:r>
      <w:r>
        <w:rPr>
          <w:rFonts w:ascii="Arial" w:eastAsia="仿宋_GB2312;仿宋" w:hAnsi="Arial" w:cs="Arial"/>
          <w:sz w:val="28"/>
        </w:rPr>
        <w:t>平方米。</w:t>
      </w:r>
    </w:p>
    <w:p w14:paraId="40C39E26" w14:textId="77777777" w:rsidR="00E70101" w:rsidRDefault="0060680B">
      <w:pPr>
        <w:spacing w:line="360" w:lineRule="auto"/>
        <w:ind w:firstLine="560"/>
        <w:jc w:val="both"/>
        <w:rPr>
          <w:rFonts w:eastAsia="仿宋_GB2312;仿宋"/>
        </w:rPr>
      </w:pPr>
      <w:r>
        <w:rPr>
          <w:rFonts w:ascii="Arial" w:eastAsia="仿宋_GB2312;仿宋" w:hAnsi="Arial" w:cs="Arial"/>
          <w:sz w:val="28"/>
        </w:rPr>
        <w:t>4.</w:t>
      </w:r>
      <w:r>
        <w:rPr>
          <w:rFonts w:ascii="Arial" w:eastAsia="仿宋_GB2312;仿宋" w:hAnsi="Arial" w:cs="Arial"/>
          <w:sz w:val="28"/>
        </w:rPr>
        <w:t>宗地基础设施</w:t>
      </w:r>
      <w:r>
        <w:rPr>
          <w:rFonts w:ascii="Arial" w:eastAsia="Arial" w:hAnsi="Arial" w:cs="Arial"/>
          <w:sz w:val="28"/>
        </w:rPr>
        <w:t xml:space="preserve"> </w:t>
      </w:r>
    </w:p>
    <w:p w14:paraId="2B96DEFD" w14:textId="77777777" w:rsidR="00E70101" w:rsidRDefault="0060680B">
      <w:pPr>
        <w:spacing w:line="360" w:lineRule="auto"/>
        <w:ind w:firstLine="512"/>
        <w:jc w:val="both"/>
        <w:rPr>
          <w:rFonts w:eastAsia="仿宋_GB2312;仿宋"/>
        </w:rPr>
      </w:pPr>
      <w:r>
        <w:rPr>
          <w:rFonts w:ascii="Arial" w:eastAsia="仿宋_GB2312;仿宋" w:hAnsi="Arial" w:cs="Arial"/>
          <w:spacing w:val="-12"/>
          <w:sz w:val="28"/>
        </w:rPr>
        <w:t>宗地红线外基础设施已达到</w:t>
      </w:r>
      <w:r>
        <w:rPr>
          <w:rFonts w:ascii="Arial" w:eastAsia="仿宋_GB2312;仿宋" w:hAnsi="Arial" w:cs="Arial"/>
          <w:spacing w:val="-12"/>
          <w:sz w:val="28"/>
        </w:rPr>
        <w:t>”</w:t>
      </w:r>
      <w:r>
        <w:rPr>
          <w:rFonts w:ascii="Arial" w:eastAsia="仿宋_GB2312;仿宋" w:hAnsi="Arial" w:cs="Arial"/>
          <w:spacing w:val="-12"/>
          <w:sz w:val="28"/>
        </w:rPr>
        <w:t>七通</w:t>
      </w:r>
      <w:r>
        <w:rPr>
          <w:rFonts w:ascii="Arial" w:eastAsia="仿宋_GB2312;仿宋" w:hAnsi="Arial" w:cs="Arial"/>
          <w:spacing w:val="-12"/>
          <w:sz w:val="28"/>
        </w:rPr>
        <w:t>”</w:t>
      </w:r>
      <w:r>
        <w:rPr>
          <w:rFonts w:ascii="Arial" w:eastAsia="仿宋_GB2312;仿宋" w:hAnsi="Arial" w:cs="Arial"/>
          <w:spacing w:val="-12"/>
          <w:sz w:val="28"/>
        </w:rPr>
        <w:t>（通路、通电、通讯、通上水、通下水、通燃气、通热），具体状况如下：</w:t>
      </w:r>
      <w:r>
        <w:rPr>
          <w:rFonts w:ascii="Arial" w:eastAsia="Arial" w:hAnsi="Arial" w:cs="Arial"/>
          <w:spacing w:val="-12"/>
          <w:sz w:val="28"/>
        </w:rPr>
        <w:t xml:space="preserve"> </w:t>
      </w:r>
    </w:p>
    <w:p w14:paraId="55F558D0" w14:textId="77777777" w:rsidR="00E70101" w:rsidRDefault="0060680B">
      <w:pPr>
        <w:spacing w:line="360" w:lineRule="auto"/>
        <w:ind w:firstLine="512"/>
        <w:jc w:val="both"/>
        <w:rPr>
          <w:rFonts w:eastAsia="仿宋_GB2312;仿宋"/>
        </w:rPr>
      </w:pPr>
      <w:r>
        <w:rPr>
          <w:rFonts w:ascii="Arial" w:eastAsia="仿宋_GB2312;仿宋" w:hAnsi="Arial" w:cs="Arial"/>
          <w:spacing w:val="-12"/>
          <w:sz w:val="28"/>
        </w:rPr>
        <w:t>通路：顺于路，为城市次干道；</w:t>
      </w:r>
      <w:r>
        <w:rPr>
          <w:rFonts w:ascii="Arial" w:eastAsia="Arial" w:hAnsi="Arial" w:cs="Arial"/>
          <w:spacing w:val="-12"/>
          <w:sz w:val="28"/>
        </w:rPr>
        <w:t xml:space="preserve"> </w:t>
      </w:r>
    </w:p>
    <w:p w14:paraId="405D19A6" w14:textId="77777777" w:rsidR="00E70101" w:rsidRDefault="0060680B">
      <w:pPr>
        <w:spacing w:line="360" w:lineRule="auto"/>
        <w:ind w:firstLine="512"/>
        <w:jc w:val="both"/>
      </w:pPr>
      <w:r>
        <w:rPr>
          <w:rFonts w:ascii="Arial" w:eastAsia="仿宋_GB2312;仿宋" w:hAnsi="Arial" w:cs="Arial"/>
          <w:spacing w:val="-12"/>
          <w:sz w:val="28"/>
        </w:rPr>
        <w:t>通电：市政供电网络；</w:t>
      </w:r>
    </w:p>
    <w:p w14:paraId="4EADD955" w14:textId="77777777" w:rsidR="00E70101" w:rsidRDefault="0060680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通上水：市政管网供水，设施完备，水源稳定；</w:t>
      </w:r>
    </w:p>
    <w:p w14:paraId="7E777E85" w14:textId="77777777" w:rsidR="00E70101" w:rsidRDefault="0060680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通下水：市政管网排水；</w:t>
      </w:r>
    </w:p>
    <w:p w14:paraId="493DC30E" w14:textId="77777777" w:rsidR="00E70101" w:rsidRDefault="0060680B">
      <w:pPr>
        <w:spacing w:line="360" w:lineRule="auto"/>
        <w:ind w:firstLine="512"/>
        <w:rPr>
          <w:rFonts w:ascii="Arial" w:eastAsia="仿宋_GB2312;仿宋" w:hAnsi="Arial" w:cs="Arial"/>
          <w:spacing w:val="-12"/>
          <w:sz w:val="28"/>
        </w:rPr>
      </w:pPr>
      <w:r>
        <w:rPr>
          <w:rFonts w:ascii="Arial" w:eastAsia="仿宋_GB2312;仿宋" w:hAnsi="Arial" w:cs="Arial"/>
          <w:spacing w:val="-12"/>
          <w:sz w:val="28"/>
        </w:rPr>
        <w:t>通讯：项目用地有电信管道；</w:t>
      </w:r>
    </w:p>
    <w:p w14:paraId="6170CAF9" w14:textId="77777777" w:rsidR="00E70101" w:rsidRDefault="0060680B">
      <w:pPr>
        <w:spacing w:line="360" w:lineRule="auto"/>
        <w:ind w:firstLine="512"/>
        <w:rPr>
          <w:rFonts w:ascii="Arial" w:eastAsia="仿宋_GB2312;仿宋" w:hAnsi="Arial" w:cs="Arial"/>
          <w:spacing w:val="-12"/>
          <w:sz w:val="28"/>
        </w:rPr>
      </w:pPr>
      <w:r>
        <w:rPr>
          <w:rFonts w:ascii="Arial" w:eastAsia="仿宋_GB2312;仿宋" w:hAnsi="Arial" w:cs="Arial"/>
          <w:spacing w:val="-12"/>
          <w:sz w:val="28"/>
        </w:rPr>
        <w:t>通热：市政供暖；</w:t>
      </w:r>
    </w:p>
    <w:p w14:paraId="3F2798F6" w14:textId="77777777" w:rsidR="00E70101" w:rsidRDefault="0060680B">
      <w:pPr>
        <w:spacing w:line="360" w:lineRule="auto"/>
        <w:ind w:firstLine="512"/>
        <w:rPr>
          <w:rFonts w:ascii="Arial" w:eastAsia="仿宋_GB2312;仿宋" w:hAnsi="Arial" w:cs="Arial"/>
          <w:sz w:val="28"/>
        </w:rPr>
      </w:pPr>
      <w:r>
        <w:rPr>
          <w:rFonts w:ascii="Arial" w:eastAsia="仿宋_GB2312;仿宋" w:hAnsi="Arial" w:cs="Arial"/>
          <w:spacing w:val="-12"/>
          <w:sz w:val="28"/>
        </w:rPr>
        <w:t>通燃气：管道天然气。</w:t>
      </w:r>
    </w:p>
    <w:p w14:paraId="6D23DB6C" w14:textId="77777777" w:rsidR="00E70101" w:rsidRDefault="00E70101">
      <w:pPr>
        <w:spacing w:line="360" w:lineRule="auto"/>
        <w:ind w:firstLine="566"/>
        <w:jc w:val="both"/>
        <w:rPr>
          <w:rFonts w:ascii="Arial" w:eastAsia="仿宋_GB2312;仿宋" w:hAnsi="Arial" w:cs="Arial"/>
          <w:sz w:val="28"/>
          <w:szCs w:val="18"/>
        </w:rPr>
        <w:sectPr w:rsidR="00E70101">
          <w:headerReference w:type="default" r:id="rId61"/>
          <w:footerReference w:type="default" r:id="rId62"/>
          <w:pgSz w:w="11906" w:h="16838"/>
          <w:pgMar w:top="1843" w:right="1134" w:bottom="1134" w:left="1474" w:header="1134" w:footer="907" w:gutter="0"/>
          <w:cols w:space="720"/>
          <w:formProt w:val="0"/>
          <w:docGrid w:linePitch="326"/>
        </w:sectPr>
      </w:pPr>
    </w:p>
    <w:p w14:paraId="13A5B812" w14:textId="77777777" w:rsidR="00E70101" w:rsidRDefault="0060680B">
      <w:pPr>
        <w:spacing w:line="360" w:lineRule="auto"/>
        <w:jc w:val="center"/>
        <w:outlineLvl w:val="0"/>
        <w:rPr>
          <w:rFonts w:ascii="Arial" w:hAnsi="Arial" w:cs="Arial"/>
          <w:sz w:val="32"/>
        </w:rPr>
      </w:pPr>
      <w:bookmarkStart w:id="40" w:name="__RefHeading___Toc530042256"/>
      <w:r>
        <w:rPr>
          <w:rFonts w:ascii="Arial" w:hAnsi="Arial" w:cs="Arial"/>
          <w:b/>
          <w:sz w:val="32"/>
        </w:rPr>
        <w:t>第三部分</w:t>
      </w:r>
      <w:r>
        <w:rPr>
          <w:rFonts w:ascii="Arial" w:eastAsia="Arial" w:hAnsi="Arial" w:cs="Arial"/>
          <w:b/>
          <w:sz w:val="32"/>
        </w:rPr>
        <w:t xml:space="preserve">  </w:t>
      </w:r>
      <w:bookmarkEnd w:id="40"/>
      <w:r>
        <w:rPr>
          <w:rFonts w:ascii="Arial" w:hAnsi="Arial" w:cs="Arial"/>
          <w:b/>
          <w:sz w:val="32"/>
        </w:rPr>
        <w:t>土地咨询</w:t>
      </w:r>
    </w:p>
    <w:p w14:paraId="57934B80" w14:textId="77777777" w:rsidR="00E70101" w:rsidRDefault="00E70101">
      <w:pPr>
        <w:spacing w:line="360" w:lineRule="auto"/>
        <w:rPr>
          <w:rFonts w:ascii="Arial" w:eastAsia="仿宋_GB2312;仿宋" w:hAnsi="Arial" w:cs="Arial"/>
          <w:b/>
          <w:sz w:val="28"/>
        </w:rPr>
      </w:pPr>
    </w:p>
    <w:p w14:paraId="48C459D9" w14:textId="77777777" w:rsidR="00E70101" w:rsidRDefault="0060680B">
      <w:pPr>
        <w:spacing w:line="360" w:lineRule="auto"/>
        <w:outlineLvl w:val="1"/>
        <w:rPr>
          <w:rFonts w:ascii="Arial" w:eastAsia="仿宋_GB2312;仿宋" w:hAnsi="Arial" w:cs="Arial"/>
          <w:sz w:val="28"/>
        </w:rPr>
      </w:pPr>
      <w:bookmarkStart w:id="41" w:name="__RefHeading___Toc530042257"/>
      <w:bookmarkEnd w:id="41"/>
      <w:r>
        <w:rPr>
          <w:rFonts w:ascii="Arial" w:eastAsia="仿宋_GB2312;仿宋" w:hAnsi="Arial" w:cs="Arial"/>
          <w:b/>
          <w:sz w:val="28"/>
        </w:rPr>
        <w:t>一、咨询原则</w:t>
      </w:r>
    </w:p>
    <w:p w14:paraId="2FB7A656" w14:textId="77777777" w:rsidR="00E70101" w:rsidRDefault="0060680B">
      <w:pPr>
        <w:spacing w:line="360" w:lineRule="auto"/>
        <w:ind w:firstLine="630"/>
        <w:jc w:val="both"/>
        <w:rPr>
          <w:rFonts w:eastAsia="仿宋_GB2312;仿宋"/>
        </w:rPr>
      </w:pPr>
      <w:r>
        <w:rPr>
          <w:rFonts w:ascii="Arial" w:eastAsia="仿宋_GB2312;仿宋" w:hAnsi="Arial" w:cs="Arial"/>
          <w:sz w:val="28"/>
        </w:rPr>
        <w:t>土地价格是由其效用、相对稀缺性及有效需求三者相互作用和影响而形成，这些因素又经常处于变动之中，土地咨询必须要对此进行细致分析并正确判断其变动趋向，了解土地价格组成的各项因素及各因素之间的相互作用，才能做出正确咨询。在土地咨询的实践和理论的探索中，在对土地价格形成和变化的规律认识的基础上，总结出一些在咨询活动中应当遵循的法则或标准，而在咨询作业时，这些原则又指导人们的咨询实践。所以在探讨土地咨询方法之前，首先要掌握土地咨询的基本原则，以此为指南，认真分析影响土地价格的因素，灵活使用各种土地咨询方法，才能对土地价格做出最准确的判断。土地咨询应遵循的基本原则有</w:t>
      </w:r>
      <w:r>
        <w:rPr>
          <w:rFonts w:ascii="Arial" w:eastAsia="仿宋_GB2312;仿宋" w:hAnsi="Arial" w:cs="Arial"/>
          <w:sz w:val="28"/>
        </w:rPr>
        <w:t>:</w:t>
      </w:r>
      <w:r>
        <w:rPr>
          <w:rFonts w:ascii="Arial" w:eastAsia="仿宋_GB2312;仿宋" w:hAnsi="Arial" w:cs="Arial"/>
          <w:sz w:val="28"/>
        </w:rPr>
        <w:t>合法原则、替代原则、最有效利用原则、供需原则、贡献原则、谨慎性原则等。</w:t>
      </w:r>
      <w:r>
        <w:rPr>
          <w:rFonts w:ascii="Arial" w:eastAsia="Arial" w:hAnsi="Arial" w:cs="Arial"/>
          <w:sz w:val="28"/>
        </w:rPr>
        <w:t xml:space="preserve"> </w:t>
      </w:r>
    </w:p>
    <w:p w14:paraId="3374F62D" w14:textId="77777777" w:rsidR="00E70101" w:rsidRDefault="0060680B">
      <w:pPr>
        <w:spacing w:line="360" w:lineRule="auto"/>
        <w:ind w:firstLine="630"/>
        <w:jc w:val="both"/>
        <w:rPr>
          <w:rFonts w:eastAsia="仿宋_GB2312;仿宋"/>
        </w:rPr>
      </w:pPr>
      <w:r>
        <w:rPr>
          <w:rFonts w:ascii="Arial" w:eastAsia="仿宋_GB2312;仿宋" w:hAnsi="Arial" w:cs="Arial"/>
          <w:sz w:val="28"/>
        </w:rPr>
        <w:t xml:space="preserve">1. </w:t>
      </w:r>
      <w:r>
        <w:rPr>
          <w:rFonts w:ascii="Arial" w:eastAsia="仿宋_GB2312;仿宋" w:hAnsi="Arial" w:cs="Arial"/>
          <w:sz w:val="28"/>
        </w:rPr>
        <w:t>合法原则</w:t>
      </w:r>
      <w:r>
        <w:rPr>
          <w:rFonts w:ascii="Arial" w:eastAsia="Arial" w:hAnsi="Arial" w:cs="Arial"/>
          <w:sz w:val="28"/>
        </w:rPr>
        <w:t xml:space="preserve"> </w:t>
      </w:r>
    </w:p>
    <w:p w14:paraId="2914FA62" w14:textId="77777777" w:rsidR="00E70101" w:rsidRDefault="0060680B">
      <w:pPr>
        <w:spacing w:line="360" w:lineRule="auto"/>
        <w:ind w:firstLine="630"/>
        <w:jc w:val="both"/>
        <w:rPr>
          <w:rFonts w:eastAsia="仿宋_GB2312;仿宋"/>
        </w:rPr>
      </w:pPr>
      <w:r>
        <w:rPr>
          <w:rFonts w:ascii="Arial" w:eastAsia="仿宋_GB2312;仿宋" w:hAnsi="Arial" w:cs="Arial"/>
          <w:sz w:val="28"/>
        </w:rPr>
        <w:t>合法原则是指土地使用权价格评估必须以咨询对象的合法利用为前提。由于我国所有制特点，土地流转过程是土地使用权的流转，土地使用权的取得、使用年限、利用方式、利用规划等方面有严格控制，所以进行土地使用权价格评估时，必须确保咨询对象来源合法、利用合法。同时，土地咨询还有遵循相关法律法规的规定。</w:t>
      </w:r>
      <w:r>
        <w:rPr>
          <w:rFonts w:ascii="Arial" w:eastAsia="Arial" w:hAnsi="Arial" w:cs="Arial"/>
          <w:sz w:val="28"/>
        </w:rPr>
        <w:t xml:space="preserve"> </w:t>
      </w:r>
    </w:p>
    <w:p w14:paraId="24D659DE" w14:textId="77777777" w:rsidR="00E70101" w:rsidRDefault="0060680B">
      <w:pPr>
        <w:spacing w:line="360" w:lineRule="auto"/>
        <w:ind w:firstLine="630"/>
        <w:jc w:val="both"/>
        <w:rPr>
          <w:rFonts w:eastAsia="仿宋_GB2312;仿宋"/>
        </w:rPr>
      </w:pPr>
      <w:r>
        <w:rPr>
          <w:rFonts w:ascii="Arial" w:eastAsia="仿宋_GB2312;仿宋" w:hAnsi="Arial" w:cs="Arial"/>
          <w:sz w:val="28"/>
        </w:rPr>
        <w:t>合法权益包括合法产权、合法使用和合法处分等。在合法产权方面应以房地产权属证书、权属档案的记载或其他合法证件为依据；在合法使用方面应以使用管制，如城市规划、土地用途管制等为依据；在合法处分方面应以法律、法规或合同等允许的处分方式为依据。所以估算时，土地的权益不是可以由委托人或咨询人员假设确定的，而是应当具有合法的依据。</w:t>
      </w:r>
      <w:r>
        <w:rPr>
          <w:rFonts w:ascii="Arial" w:eastAsia="Arial" w:hAnsi="Arial" w:cs="Arial"/>
          <w:sz w:val="28"/>
        </w:rPr>
        <w:t xml:space="preserve"> </w:t>
      </w:r>
    </w:p>
    <w:p w14:paraId="4E427270" w14:textId="77777777" w:rsidR="00E70101" w:rsidRDefault="0060680B">
      <w:pPr>
        <w:spacing w:line="360" w:lineRule="auto"/>
        <w:ind w:firstLine="630"/>
        <w:jc w:val="both"/>
        <w:rPr>
          <w:rFonts w:eastAsia="仿宋_GB2312;仿宋"/>
        </w:rPr>
      </w:pPr>
      <w:r>
        <w:rPr>
          <w:rFonts w:ascii="Arial" w:eastAsia="仿宋_GB2312;仿宋" w:hAnsi="Arial" w:cs="Arial"/>
          <w:sz w:val="28"/>
        </w:rPr>
        <w:t>2</w:t>
      </w:r>
      <w:r>
        <w:rPr>
          <w:rFonts w:ascii="Arial" w:eastAsia="仿宋_GB2312;仿宋" w:hAnsi="Arial" w:cs="Arial"/>
          <w:sz w:val="28"/>
        </w:rPr>
        <w:t>、替代原则</w:t>
      </w:r>
      <w:r>
        <w:rPr>
          <w:rFonts w:ascii="Arial" w:eastAsia="Arial" w:hAnsi="Arial" w:cs="Arial"/>
          <w:sz w:val="28"/>
        </w:rPr>
        <w:t xml:space="preserve"> </w:t>
      </w:r>
    </w:p>
    <w:p w14:paraId="662D15E4" w14:textId="77777777" w:rsidR="00E70101" w:rsidRDefault="0060680B">
      <w:pPr>
        <w:spacing w:line="360" w:lineRule="auto"/>
        <w:ind w:firstLine="630"/>
        <w:jc w:val="both"/>
        <w:rPr>
          <w:rFonts w:eastAsia="仿宋_GB2312;仿宋"/>
        </w:rPr>
      </w:pPr>
      <w:r>
        <w:rPr>
          <w:rFonts w:ascii="Arial" w:eastAsia="仿宋_GB2312;仿宋" w:hAnsi="Arial" w:cs="Arial"/>
          <w:sz w:val="28"/>
        </w:rPr>
        <w:t>替代原则是指土地估算应以相邻地区或类似地区功能相同、条件相似的土地市场交易价格为依据，咨询结果不得明显偏离具有替代性质的土地正常价格。</w:t>
      </w:r>
      <w:r>
        <w:rPr>
          <w:rFonts w:ascii="Arial" w:eastAsia="Arial" w:hAnsi="Arial" w:cs="Arial"/>
          <w:sz w:val="28"/>
        </w:rPr>
        <w:t xml:space="preserve"> </w:t>
      </w:r>
    </w:p>
    <w:p w14:paraId="6AADB88C" w14:textId="77777777" w:rsidR="00E70101" w:rsidRDefault="0060680B">
      <w:pPr>
        <w:spacing w:line="360" w:lineRule="auto"/>
        <w:ind w:firstLine="630"/>
        <w:jc w:val="both"/>
        <w:rPr>
          <w:rFonts w:eastAsia="仿宋_GB2312;仿宋"/>
        </w:rPr>
      </w:pPr>
      <w:r>
        <w:rPr>
          <w:rFonts w:ascii="Arial" w:eastAsia="仿宋_GB2312;仿宋" w:hAnsi="Arial" w:cs="Arial"/>
          <w:sz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r>
        <w:rPr>
          <w:rFonts w:ascii="Arial" w:eastAsia="Arial" w:hAnsi="Arial" w:cs="Arial"/>
          <w:sz w:val="28"/>
        </w:rPr>
        <w:t xml:space="preserve">     </w:t>
      </w:r>
    </w:p>
    <w:p w14:paraId="258DC234" w14:textId="77777777" w:rsidR="00E70101" w:rsidRDefault="0060680B">
      <w:pPr>
        <w:spacing w:line="360" w:lineRule="auto"/>
        <w:ind w:firstLine="630"/>
        <w:jc w:val="both"/>
        <w:rPr>
          <w:rFonts w:eastAsia="仿宋_GB2312;仿宋"/>
        </w:rPr>
      </w:pPr>
      <w:r>
        <w:rPr>
          <w:rFonts w:ascii="Arial" w:eastAsia="仿宋_GB2312;仿宋" w:hAnsi="Arial" w:cs="Arial"/>
          <w:sz w:val="28"/>
        </w:rPr>
        <w:t>替代原则可以概括为三点：（</w:t>
      </w:r>
      <w:r>
        <w:rPr>
          <w:rFonts w:ascii="Arial" w:eastAsia="仿宋_GB2312;仿宋" w:hAnsi="Arial" w:cs="Arial"/>
          <w:sz w:val="28"/>
        </w:rPr>
        <w:t>1</w:t>
      </w:r>
      <w:r>
        <w:rPr>
          <w:rFonts w:ascii="Arial" w:eastAsia="仿宋_GB2312;仿宋" w:hAnsi="Arial" w:cs="Arial"/>
          <w:sz w:val="28"/>
        </w:rPr>
        <w:t>）土地价格水平由具有相同性质的替代性土地的价格所决定；（</w:t>
      </w:r>
      <w:r>
        <w:rPr>
          <w:rFonts w:ascii="Arial" w:eastAsia="仿宋_GB2312;仿宋" w:hAnsi="Arial" w:cs="Arial"/>
          <w:sz w:val="28"/>
        </w:rPr>
        <w:t>2</w:t>
      </w:r>
      <w:r>
        <w:rPr>
          <w:rFonts w:ascii="Arial" w:eastAsia="仿宋_GB2312;仿宋" w:hAnsi="Arial" w:cs="Arial"/>
          <w:sz w:val="28"/>
        </w:rPr>
        <w:t>）土地价格水平是由最了解行情的买卖者按市场交易实例相互比较后决定；（</w:t>
      </w:r>
      <w:r>
        <w:rPr>
          <w:rFonts w:ascii="Arial" w:eastAsia="仿宋_GB2312;仿宋" w:hAnsi="Arial" w:cs="Arial"/>
          <w:sz w:val="28"/>
        </w:rPr>
        <w:t>3</w:t>
      </w:r>
      <w:r>
        <w:rPr>
          <w:rFonts w:ascii="Arial" w:eastAsia="仿宋_GB2312;仿宋" w:hAnsi="Arial" w:cs="Arial"/>
          <w:sz w:val="28"/>
        </w:rPr>
        <w:t>）土地价格可以通过比较地块的条件及使用价值来确定。因此，替代原则中所指土地估算应以相邻地区或类似地区功能相同、条件相似的土地市场交易价格为依据，咨询结果不得明显偏离具有替代性质的土地正常价格。</w:t>
      </w:r>
      <w:r>
        <w:rPr>
          <w:rFonts w:ascii="Arial" w:eastAsia="Arial" w:hAnsi="Arial" w:cs="Arial"/>
          <w:sz w:val="28"/>
        </w:rPr>
        <w:t xml:space="preserve"> </w:t>
      </w:r>
    </w:p>
    <w:p w14:paraId="4A601B95"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替代原则的适用范围广，是本次咨询成本逼近法中土地取得费的理论基础。</w:t>
      </w:r>
    </w:p>
    <w:p w14:paraId="640F0309" w14:textId="77777777" w:rsidR="00E70101" w:rsidRDefault="0060680B">
      <w:pPr>
        <w:spacing w:line="360" w:lineRule="auto"/>
        <w:ind w:firstLine="630"/>
        <w:jc w:val="both"/>
        <w:rPr>
          <w:rFonts w:eastAsia="仿宋_GB2312;仿宋"/>
        </w:rPr>
      </w:pPr>
      <w:r>
        <w:rPr>
          <w:rFonts w:ascii="Arial" w:eastAsia="仿宋_GB2312;仿宋" w:hAnsi="Arial" w:cs="Arial"/>
          <w:sz w:val="28"/>
        </w:rPr>
        <w:t xml:space="preserve">3. </w:t>
      </w:r>
      <w:r>
        <w:rPr>
          <w:rFonts w:ascii="Arial" w:eastAsia="仿宋_GB2312;仿宋" w:hAnsi="Arial" w:cs="Arial"/>
          <w:sz w:val="28"/>
        </w:rPr>
        <w:t>最有效利用原则</w:t>
      </w:r>
      <w:r>
        <w:rPr>
          <w:rFonts w:ascii="Arial" w:eastAsia="Arial" w:hAnsi="Arial" w:cs="Arial"/>
          <w:sz w:val="28"/>
        </w:rPr>
        <w:t xml:space="preserve"> </w:t>
      </w:r>
    </w:p>
    <w:p w14:paraId="2EF45D4B" w14:textId="77777777" w:rsidR="00E70101" w:rsidRDefault="0060680B">
      <w:pPr>
        <w:spacing w:line="360" w:lineRule="auto"/>
        <w:ind w:firstLine="630"/>
        <w:jc w:val="both"/>
        <w:rPr>
          <w:rFonts w:eastAsia="仿宋_GB2312;仿宋"/>
        </w:rPr>
      </w:pPr>
      <w:r>
        <w:rPr>
          <w:rFonts w:ascii="Arial" w:eastAsia="仿宋_GB2312;仿宋" w:hAnsi="Arial" w:cs="Arial"/>
          <w:sz w:val="28"/>
        </w:rPr>
        <w:t>最有效利用原则是指土地估算应以咨询对象的最有效利用为前提条件。判断土地的最有效利用以土地利用符合其自身利用条件、法律法规政策及规划限制、市场要求和最佳利用程度等。</w:t>
      </w:r>
      <w:r>
        <w:rPr>
          <w:rFonts w:ascii="Arial" w:eastAsia="Arial" w:hAnsi="Arial" w:cs="Arial"/>
          <w:sz w:val="28"/>
        </w:rPr>
        <w:t xml:space="preserve"> </w:t>
      </w:r>
    </w:p>
    <w:p w14:paraId="6FABC4BC" w14:textId="77777777" w:rsidR="00E70101" w:rsidRDefault="0060680B">
      <w:pPr>
        <w:spacing w:line="360" w:lineRule="auto"/>
        <w:ind w:firstLine="630"/>
        <w:jc w:val="both"/>
        <w:rPr>
          <w:rFonts w:eastAsia="仿宋_GB2312;仿宋"/>
        </w:rPr>
      </w:pPr>
      <w:r>
        <w:rPr>
          <w:rFonts w:ascii="Arial" w:eastAsia="仿宋_GB2312;仿宋" w:hAnsi="Arial" w:cs="Arial"/>
          <w:sz w:val="28"/>
        </w:rPr>
        <w:t>最有效利用原则是经济学中效用最大化原理在土地估算中的具体运用。土地具有用途的多样性，土地不同的利用方式会给权利人带来不同的收益，而土地权利人都期望从其占有的土地上获取更大的收益，并以此作为确定土地利用方式的依据。因此，土地价格应该是土地在获利最大的利用方式下的价格。</w:t>
      </w:r>
      <w:r>
        <w:rPr>
          <w:rFonts w:ascii="Arial" w:eastAsia="Arial" w:hAnsi="Arial" w:cs="Arial"/>
          <w:sz w:val="28"/>
        </w:rPr>
        <w:t xml:space="preserve"> </w:t>
      </w:r>
    </w:p>
    <w:p w14:paraId="2BA74CDF" w14:textId="77777777" w:rsidR="00E70101" w:rsidRDefault="0060680B">
      <w:pPr>
        <w:spacing w:line="360" w:lineRule="auto"/>
        <w:ind w:firstLine="630"/>
        <w:jc w:val="both"/>
        <w:rPr>
          <w:rFonts w:eastAsia="仿宋_GB2312;仿宋"/>
        </w:rPr>
      </w:pPr>
      <w:r>
        <w:rPr>
          <w:rFonts w:ascii="Arial" w:eastAsia="仿宋_GB2312;仿宋" w:hAnsi="Arial" w:cs="Arial"/>
          <w:sz w:val="28"/>
        </w:rPr>
        <w:t>根据最有效利用原则，土地估算不应受土地现实利用状况所限制，应该对最有效利用进行正确的判断。依据四项准则：（</w:t>
      </w:r>
      <w:r>
        <w:rPr>
          <w:rFonts w:ascii="Arial" w:eastAsia="仿宋_GB2312;仿宋" w:hAnsi="Arial" w:cs="Arial"/>
          <w:sz w:val="28"/>
        </w:rPr>
        <w:t>1</w:t>
      </w:r>
      <w:r>
        <w:rPr>
          <w:rFonts w:ascii="Arial" w:eastAsia="仿宋_GB2312;仿宋" w:hAnsi="Arial" w:cs="Arial"/>
          <w:sz w:val="28"/>
        </w:rPr>
        <w:t>）法律上许可，即最有效利用应以合法利用为前提，在法律法规政策及规划限制内利用；（</w:t>
      </w:r>
      <w:r>
        <w:rPr>
          <w:rFonts w:ascii="Arial" w:eastAsia="仿宋_GB2312;仿宋" w:hAnsi="Arial" w:cs="Arial"/>
          <w:sz w:val="28"/>
        </w:rPr>
        <w:t>2</w:t>
      </w:r>
      <w:r>
        <w:rPr>
          <w:rFonts w:ascii="Arial" w:eastAsia="仿宋_GB2312;仿宋" w:hAnsi="Arial" w:cs="Arial"/>
          <w:sz w:val="28"/>
        </w:rPr>
        <w:t>）工程技术上可行，现在的工程技术水平能满足土地利用方式的技术需求，土地利用应符合其自身利用条件；（</w:t>
      </w:r>
      <w:r>
        <w:rPr>
          <w:rFonts w:ascii="Arial" w:eastAsia="仿宋_GB2312;仿宋" w:hAnsi="Arial" w:cs="Arial"/>
          <w:sz w:val="28"/>
        </w:rPr>
        <w:t>3</w:t>
      </w:r>
      <w:r>
        <w:rPr>
          <w:rFonts w:ascii="Arial" w:eastAsia="仿宋_GB2312;仿宋" w:hAnsi="Arial" w:cs="Arial"/>
          <w:sz w:val="28"/>
        </w:rPr>
        <w:t>）经济上可行，土地的利用方式具有市场需求及能否获利；（</w:t>
      </w:r>
      <w:r>
        <w:rPr>
          <w:rFonts w:ascii="Arial" w:eastAsia="仿宋_GB2312;仿宋" w:hAnsi="Arial" w:cs="Arial"/>
          <w:sz w:val="28"/>
        </w:rPr>
        <w:t>4</w:t>
      </w:r>
      <w:r>
        <w:rPr>
          <w:rFonts w:ascii="Arial" w:eastAsia="仿宋_GB2312;仿宋" w:hAnsi="Arial" w:cs="Arial"/>
          <w:sz w:val="28"/>
        </w:rPr>
        <w:t>）价值最大化，在具备上述三项条件的前提下，将具有经济可行性的各种可能利用方式进行比较，回报最大的利用方式即最有效利用方式。</w:t>
      </w:r>
      <w:r>
        <w:rPr>
          <w:rFonts w:ascii="Arial" w:eastAsia="Arial" w:hAnsi="Arial" w:cs="Arial"/>
          <w:sz w:val="28"/>
        </w:rPr>
        <w:t xml:space="preserve"> </w:t>
      </w:r>
    </w:p>
    <w:p w14:paraId="4C3CC221" w14:textId="77777777" w:rsidR="00E70101" w:rsidRDefault="0060680B">
      <w:pPr>
        <w:spacing w:line="360" w:lineRule="auto"/>
        <w:ind w:firstLine="630"/>
        <w:jc w:val="both"/>
      </w:pPr>
      <w:r>
        <w:rPr>
          <w:rFonts w:ascii="Arial" w:eastAsia="仿宋_GB2312;仿宋" w:hAnsi="Arial" w:cs="Arial"/>
          <w:sz w:val="28"/>
        </w:rPr>
        <w:t>实际中的应用有两种情况：一是假定为空地条件下的最有效利用，适用于土地开发或房地产开发；二是保持现状条件下的最有效利用，一般是指已建成的房地产在继续利用状态下的土地估算。</w:t>
      </w:r>
      <w:r>
        <w:rPr>
          <w:rFonts w:ascii="Arial" w:eastAsia="Arial" w:hAnsi="Arial" w:cs="Arial"/>
          <w:sz w:val="28"/>
        </w:rPr>
        <w:t xml:space="preserve"> </w:t>
      </w:r>
      <w:r>
        <w:rPr>
          <w:rFonts w:ascii="Arial" w:eastAsia="仿宋_GB2312;仿宋" w:hAnsi="Arial" w:cs="Arial"/>
          <w:sz w:val="28"/>
        </w:rPr>
        <w:t>最有效利用原则是土地估算的基本原则，土地估算应以土地的最有效利用为前提。最有效利用原则与变动原则和预期收益原则关系密切，在判断最有效利用时，以变动原则和预期收益原则为基础，即土地最有效利用是对土地的过去，现在和将来作长远考虑后确定。</w:t>
      </w:r>
    </w:p>
    <w:p w14:paraId="51F051E4"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供需原则</w:t>
      </w:r>
    </w:p>
    <w:p w14:paraId="0B8272DF" w14:textId="77777777" w:rsidR="00E70101" w:rsidRDefault="0060680B">
      <w:pPr>
        <w:spacing w:line="360" w:lineRule="auto"/>
        <w:ind w:firstLine="630"/>
        <w:jc w:val="both"/>
      </w:pPr>
      <w:r>
        <w:rPr>
          <w:rFonts w:ascii="Arial" w:eastAsia="仿宋_GB2312;仿宋" w:hAnsi="Arial" w:cs="Arial"/>
          <w:sz w:val="28"/>
        </w:rPr>
        <w:t>土地估算应以市场供需决定土地价格为依据，并充分考虑土地供需的特殊性和土地市场的地域性。</w:t>
      </w:r>
    </w:p>
    <w:p w14:paraId="267D7CBA"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在完全的自由市场中，一般商品的价格，取决于需求与供给关系的均衡点。需求超过供给，价格随之提高；反之，供给超过需求，价格随之下降，这就是供求均衡法则。土地也是一样，其价格也是由需求与供给的互相关系而定。但因为土地不同于一般商品，具有一些人文与自然特性，使得它除了遵循上述供求均衡以外，也遵循其特有的供求规律。</w:t>
      </w:r>
    </w:p>
    <w:p w14:paraId="3726A963"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由于土地具有地理位置的固定性、不增性、个别性等自然特性，使价格独占性较强，需求与供给都限于局部地区，供给量有限，竞争主要是在需求方面进行。即土地不能实行完全竞争，其价格的独占倾向性较强。</w:t>
      </w:r>
    </w:p>
    <w:p w14:paraId="613D0F2F"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因此，土地不能仅根据均衡法则来决定价格。尤其在我国城市土地属国家所有，市场中能够流动的仅是有限年期的土地使用权，土地供方主要由国家控制，这一因素对地价具有至关重要的影响。</w:t>
      </w:r>
    </w:p>
    <w:p w14:paraId="7E7C5E34" w14:textId="77777777" w:rsidR="00E70101" w:rsidRDefault="0060680B">
      <w:pPr>
        <w:spacing w:line="360" w:lineRule="auto"/>
        <w:ind w:firstLine="630"/>
        <w:jc w:val="both"/>
        <w:rPr>
          <w:rFonts w:eastAsia="仿宋_GB2312;仿宋"/>
        </w:rPr>
      </w:pPr>
      <w:r>
        <w:rPr>
          <w:rFonts w:ascii="Arial" w:eastAsia="仿宋_GB2312;仿宋" w:hAnsi="Arial" w:cs="Arial"/>
          <w:sz w:val="28"/>
        </w:rPr>
        <w:t>5.</w:t>
      </w:r>
      <w:r>
        <w:rPr>
          <w:rFonts w:ascii="Arial" w:eastAsia="仿宋_GB2312;仿宋" w:hAnsi="Arial" w:cs="Arial"/>
          <w:sz w:val="28"/>
        </w:rPr>
        <w:t>贡献原则</w:t>
      </w:r>
      <w:r>
        <w:rPr>
          <w:rFonts w:ascii="Arial" w:eastAsia="Arial" w:hAnsi="Arial" w:cs="Arial"/>
          <w:sz w:val="28"/>
        </w:rPr>
        <w:t xml:space="preserve"> </w:t>
      </w:r>
    </w:p>
    <w:p w14:paraId="0436F2D2" w14:textId="77777777" w:rsidR="00E70101" w:rsidRDefault="0060680B">
      <w:pPr>
        <w:spacing w:line="360" w:lineRule="auto"/>
        <w:ind w:firstLine="630"/>
        <w:jc w:val="both"/>
        <w:rPr>
          <w:rFonts w:eastAsia="仿宋_GB2312;仿宋"/>
        </w:rPr>
      </w:pPr>
      <w:r>
        <w:rPr>
          <w:rFonts w:ascii="Arial" w:eastAsia="仿宋_GB2312;仿宋" w:hAnsi="Arial" w:cs="Arial"/>
          <w:sz w:val="28"/>
        </w:rPr>
        <w:t>根据《指引》，国有建设用地使用权收购补偿价格包括：土地使用权价格、建筑物价格、附属物价格、因土地收购造成的无法恢复使用的设施设备补偿价格、因土地收购造成的停产停业损失补偿费用及搬迁补偿费用，由于该价格构成的特殊性，土地使用权价格仅为收购补偿价格其中之一，与其他补偿项目共同发挥贡献构成完整的收购补偿价格。</w:t>
      </w:r>
      <w:r>
        <w:rPr>
          <w:rFonts w:ascii="Arial" w:eastAsia="Arial" w:hAnsi="Arial" w:cs="Arial"/>
          <w:sz w:val="28"/>
        </w:rPr>
        <w:t xml:space="preserve"> </w:t>
      </w:r>
    </w:p>
    <w:p w14:paraId="4B0E1491"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 xml:space="preserve">6. </w:t>
      </w:r>
      <w:r>
        <w:rPr>
          <w:rFonts w:ascii="Arial" w:eastAsia="仿宋_GB2312;仿宋" w:hAnsi="Arial" w:cs="Arial"/>
          <w:sz w:val="28"/>
        </w:rPr>
        <w:t>谨慎性原则</w:t>
      </w:r>
    </w:p>
    <w:p w14:paraId="7637D3F1" w14:textId="77777777" w:rsidR="00E70101" w:rsidRDefault="0060680B">
      <w:pPr>
        <w:spacing w:line="360" w:lineRule="auto"/>
        <w:ind w:firstLine="630"/>
        <w:jc w:val="both"/>
        <w:rPr>
          <w:rFonts w:eastAsia="仿宋_GB2312;仿宋"/>
        </w:rPr>
      </w:pPr>
      <w:r>
        <w:rPr>
          <w:rFonts w:ascii="Arial" w:eastAsia="仿宋_GB2312;仿宋" w:hAnsi="Arial" w:cs="Arial"/>
          <w:sz w:val="28"/>
        </w:rPr>
        <w:t>谨慎性原则是指在评估中确定相关参数和结果时，应分析并充分考虑土地市场运行状况、有关行业发展状况，以及存在的风险。在不确定性条件下做出估计和判断时要保持一定程度的谨慎性，以便不高估也不低估咨询对象的价值。</w:t>
      </w:r>
      <w:r>
        <w:rPr>
          <w:rFonts w:ascii="Arial" w:eastAsia="Arial" w:hAnsi="Arial" w:cs="Arial"/>
          <w:sz w:val="28"/>
        </w:rPr>
        <w:t xml:space="preserve"> </w:t>
      </w:r>
    </w:p>
    <w:p w14:paraId="56CAB983" w14:textId="77777777" w:rsidR="00E70101" w:rsidRDefault="0060680B">
      <w:pPr>
        <w:spacing w:line="360" w:lineRule="auto"/>
        <w:ind w:firstLine="560"/>
        <w:jc w:val="both"/>
        <w:rPr>
          <w:rFonts w:ascii="Arial" w:eastAsia="仿宋_GB2312;仿宋" w:hAnsi="Arial" w:cs="Arial"/>
          <w:b/>
          <w:sz w:val="28"/>
        </w:rPr>
      </w:pPr>
      <w:r>
        <w:rPr>
          <w:rFonts w:ascii="Arial" w:eastAsia="仿宋_GB2312;仿宋" w:hAnsi="Arial" w:cs="Arial"/>
          <w:sz w:val="28"/>
        </w:rPr>
        <w:t>本次咨询考虑咨询对象的具体情况，结合咨询目的，在咨询过程中确定相关参数和结果时，仔细分析并充分考虑土地市场运行状况、有关行业发展状况、存在的风险，严格遵循着谨慎性原则。行细致分析，预测以待估宗地在正常利用条件下的未来客观有效的预期收益。</w:t>
      </w:r>
    </w:p>
    <w:p w14:paraId="3A3BC542" w14:textId="77777777" w:rsidR="00E70101" w:rsidRDefault="0060680B">
      <w:pPr>
        <w:spacing w:line="360" w:lineRule="auto"/>
        <w:jc w:val="both"/>
        <w:outlineLvl w:val="1"/>
        <w:rPr>
          <w:rFonts w:ascii="Arial" w:eastAsia="仿宋_GB2312;仿宋" w:hAnsi="Arial" w:cs="Arial"/>
          <w:b/>
          <w:sz w:val="28"/>
        </w:rPr>
      </w:pPr>
      <w:bookmarkStart w:id="42" w:name="__RefHeading___Toc530042258"/>
      <w:bookmarkEnd w:id="42"/>
      <w:r>
        <w:rPr>
          <w:rFonts w:ascii="Arial" w:eastAsia="仿宋_GB2312;仿宋" w:hAnsi="Arial" w:cs="Arial"/>
          <w:b/>
          <w:sz w:val="28"/>
        </w:rPr>
        <w:t>二、咨询方法与咨询过程</w:t>
      </w:r>
    </w:p>
    <w:p w14:paraId="220B59AF" w14:textId="77777777" w:rsidR="00E70101" w:rsidRDefault="0060680B">
      <w:pPr>
        <w:pStyle w:val="LO-Normal"/>
        <w:autoSpaceDE w:val="0"/>
        <w:spacing w:line="360" w:lineRule="auto"/>
        <w:ind w:right="140"/>
        <w:jc w:val="both"/>
        <w:textAlignment w:val="bottom"/>
        <w:rPr>
          <w:rFonts w:ascii="Arial" w:eastAsia="仿宋_GB2312;仿宋" w:hAnsi="Arial" w:cs="Arial"/>
          <w:bCs/>
          <w:sz w:val="28"/>
        </w:rPr>
      </w:pPr>
      <w:r>
        <w:rPr>
          <w:rFonts w:ascii="Arial" w:eastAsia="仿宋_GB2312;仿宋" w:hAnsi="Arial" w:cs="Arial"/>
          <w:bCs/>
          <w:sz w:val="28"/>
        </w:rPr>
        <w:t>（一）咨询方法</w:t>
      </w:r>
    </w:p>
    <w:p w14:paraId="287C46D9" w14:textId="77777777" w:rsidR="00E70101" w:rsidRDefault="0060680B">
      <w:pPr>
        <w:tabs>
          <w:tab w:val="left" w:pos="3996"/>
        </w:tabs>
        <w:spacing w:line="360" w:lineRule="auto"/>
        <w:ind w:firstLine="63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方法选择</w:t>
      </w:r>
      <w:r>
        <w:rPr>
          <w:rFonts w:ascii="Arial" w:eastAsia="仿宋_GB2312;仿宋" w:hAnsi="Arial" w:cs="Arial"/>
          <w:sz w:val="28"/>
        </w:rPr>
        <w:tab/>
      </w:r>
    </w:p>
    <w:p w14:paraId="42B6B61E" w14:textId="77777777" w:rsidR="00E70101" w:rsidRDefault="0060680B">
      <w:pPr>
        <w:spacing w:line="360" w:lineRule="auto"/>
        <w:ind w:firstLine="630"/>
        <w:jc w:val="both"/>
      </w:pPr>
      <w:r>
        <w:rPr>
          <w:rFonts w:ascii="Arial" w:eastAsia="仿宋_GB2312;仿宋" w:hAnsi="Arial" w:cs="Arial"/>
          <w:sz w:val="28"/>
        </w:rPr>
        <w:t>本报告咨询目的是为委托方了解土地收购储备可能形成的价格。根据咨询对象现状条件及《关于发布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2018</w:t>
      </w:r>
      <w:r>
        <w:rPr>
          <w:rFonts w:ascii="Arial" w:eastAsia="仿宋_GB2312;仿宋" w:hAnsi="Arial" w:cs="Arial"/>
          <w:sz w:val="28"/>
        </w:rPr>
        <w:t>）</w:t>
      </w:r>
      <w:r>
        <w:rPr>
          <w:rFonts w:ascii="Arial" w:eastAsia="仿宋_GB2312;仿宋" w:hAnsi="Arial" w:cs="Arial"/>
          <w:sz w:val="28"/>
        </w:rPr>
        <w:t>004</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，确定估算思路如下：</w:t>
      </w:r>
    </w:p>
    <w:p w14:paraId="76757B15" w14:textId="77777777" w:rsidR="00E70101" w:rsidRDefault="0060680B">
      <w:pPr>
        <w:autoSpaceDE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土地收购补偿价格</w:t>
      </w:r>
      <w:r>
        <w:rPr>
          <w:rFonts w:ascii="Arial" w:eastAsia="仿宋_GB2312;仿宋" w:hAnsi="Arial" w:cs="Arial"/>
          <w:sz w:val="28"/>
        </w:rPr>
        <w:t>=</w:t>
      </w:r>
      <w:r>
        <w:rPr>
          <w:rFonts w:ascii="Arial" w:eastAsia="仿宋_GB2312;仿宋" w:hAnsi="Arial" w:cs="Arial"/>
          <w:sz w:val="28"/>
        </w:rPr>
        <w:t>土地使用权价格</w:t>
      </w:r>
      <w:r>
        <w:rPr>
          <w:rFonts w:ascii="Arial" w:eastAsia="仿宋_GB2312;仿宋" w:hAnsi="Arial" w:cs="Arial"/>
          <w:sz w:val="28"/>
        </w:rPr>
        <w:t>+</w:t>
      </w:r>
      <w:r>
        <w:rPr>
          <w:rFonts w:ascii="Arial" w:eastAsia="仿宋_GB2312;仿宋" w:hAnsi="Arial" w:cs="Arial"/>
          <w:sz w:val="28"/>
        </w:rPr>
        <w:t>房屋重置成新价</w:t>
      </w:r>
      <w:r>
        <w:rPr>
          <w:rFonts w:ascii="Arial" w:eastAsia="仿宋_GB2312;仿宋" w:hAnsi="Arial" w:cs="Arial"/>
          <w:sz w:val="28"/>
        </w:rPr>
        <w:t>+</w:t>
      </w:r>
      <w:r>
        <w:rPr>
          <w:rFonts w:ascii="Arial" w:eastAsia="仿宋_GB2312;仿宋" w:hAnsi="Arial" w:cs="Arial"/>
          <w:sz w:val="28"/>
        </w:rPr>
        <w:t>附属物价格</w:t>
      </w:r>
      <w:r>
        <w:rPr>
          <w:rFonts w:ascii="Arial" w:eastAsia="仿宋_GB2312;仿宋" w:hAnsi="Arial" w:cs="Arial"/>
          <w:sz w:val="28"/>
        </w:rPr>
        <w:t>+</w:t>
      </w:r>
      <w:r>
        <w:rPr>
          <w:rFonts w:ascii="Arial" w:eastAsia="仿宋_GB2312;仿宋" w:hAnsi="Arial" w:cs="Arial"/>
          <w:sz w:val="28"/>
        </w:rPr>
        <w:t>无法恢复使用的设施设备补偿价</w:t>
      </w:r>
      <w:r>
        <w:rPr>
          <w:rFonts w:ascii="Arial" w:eastAsia="仿宋_GB2312;仿宋" w:hAnsi="Arial" w:cs="Arial"/>
          <w:sz w:val="28"/>
        </w:rPr>
        <w:t>+</w:t>
      </w:r>
      <w:r>
        <w:rPr>
          <w:rFonts w:ascii="Arial" w:eastAsia="仿宋_GB2312;仿宋" w:hAnsi="Arial" w:cs="Arial"/>
          <w:sz w:val="28"/>
        </w:rPr>
        <w:t>停产停业损失补偿费用</w:t>
      </w:r>
      <w:r>
        <w:rPr>
          <w:rFonts w:ascii="Arial" w:eastAsia="仿宋_GB2312;仿宋" w:hAnsi="Arial" w:cs="Arial"/>
          <w:sz w:val="28"/>
        </w:rPr>
        <w:t>+</w:t>
      </w:r>
      <w:r>
        <w:rPr>
          <w:rFonts w:ascii="Arial" w:eastAsia="仿宋_GB2312;仿宋" w:hAnsi="Arial" w:cs="Arial"/>
          <w:sz w:val="28"/>
        </w:rPr>
        <w:t>搬迁、临时安置补偿费用</w:t>
      </w:r>
    </w:p>
    <w:p w14:paraId="13FFBAD6" w14:textId="434BFD86" w:rsidR="00E70101" w:rsidRDefault="000B7BF1">
      <w:pPr>
        <w:autoSpaceDE w:val="0"/>
        <w:spacing w:line="360" w:lineRule="auto"/>
        <w:ind w:firstLine="560"/>
        <w:jc w:val="both"/>
        <w:textAlignment w:val="bottom"/>
      </w:pPr>
      <w:r>
        <w:rPr>
          <w:rFonts w:ascii="Arial" w:eastAsia="仿宋_GB2312;仿宋" w:hAnsi="Arial" w:cs="Arial"/>
          <w:sz w:val="28"/>
        </w:rPr>
        <w:t>根据《城镇土地估价</w:t>
      </w:r>
      <w:r w:rsidR="0060680B">
        <w:rPr>
          <w:rFonts w:ascii="Arial" w:eastAsia="仿宋_GB2312;仿宋" w:hAnsi="Arial" w:cs="Arial"/>
          <w:sz w:val="28"/>
        </w:rPr>
        <w:t>规程》</w:t>
      </w:r>
      <w:r w:rsidR="0060680B">
        <w:rPr>
          <w:rFonts w:ascii="Arial" w:eastAsia="仿宋_GB2312;仿宋" w:hAnsi="Arial" w:cs="Arial"/>
          <w:sz w:val="28"/>
        </w:rPr>
        <w:t>[GB/T 18508-2014]</w:t>
      </w:r>
      <w:r w:rsidR="0060680B">
        <w:rPr>
          <w:rFonts w:ascii="Arial" w:eastAsia="仿宋_GB2312;仿宋" w:hAnsi="Arial" w:cs="Arial"/>
          <w:sz w:val="28"/>
        </w:rPr>
        <w:t>以及咨询对象的具体条件、用地性质及咨询目的，结合评估专业人员收集的有关资料，考虑到当地地产市场发育程度，选择评估方法。</w:t>
      </w:r>
    </w:p>
    <w:p w14:paraId="54AF4DED" w14:textId="77777777" w:rsidR="00E70101" w:rsidRDefault="0060680B">
      <w:pPr>
        <w:spacing w:line="360" w:lineRule="auto"/>
        <w:ind w:firstLine="560"/>
        <w:jc w:val="both"/>
      </w:pPr>
      <w:r>
        <w:rPr>
          <w:rFonts w:ascii="Arial" w:eastAsia="仿宋_GB2312;仿宋" w:hAnsi="Arial" w:cs="Arial"/>
          <w:sz w:val="28"/>
        </w:rPr>
        <w:t>根据《城镇土地估价规程》</w:t>
      </w:r>
      <w:r>
        <w:rPr>
          <w:rFonts w:ascii="Arial" w:eastAsia="仿宋_GB2312;仿宋" w:hAnsi="Arial" w:cs="Arial"/>
          <w:sz w:val="28"/>
        </w:rPr>
        <w:t>[GB/T18508-2014]</w:t>
      </w:r>
      <w:r>
        <w:rPr>
          <w:rFonts w:ascii="Arial" w:eastAsia="仿宋_GB2312;仿宋" w:hAnsi="Arial" w:cs="Arial"/>
          <w:sz w:val="28"/>
        </w:rPr>
        <w:t>，估算方法通常有市场比较法、收益还原法、成本逼近法、剩余法及基准地价系数修正法共五种估算方法。估算方法的选择应按照《城镇土地估价规程》，根据区域内地产市场发育情况并结合咨询对象的特点及咨询目的等，选择适当的估算方法。在一项土地估算中所选方法不少于两种。</w:t>
      </w:r>
    </w:p>
    <w:p w14:paraId="644D610D"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五种方法的定义及适用条件如下：</w:t>
      </w:r>
    </w:p>
    <w:p w14:paraId="07911567" w14:textId="77777777" w:rsidR="00E70101" w:rsidRDefault="0060680B">
      <w:pPr>
        <w:pStyle w:val="LO-Normal"/>
        <w:autoSpaceDE w:val="0"/>
        <w:spacing w:line="360" w:lineRule="auto"/>
        <w:ind w:right="6" w:firstLine="560"/>
        <w:jc w:val="both"/>
        <w:textAlignment w:val="bottom"/>
        <w:rPr>
          <w:rFonts w:ascii="Arial" w:eastAsia="仿宋_GB2312;仿宋" w:hAnsi="Arial" w:cs="Arial"/>
          <w:sz w:val="28"/>
        </w:rPr>
      </w:pPr>
      <w:r>
        <w:rPr>
          <w:rFonts w:ascii="Arial" w:eastAsia="仿宋_GB2312;仿宋" w:hAnsi="Arial" w:cs="Arial"/>
          <w:sz w:val="28"/>
        </w:rPr>
        <w:t>市场比较法：市场比较法是选取一定数量的可比实例，将它们与咨询对象进行比较，根据其间的差异对可比实例成交价格进行处理后得到咨询对象价值或价格的方法。市场比较法主要用于同类房地产数量较多、经常发生交易且具有一定可比性的房地产。</w:t>
      </w:r>
    </w:p>
    <w:p w14:paraId="63EED68D"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收益还原法：收益还原法是预测咨询对象的未来收益，利用报酬率或资本化率、收益乘数将未来收益转换为价值得到咨询价值或价格的方法。收益还原法适用于咨询对象或其同类房地产通常有租金等经济收入的收益性房地产。</w:t>
      </w:r>
    </w:p>
    <w:p w14:paraId="5CA9B9A9" w14:textId="77777777" w:rsidR="00E70101" w:rsidRDefault="0060680B">
      <w:pPr>
        <w:spacing w:line="360" w:lineRule="auto"/>
        <w:ind w:left="-2" w:firstLine="560"/>
        <w:jc w:val="both"/>
      </w:pPr>
      <w:r>
        <w:rPr>
          <w:rFonts w:ascii="Arial" w:eastAsia="仿宋_GB2312;仿宋" w:hAnsi="Arial" w:cs="Arial"/>
          <w:sz w:val="28"/>
        </w:rPr>
        <w:t>成本逼近法：成本逼近法是以取得和开发土地所耗费的各项费用之和为主要依据，再加上一定的利润、利息、应缴纳的税金和</w:t>
      </w:r>
      <w:hyperlink r:id="rId63" w:tgtFrame="_blank">
        <w:r>
          <w:rPr>
            <w:rStyle w:val="Internet"/>
            <w:rFonts w:ascii="Arial" w:eastAsia="仿宋_GB2312;仿宋" w:hAnsi="Arial" w:cs="Arial"/>
            <w:sz w:val="28"/>
          </w:rPr>
          <w:t>土地所有权</w:t>
        </w:r>
      </w:hyperlink>
      <w:r>
        <w:rPr>
          <w:rFonts w:ascii="Arial" w:eastAsia="仿宋_GB2312;仿宋" w:hAnsi="Arial" w:cs="Arial"/>
          <w:sz w:val="28"/>
        </w:rPr>
        <w:t>收益来确定</w:t>
      </w:r>
      <w:hyperlink r:id="rId64" w:tgtFrame="_blank">
        <w:r>
          <w:rPr>
            <w:rStyle w:val="Internet"/>
            <w:rFonts w:ascii="Arial" w:eastAsia="仿宋_GB2312;仿宋" w:hAnsi="Arial" w:cs="Arial"/>
            <w:sz w:val="28"/>
          </w:rPr>
          <w:t>土地价格</w:t>
        </w:r>
      </w:hyperlink>
      <w:r>
        <w:rPr>
          <w:rFonts w:ascii="Arial" w:eastAsia="仿宋_GB2312;仿宋" w:hAnsi="Arial" w:cs="Arial"/>
          <w:sz w:val="28"/>
        </w:rPr>
        <w:t>的估算方法。成本逼近法一般是用于新开发土地，或土地市场欠发育、交易实例少的地区的土地价格评估。</w:t>
      </w:r>
    </w:p>
    <w:p w14:paraId="76446B7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剩余法：是在估算开发完成后不动产正常交易价格的基础上，扣除建筑物建造费用和与建筑物建造、买卖有关费用后，以价格余额来确定咨询对象土地价格的一种方法。剩余法适用于具有开发投资价值或再开发潜力的房地产。</w:t>
      </w:r>
    </w:p>
    <w:p w14:paraId="39DAF990" w14:textId="77777777" w:rsidR="00E70101" w:rsidRDefault="0060680B">
      <w:pPr>
        <w:spacing w:line="360" w:lineRule="auto"/>
        <w:ind w:firstLine="560"/>
        <w:jc w:val="both"/>
      </w:pPr>
      <w:r>
        <w:rPr>
          <w:rFonts w:ascii="Arial" w:eastAsia="仿宋_GB2312;仿宋" w:hAnsi="Arial" w:cs="Arial"/>
          <w:sz w:val="28"/>
        </w:rPr>
        <w:t>基准地价系数修正法：该方法适用于政府或其有关部门已公布基准地价地区的土地估算。</w:t>
      </w:r>
    </w:p>
    <w:p w14:paraId="20A4DA9D" w14:textId="77777777" w:rsidR="00E70101" w:rsidRDefault="0060680B">
      <w:pPr>
        <w:pStyle w:val="23"/>
        <w:widowControl/>
        <w:tabs>
          <w:tab w:val="right" w:pos="8840"/>
        </w:tabs>
        <w:spacing w:line="360" w:lineRule="auto"/>
        <w:ind w:firstLine="560"/>
        <w:textAlignment w:val="bottom"/>
      </w:pPr>
      <w:r>
        <w:rPr>
          <w:rFonts w:ascii="Arial" w:eastAsia="仿宋_GB2312;仿宋" w:hAnsi="Arial" w:cs="Arial"/>
          <w:kern w:val="2"/>
        </w:rPr>
        <w:t>依据《关于发布</w:t>
      </w:r>
      <w:r>
        <w:rPr>
          <w:rFonts w:ascii="Arial" w:eastAsia="仿宋_GB2312;仿宋" w:hAnsi="Arial" w:cs="Arial"/>
          <w:kern w:val="2"/>
        </w:rPr>
        <w:t>&lt;</w:t>
      </w:r>
      <w:r>
        <w:rPr>
          <w:rFonts w:ascii="Arial" w:eastAsia="仿宋_GB2312;仿宋" w:hAnsi="Arial" w:cs="Arial"/>
          <w:kern w:val="2"/>
        </w:rPr>
        <w:t>北京市企业国有建设用地使用权收购补偿价格评估技术指引</w:t>
      </w:r>
      <w:r>
        <w:rPr>
          <w:rFonts w:ascii="Arial" w:eastAsia="仿宋_GB2312;仿宋" w:hAnsi="Arial" w:cs="Arial"/>
          <w:kern w:val="2"/>
        </w:rPr>
        <w:t>&gt;</w:t>
      </w:r>
      <w:r>
        <w:rPr>
          <w:rFonts w:ascii="Arial" w:eastAsia="仿宋_GB2312;仿宋" w:hAnsi="Arial" w:cs="Arial"/>
          <w:kern w:val="2"/>
        </w:rPr>
        <w:t>的通知》</w:t>
      </w:r>
      <w:r>
        <w:rPr>
          <w:rFonts w:ascii="Arial" w:eastAsia="仿宋_GB2312;仿宋" w:hAnsi="Arial" w:cs="Arial"/>
          <w:kern w:val="2"/>
        </w:rPr>
        <w:t>[</w:t>
      </w:r>
      <w:r>
        <w:rPr>
          <w:rFonts w:ascii="Arial" w:eastAsia="仿宋_GB2312;仿宋" w:hAnsi="Arial" w:cs="Arial"/>
          <w:kern w:val="2"/>
        </w:rPr>
        <w:t>北估秘（</w:t>
      </w:r>
      <w:r>
        <w:rPr>
          <w:rFonts w:ascii="Arial" w:eastAsia="仿宋_GB2312;仿宋" w:hAnsi="Arial" w:cs="Arial"/>
          <w:kern w:val="2"/>
        </w:rPr>
        <w:t>2018</w:t>
      </w:r>
      <w:r>
        <w:rPr>
          <w:rFonts w:ascii="Arial" w:eastAsia="仿宋_GB2312;仿宋" w:hAnsi="Arial" w:cs="Arial"/>
          <w:kern w:val="2"/>
        </w:rPr>
        <w:t>）</w:t>
      </w:r>
      <w:r>
        <w:rPr>
          <w:rFonts w:ascii="Arial" w:eastAsia="仿宋_GB2312;仿宋" w:hAnsi="Arial" w:cs="Arial"/>
          <w:kern w:val="2"/>
        </w:rPr>
        <w:t>004</w:t>
      </w:r>
      <w:r>
        <w:rPr>
          <w:rFonts w:ascii="Arial" w:eastAsia="仿宋_GB2312;仿宋" w:hAnsi="Arial" w:cs="Arial"/>
          <w:kern w:val="2"/>
        </w:rPr>
        <w:t>号</w:t>
      </w:r>
      <w:r>
        <w:rPr>
          <w:rFonts w:ascii="Arial" w:eastAsia="仿宋_GB2312;仿宋" w:hAnsi="Arial" w:cs="Arial"/>
          <w:kern w:val="2"/>
        </w:rPr>
        <w:t>]</w:t>
      </w:r>
      <w:r>
        <w:rPr>
          <w:rFonts w:ascii="Arial" w:eastAsia="仿宋_GB2312;仿宋" w:hAnsi="Arial" w:cs="Arial"/>
          <w:kern w:val="2"/>
        </w:rPr>
        <w:t>，</w:t>
      </w:r>
      <w:r>
        <w:rPr>
          <w:rFonts w:ascii="Arial" w:eastAsia="仿宋_GB2312;仿宋" w:hAnsi="Arial" w:cs="Arial"/>
        </w:rPr>
        <w:t>土地评估专业人员应综合考虑区位、用途、土地使用权类型、土地开发程度等价格影响因素，对估算方法进行适用性分析后，选用两种以上评估方法</w:t>
      </w:r>
      <w:r>
        <w:rPr>
          <w:rFonts w:ascii="Arial" w:eastAsia="仿宋_GB2312;仿宋" w:hAnsi="Arial" w:cs="Arial"/>
          <w:kern w:val="2"/>
        </w:rPr>
        <w:t>。</w:t>
      </w:r>
    </w:p>
    <w:p w14:paraId="6F636F95" w14:textId="77777777" w:rsidR="00E70101" w:rsidRDefault="0060680B">
      <w:pPr>
        <w:spacing w:line="360" w:lineRule="auto"/>
        <w:ind w:left="-2" w:firstLine="560"/>
        <w:jc w:val="both"/>
        <w:rPr>
          <w:rFonts w:cs="Arial"/>
        </w:rPr>
      </w:pPr>
      <w:r>
        <w:rPr>
          <w:rFonts w:ascii="Arial" w:eastAsia="仿宋_GB2312;仿宋" w:hAnsi="Arial" w:cs="Arial"/>
          <w:sz w:val="28"/>
        </w:rPr>
        <w:t>评估专业人员在认真分析所掌握的资料并进行了实地勘查之后，根据咨询对象土地的特点及开发项目本身的实际状况，选取市场比较法和成本逼近法作为本次评估的基本方法。分析如下：</w:t>
      </w:r>
    </w:p>
    <w:tbl>
      <w:tblPr>
        <w:tblW w:w="8890" w:type="dxa"/>
        <w:tblInd w:w="-113" w:type="dxa"/>
        <w:tblLook w:val="0000" w:firstRow="0" w:lastRow="0" w:firstColumn="0" w:lastColumn="0" w:noHBand="0" w:noVBand="0"/>
      </w:tblPr>
      <w:tblGrid>
        <w:gridCol w:w="1875"/>
        <w:gridCol w:w="5174"/>
        <w:gridCol w:w="1841"/>
      </w:tblGrid>
      <w:tr w:rsidR="00E70101" w14:paraId="291182AB" w14:textId="77777777">
        <w:trPr>
          <w:cantSplit/>
        </w:trPr>
        <w:tc>
          <w:tcPr>
            <w:tcW w:w="1875" w:type="dxa"/>
            <w:tcBorders>
              <w:top w:val="single" w:sz="4" w:space="0" w:color="000000"/>
              <w:left w:val="single" w:sz="4" w:space="0" w:color="000000"/>
              <w:bottom w:val="single" w:sz="4" w:space="0" w:color="000000"/>
            </w:tcBorders>
            <w:shd w:val="clear" w:color="auto" w:fill="auto"/>
            <w:vAlign w:val="center"/>
          </w:tcPr>
          <w:p w14:paraId="54BC89F5" w14:textId="77777777" w:rsidR="00E70101" w:rsidRDefault="0060680B">
            <w:pPr>
              <w:pStyle w:val="12"/>
              <w:spacing w:line="240" w:lineRule="auto"/>
              <w:ind w:right="6"/>
              <w:jc w:val="center"/>
              <w:textAlignment w:val="bottom"/>
              <w:rPr>
                <w:rFonts w:ascii="Arial" w:eastAsia="仿宋_GB2312;仿宋" w:hAnsi="Arial" w:cs="Arial"/>
                <w:b/>
                <w:sz w:val="28"/>
                <w:szCs w:val="28"/>
              </w:rPr>
            </w:pPr>
            <w:r>
              <w:rPr>
                <w:rFonts w:ascii="Arial" w:eastAsia="仿宋_GB2312;仿宋" w:hAnsi="Arial" w:cs="Arial"/>
                <w:b/>
                <w:sz w:val="28"/>
                <w:szCs w:val="28"/>
              </w:rPr>
              <w:t>咨询方法</w:t>
            </w:r>
          </w:p>
        </w:tc>
        <w:tc>
          <w:tcPr>
            <w:tcW w:w="5174" w:type="dxa"/>
            <w:tcBorders>
              <w:top w:val="single" w:sz="4" w:space="0" w:color="000000"/>
              <w:left w:val="single" w:sz="4" w:space="0" w:color="000000"/>
              <w:bottom w:val="single" w:sz="4" w:space="0" w:color="000000"/>
            </w:tcBorders>
            <w:shd w:val="clear" w:color="auto" w:fill="auto"/>
            <w:vAlign w:val="center"/>
          </w:tcPr>
          <w:p w14:paraId="60056C52" w14:textId="77777777" w:rsidR="00E70101" w:rsidRDefault="0060680B">
            <w:pPr>
              <w:pStyle w:val="12"/>
              <w:autoSpaceDE w:val="0"/>
              <w:spacing w:before="163" w:after="163" w:line="240" w:lineRule="auto"/>
              <w:ind w:right="6"/>
              <w:jc w:val="center"/>
              <w:textAlignment w:val="bottom"/>
              <w:rPr>
                <w:rFonts w:ascii="Arial" w:eastAsia="仿宋_GB2312;仿宋" w:hAnsi="Arial" w:cs="Arial"/>
                <w:b/>
                <w:sz w:val="28"/>
                <w:szCs w:val="28"/>
              </w:rPr>
            </w:pPr>
            <w:r>
              <w:rPr>
                <w:rFonts w:ascii="Arial" w:eastAsia="仿宋_GB2312;仿宋" w:hAnsi="Arial" w:cs="Arial"/>
                <w:b/>
                <w:sz w:val="28"/>
                <w:szCs w:val="28"/>
              </w:rPr>
              <w:t>适用性分析</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96A58" w14:textId="77777777" w:rsidR="00E70101" w:rsidRDefault="0060680B">
            <w:pPr>
              <w:pStyle w:val="12"/>
              <w:autoSpaceDE w:val="0"/>
              <w:spacing w:before="163" w:after="163" w:line="240" w:lineRule="auto"/>
              <w:ind w:right="6"/>
              <w:jc w:val="center"/>
              <w:textAlignment w:val="bottom"/>
              <w:rPr>
                <w:rFonts w:ascii="Arial" w:eastAsia="仿宋_GB2312;仿宋" w:hAnsi="Arial" w:cs="Arial"/>
                <w:b/>
                <w:sz w:val="28"/>
                <w:szCs w:val="28"/>
              </w:rPr>
            </w:pPr>
            <w:r>
              <w:rPr>
                <w:rFonts w:ascii="Arial" w:eastAsia="仿宋_GB2312;仿宋" w:hAnsi="Arial" w:cs="Arial"/>
                <w:b/>
                <w:sz w:val="28"/>
                <w:szCs w:val="28"/>
              </w:rPr>
              <w:t>是否选用</w:t>
            </w:r>
          </w:p>
        </w:tc>
      </w:tr>
      <w:tr w:rsidR="00E70101" w14:paraId="57A118AD" w14:textId="77777777">
        <w:trPr>
          <w:cantSplit/>
          <w:trHeight w:val="1218"/>
        </w:trPr>
        <w:tc>
          <w:tcPr>
            <w:tcW w:w="1875" w:type="dxa"/>
            <w:tcBorders>
              <w:top w:val="single" w:sz="4" w:space="0" w:color="000000"/>
              <w:left w:val="single" w:sz="4" w:space="0" w:color="000000"/>
              <w:bottom w:val="single" w:sz="4" w:space="0" w:color="000000"/>
            </w:tcBorders>
            <w:shd w:val="clear" w:color="auto" w:fill="auto"/>
            <w:vAlign w:val="center"/>
          </w:tcPr>
          <w:p w14:paraId="1FCEA5A7" w14:textId="77777777" w:rsidR="00E70101" w:rsidRDefault="0060680B">
            <w:pPr>
              <w:pStyle w:val="12"/>
              <w:autoSpaceDE w:val="0"/>
              <w:spacing w:before="163" w:after="163" w:line="240" w:lineRule="auto"/>
              <w:ind w:right="6"/>
              <w:jc w:val="center"/>
              <w:textAlignment w:val="bottom"/>
              <w:rPr>
                <w:rFonts w:ascii="Arial" w:eastAsia="仿宋_GB2312;仿宋" w:hAnsi="Arial" w:cs="Arial"/>
                <w:kern w:val="2"/>
                <w:sz w:val="24"/>
                <w:szCs w:val="24"/>
                <w:lang w:val="zh-CN"/>
              </w:rPr>
            </w:pPr>
            <w:r>
              <w:rPr>
                <w:rFonts w:ascii="Arial" w:eastAsia="仿宋_GB2312;仿宋" w:hAnsi="Arial" w:cs="Arial"/>
                <w:kern w:val="2"/>
                <w:sz w:val="24"/>
                <w:szCs w:val="24"/>
                <w:lang w:val="zh-CN"/>
              </w:rPr>
              <w:t>市场比较法</w:t>
            </w:r>
          </w:p>
        </w:tc>
        <w:tc>
          <w:tcPr>
            <w:tcW w:w="5174" w:type="dxa"/>
            <w:tcBorders>
              <w:top w:val="single" w:sz="4" w:space="0" w:color="000000"/>
              <w:left w:val="single" w:sz="4" w:space="0" w:color="000000"/>
              <w:bottom w:val="single" w:sz="4" w:space="0" w:color="000000"/>
            </w:tcBorders>
            <w:shd w:val="clear" w:color="auto" w:fill="auto"/>
            <w:vAlign w:val="center"/>
          </w:tcPr>
          <w:p w14:paraId="55B5AEBD" w14:textId="77777777" w:rsidR="00E70101" w:rsidRDefault="0060680B">
            <w:pPr>
              <w:pStyle w:val="23"/>
              <w:spacing w:line="240" w:lineRule="auto"/>
              <w:ind w:firstLine="0"/>
              <w:jc w:val="center"/>
              <w:rPr>
                <w:rFonts w:ascii="Arial" w:hAnsi="Arial" w:cs="Arial"/>
                <w:kern w:val="2"/>
                <w:sz w:val="24"/>
                <w:szCs w:val="24"/>
              </w:rPr>
            </w:pPr>
            <w:r>
              <w:rPr>
                <w:rFonts w:ascii="Arial" w:hAnsi="Arial" w:cs="Arial"/>
                <w:kern w:val="2"/>
                <w:sz w:val="24"/>
                <w:szCs w:val="24"/>
              </w:rPr>
              <w:t>咨询对象位于昌平区，为划拨用地。咨询师调查到同一圈层相邻地区划拨用地的交易实例，具有一定的可比性，符合市场比较法的要求。故选取市场比较法进行评估。</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D75E8" w14:textId="77777777" w:rsidR="00E70101" w:rsidRDefault="0060680B">
            <w:pPr>
              <w:pStyle w:val="12"/>
              <w:autoSpaceDE w:val="0"/>
              <w:spacing w:before="163" w:after="163" w:line="240" w:lineRule="auto"/>
              <w:ind w:right="6"/>
              <w:jc w:val="center"/>
              <w:textAlignment w:val="bottom"/>
              <w:rPr>
                <w:rFonts w:ascii="Arial" w:eastAsia="仿宋_GB2312;仿宋" w:hAnsi="Arial" w:cs="Arial"/>
                <w:sz w:val="28"/>
                <w:szCs w:val="28"/>
              </w:rPr>
            </w:pPr>
            <w:r>
              <w:rPr>
                <w:rFonts w:ascii="Arial" w:eastAsia="仿宋_GB2312;仿宋" w:hAnsi="Arial" w:cs="Arial"/>
                <w:sz w:val="28"/>
                <w:szCs w:val="28"/>
              </w:rPr>
              <w:t>是</w:t>
            </w:r>
          </w:p>
        </w:tc>
      </w:tr>
      <w:tr w:rsidR="00E70101" w14:paraId="1FBBD646" w14:textId="77777777">
        <w:trPr>
          <w:cantSplit/>
        </w:trPr>
        <w:tc>
          <w:tcPr>
            <w:tcW w:w="1875" w:type="dxa"/>
            <w:tcBorders>
              <w:top w:val="single" w:sz="4" w:space="0" w:color="000000"/>
              <w:left w:val="single" w:sz="4" w:space="0" w:color="000000"/>
              <w:bottom w:val="single" w:sz="4" w:space="0" w:color="000000"/>
            </w:tcBorders>
            <w:shd w:val="clear" w:color="auto" w:fill="auto"/>
            <w:vAlign w:val="center"/>
          </w:tcPr>
          <w:p w14:paraId="5A3C850E" w14:textId="77777777" w:rsidR="00E70101" w:rsidRDefault="0060680B">
            <w:pPr>
              <w:pStyle w:val="12"/>
              <w:autoSpaceDE w:val="0"/>
              <w:spacing w:before="163" w:after="163" w:line="240" w:lineRule="auto"/>
              <w:ind w:right="6"/>
              <w:jc w:val="center"/>
              <w:textAlignment w:val="bottom"/>
              <w:rPr>
                <w:rFonts w:ascii="Arial" w:eastAsia="仿宋_GB2312;仿宋" w:hAnsi="Arial" w:cs="Arial"/>
                <w:kern w:val="2"/>
                <w:sz w:val="24"/>
                <w:szCs w:val="24"/>
                <w:lang w:val="zh-CN"/>
              </w:rPr>
            </w:pPr>
            <w:r>
              <w:rPr>
                <w:rFonts w:ascii="Arial" w:eastAsia="仿宋_GB2312;仿宋" w:hAnsi="Arial" w:cs="Arial"/>
                <w:kern w:val="2"/>
                <w:sz w:val="24"/>
                <w:szCs w:val="24"/>
                <w:lang w:val="zh-CN"/>
              </w:rPr>
              <w:t>收益还原法</w:t>
            </w:r>
          </w:p>
        </w:tc>
        <w:tc>
          <w:tcPr>
            <w:tcW w:w="5174" w:type="dxa"/>
            <w:tcBorders>
              <w:top w:val="single" w:sz="4" w:space="0" w:color="000000"/>
              <w:left w:val="single" w:sz="4" w:space="0" w:color="000000"/>
              <w:bottom w:val="single" w:sz="4" w:space="0" w:color="000000"/>
            </w:tcBorders>
            <w:shd w:val="clear" w:color="auto" w:fill="auto"/>
            <w:vAlign w:val="center"/>
          </w:tcPr>
          <w:p w14:paraId="5EC94C9D" w14:textId="77777777" w:rsidR="00E70101" w:rsidRDefault="0060680B">
            <w:pPr>
              <w:pStyle w:val="12"/>
              <w:autoSpaceDE w:val="0"/>
              <w:spacing w:before="163" w:after="163" w:line="240" w:lineRule="auto"/>
              <w:ind w:right="6"/>
              <w:jc w:val="center"/>
              <w:textAlignment w:val="bottom"/>
            </w:pPr>
            <w:r>
              <w:rPr>
                <w:rFonts w:ascii="Arial" w:eastAsia="仿宋_GB2312;仿宋" w:hAnsi="Arial" w:cs="Arial"/>
                <w:kern w:val="2"/>
                <w:sz w:val="24"/>
                <w:szCs w:val="24"/>
              </w:rPr>
              <w:t>咨询对象所在区域缺乏工业用途的土地出租实例，难以采用收益还原法反映咨询对象在咨询期日的收购补偿价格。故未采用。</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D1DC4" w14:textId="77777777" w:rsidR="00E70101" w:rsidRDefault="0060680B">
            <w:pPr>
              <w:pStyle w:val="12"/>
              <w:autoSpaceDE w:val="0"/>
              <w:spacing w:before="163" w:after="163" w:line="240" w:lineRule="auto"/>
              <w:ind w:right="6"/>
              <w:jc w:val="center"/>
              <w:textAlignment w:val="bottom"/>
              <w:rPr>
                <w:rFonts w:ascii="Arial" w:eastAsia="仿宋_GB2312;仿宋" w:hAnsi="Arial" w:cs="Arial"/>
                <w:sz w:val="28"/>
                <w:szCs w:val="28"/>
              </w:rPr>
            </w:pPr>
            <w:r>
              <w:rPr>
                <w:rFonts w:ascii="Arial" w:eastAsia="仿宋_GB2312;仿宋" w:hAnsi="Arial" w:cs="Arial"/>
                <w:sz w:val="28"/>
                <w:szCs w:val="28"/>
              </w:rPr>
              <w:t>否</w:t>
            </w:r>
          </w:p>
        </w:tc>
      </w:tr>
      <w:tr w:rsidR="00E70101" w14:paraId="637F9C82" w14:textId="77777777">
        <w:trPr>
          <w:cantSplit/>
        </w:trPr>
        <w:tc>
          <w:tcPr>
            <w:tcW w:w="1875" w:type="dxa"/>
            <w:tcBorders>
              <w:top w:val="single" w:sz="4" w:space="0" w:color="000000"/>
              <w:left w:val="single" w:sz="4" w:space="0" w:color="000000"/>
              <w:bottom w:val="single" w:sz="4" w:space="0" w:color="000000"/>
            </w:tcBorders>
            <w:shd w:val="clear" w:color="auto" w:fill="auto"/>
            <w:vAlign w:val="center"/>
          </w:tcPr>
          <w:p w14:paraId="04180ED4" w14:textId="77777777" w:rsidR="00E70101" w:rsidRDefault="0060680B">
            <w:pPr>
              <w:pStyle w:val="12"/>
              <w:autoSpaceDE w:val="0"/>
              <w:spacing w:before="163" w:after="163" w:line="240" w:lineRule="auto"/>
              <w:ind w:right="6"/>
              <w:jc w:val="center"/>
              <w:textAlignment w:val="bottom"/>
              <w:rPr>
                <w:rFonts w:ascii="Arial" w:eastAsia="仿宋_GB2312;仿宋" w:hAnsi="Arial" w:cs="Arial"/>
                <w:kern w:val="2"/>
                <w:sz w:val="24"/>
                <w:szCs w:val="24"/>
              </w:rPr>
            </w:pPr>
            <w:r>
              <w:rPr>
                <w:rFonts w:ascii="Arial" w:eastAsia="仿宋_GB2312;仿宋" w:hAnsi="Arial" w:cs="Arial"/>
                <w:kern w:val="2"/>
                <w:sz w:val="24"/>
                <w:szCs w:val="24"/>
              </w:rPr>
              <w:t>剩余（增值收益扣减）法</w:t>
            </w:r>
          </w:p>
        </w:tc>
        <w:tc>
          <w:tcPr>
            <w:tcW w:w="5174" w:type="dxa"/>
            <w:tcBorders>
              <w:top w:val="single" w:sz="4" w:space="0" w:color="000000"/>
              <w:left w:val="single" w:sz="4" w:space="0" w:color="000000"/>
              <w:bottom w:val="single" w:sz="4" w:space="0" w:color="000000"/>
            </w:tcBorders>
            <w:shd w:val="clear" w:color="auto" w:fill="auto"/>
            <w:vAlign w:val="center"/>
          </w:tcPr>
          <w:p w14:paraId="29FD94DD" w14:textId="1CBFF8B0" w:rsidR="00E70101" w:rsidRDefault="000B7BF1">
            <w:pPr>
              <w:spacing w:line="240" w:lineRule="auto"/>
              <w:jc w:val="center"/>
              <w:rPr>
                <w:rFonts w:ascii="Arial" w:eastAsia="仿宋_GB2312;仿宋" w:hAnsi="Arial" w:cs="Arial"/>
                <w:kern w:val="2"/>
                <w:szCs w:val="24"/>
              </w:rPr>
            </w:pPr>
            <w:r>
              <w:rPr>
                <w:rFonts w:ascii="Arial" w:eastAsia="仿宋_GB2312;仿宋" w:hAnsi="Arial" w:cs="Arial"/>
                <w:kern w:val="2"/>
                <w:szCs w:val="24"/>
              </w:rPr>
              <w:t>是在《城镇土地估价</w:t>
            </w:r>
            <w:r w:rsidR="0060680B">
              <w:rPr>
                <w:rFonts w:ascii="Arial" w:eastAsia="仿宋_GB2312;仿宋" w:hAnsi="Arial" w:cs="Arial"/>
                <w:kern w:val="2"/>
                <w:szCs w:val="24"/>
              </w:rPr>
              <w:t>规程》剩余法思路上衍生技术路线，通过出让土地使用权价格扣减土地增值收益的方法评估划拨地价。北京市暂未公布土地增值收益，且区域均值差异较大（顺义区</w:t>
            </w:r>
            <w:r w:rsidR="0060680B">
              <w:rPr>
                <w:rFonts w:ascii="Arial" w:eastAsia="仿宋_GB2312;仿宋" w:hAnsi="Arial" w:cs="Arial"/>
                <w:kern w:val="2"/>
                <w:szCs w:val="24"/>
              </w:rPr>
              <w:t>13.0%</w:t>
            </w:r>
            <w:r w:rsidR="0060680B">
              <w:rPr>
                <w:rFonts w:ascii="Arial" w:eastAsia="仿宋_GB2312;仿宋" w:hAnsi="Arial" w:cs="Arial"/>
                <w:kern w:val="2"/>
                <w:szCs w:val="24"/>
              </w:rPr>
              <w:t>，北京经济技术开发区</w:t>
            </w:r>
            <w:r w:rsidR="0060680B">
              <w:rPr>
                <w:rFonts w:ascii="Arial" w:eastAsia="仿宋_GB2312;仿宋" w:hAnsi="Arial" w:cs="Arial"/>
                <w:kern w:val="2"/>
                <w:szCs w:val="24"/>
              </w:rPr>
              <w:t>15.0%</w:t>
            </w:r>
            <w:r w:rsidR="0060680B">
              <w:rPr>
                <w:rFonts w:ascii="Arial" w:eastAsia="仿宋_GB2312;仿宋" w:hAnsi="Arial" w:cs="Arial"/>
                <w:kern w:val="2"/>
                <w:szCs w:val="24"/>
              </w:rPr>
              <w:t>，大兴区</w:t>
            </w:r>
            <w:r w:rsidR="0060680B">
              <w:rPr>
                <w:rFonts w:ascii="Arial" w:eastAsia="仿宋_GB2312;仿宋" w:hAnsi="Arial" w:cs="Arial"/>
                <w:kern w:val="2"/>
                <w:szCs w:val="24"/>
              </w:rPr>
              <w:t>11.8%</w:t>
            </w:r>
            <w:r w:rsidR="0060680B">
              <w:rPr>
                <w:rFonts w:ascii="Arial" w:eastAsia="仿宋_GB2312;仿宋" w:hAnsi="Arial" w:cs="Arial"/>
                <w:kern w:val="2"/>
                <w:szCs w:val="24"/>
              </w:rPr>
              <w:t>，房山区</w:t>
            </w:r>
            <w:r w:rsidR="0060680B">
              <w:rPr>
                <w:rFonts w:ascii="Arial" w:eastAsia="仿宋_GB2312;仿宋" w:hAnsi="Arial" w:cs="Arial"/>
                <w:kern w:val="2"/>
                <w:szCs w:val="24"/>
              </w:rPr>
              <w:t>7.6%</w:t>
            </w:r>
            <w:r w:rsidR="0060680B">
              <w:rPr>
                <w:rFonts w:ascii="Arial" w:eastAsia="仿宋_GB2312;仿宋" w:hAnsi="Arial" w:cs="Arial"/>
                <w:kern w:val="2"/>
                <w:szCs w:val="24"/>
              </w:rPr>
              <w:t>），难以客观量化。故未采用。</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49E75" w14:textId="77777777" w:rsidR="00E70101" w:rsidRDefault="0060680B">
            <w:pPr>
              <w:pStyle w:val="12"/>
              <w:autoSpaceDE w:val="0"/>
              <w:spacing w:before="163" w:after="163" w:line="240" w:lineRule="auto"/>
              <w:ind w:right="6"/>
              <w:jc w:val="center"/>
              <w:textAlignment w:val="bottom"/>
              <w:rPr>
                <w:rFonts w:ascii="Arial" w:eastAsia="仿宋_GB2312;仿宋" w:hAnsi="Arial" w:cs="Arial"/>
                <w:sz w:val="28"/>
                <w:szCs w:val="28"/>
              </w:rPr>
            </w:pPr>
            <w:r>
              <w:rPr>
                <w:rFonts w:ascii="Arial" w:eastAsia="仿宋_GB2312;仿宋" w:hAnsi="Arial" w:cs="Arial"/>
                <w:sz w:val="28"/>
                <w:szCs w:val="28"/>
              </w:rPr>
              <w:t>否</w:t>
            </w:r>
          </w:p>
        </w:tc>
      </w:tr>
      <w:tr w:rsidR="00E70101" w14:paraId="4B858AC3" w14:textId="77777777">
        <w:trPr>
          <w:cantSplit/>
          <w:trHeight w:val="2265"/>
        </w:trPr>
        <w:tc>
          <w:tcPr>
            <w:tcW w:w="1875" w:type="dxa"/>
            <w:tcBorders>
              <w:top w:val="single" w:sz="4" w:space="0" w:color="000000"/>
              <w:left w:val="single" w:sz="4" w:space="0" w:color="000000"/>
              <w:bottom w:val="single" w:sz="4" w:space="0" w:color="000000"/>
            </w:tcBorders>
            <w:shd w:val="clear" w:color="auto" w:fill="auto"/>
            <w:vAlign w:val="center"/>
          </w:tcPr>
          <w:p w14:paraId="31A4154D" w14:textId="77777777" w:rsidR="00E70101" w:rsidRDefault="0060680B">
            <w:pPr>
              <w:pStyle w:val="12"/>
              <w:autoSpaceDE w:val="0"/>
              <w:spacing w:before="163" w:after="163" w:line="240" w:lineRule="auto"/>
              <w:ind w:right="6"/>
              <w:jc w:val="center"/>
              <w:textAlignment w:val="bottom"/>
              <w:rPr>
                <w:rFonts w:ascii="Arial" w:eastAsia="仿宋_GB2312;仿宋" w:hAnsi="Arial" w:cs="Arial"/>
                <w:kern w:val="2"/>
                <w:sz w:val="24"/>
                <w:szCs w:val="24"/>
              </w:rPr>
            </w:pPr>
            <w:r>
              <w:rPr>
                <w:rFonts w:ascii="Arial" w:eastAsia="仿宋_GB2312;仿宋" w:hAnsi="Arial" w:cs="Arial"/>
                <w:kern w:val="2"/>
                <w:sz w:val="24"/>
                <w:szCs w:val="24"/>
              </w:rPr>
              <w:t>成本逼近法</w:t>
            </w:r>
          </w:p>
        </w:tc>
        <w:tc>
          <w:tcPr>
            <w:tcW w:w="5174" w:type="dxa"/>
            <w:tcBorders>
              <w:top w:val="single" w:sz="4" w:space="0" w:color="000000"/>
              <w:left w:val="single" w:sz="4" w:space="0" w:color="000000"/>
              <w:bottom w:val="single" w:sz="4" w:space="0" w:color="000000"/>
            </w:tcBorders>
            <w:shd w:val="clear" w:color="auto" w:fill="auto"/>
            <w:vAlign w:val="center"/>
          </w:tcPr>
          <w:p w14:paraId="7ED1E650" w14:textId="77777777" w:rsidR="00E70101" w:rsidRDefault="0060680B">
            <w:pPr>
              <w:spacing w:line="240" w:lineRule="auto"/>
              <w:jc w:val="center"/>
            </w:pPr>
            <w:r>
              <w:rPr>
                <w:rFonts w:ascii="Arial" w:eastAsia="仿宋_GB2312;仿宋" w:hAnsi="Arial" w:cs="Arial"/>
                <w:szCs w:val="24"/>
              </w:rPr>
              <w:t>咨询对象周边区域近几年来有类似土地一级开发项目的成本数据，且为划拨用地，可通过直接或间接的方式求取土地取得费、土地开发费、税费、利息、利润等相关成本费用且不用计取土地增值收益，故选取成本逼近法进行评估。</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D85DE" w14:textId="77777777" w:rsidR="00E70101" w:rsidRDefault="0060680B">
            <w:pPr>
              <w:pStyle w:val="12"/>
              <w:autoSpaceDE w:val="0"/>
              <w:spacing w:before="163" w:after="163" w:line="240" w:lineRule="auto"/>
              <w:ind w:right="6"/>
              <w:jc w:val="center"/>
              <w:textAlignment w:val="bottom"/>
              <w:rPr>
                <w:rFonts w:ascii="Arial" w:eastAsia="仿宋_GB2312;仿宋" w:hAnsi="Arial" w:cs="Arial"/>
                <w:sz w:val="28"/>
                <w:szCs w:val="28"/>
              </w:rPr>
            </w:pPr>
            <w:r>
              <w:rPr>
                <w:rFonts w:ascii="Arial" w:eastAsia="仿宋_GB2312;仿宋" w:hAnsi="Arial" w:cs="Arial"/>
                <w:sz w:val="28"/>
                <w:szCs w:val="28"/>
              </w:rPr>
              <w:t>是</w:t>
            </w:r>
          </w:p>
        </w:tc>
      </w:tr>
      <w:tr w:rsidR="00E70101" w14:paraId="4AF1D910" w14:textId="77777777">
        <w:trPr>
          <w:cantSplit/>
        </w:trPr>
        <w:tc>
          <w:tcPr>
            <w:tcW w:w="1875" w:type="dxa"/>
            <w:tcBorders>
              <w:top w:val="single" w:sz="4" w:space="0" w:color="000000"/>
              <w:left w:val="single" w:sz="4" w:space="0" w:color="000000"/>
              <w:bottom w:val="single" w:sz="4" w:space="0" w:color="000000"/>
            </w:tcBorders>
            <w:shd w:val="clear" w:color="auto" w:fill="auto"/>
            <w:vAlign w:val="center"/>
          </w:tcPr>
          <w:p w14:paraId="5D293102" w14:textId="77777777" w:rsidR="00E70101" w:rsidRDefault="0060680B">
            <w:pPr>
              <w:spacing w:line="240" w:lineRule="auto"/>
              <w:jc w:val="center"/>
              <w:rPr>
                <w:rFonts w:ascii="Arial" w:eastAsia="仿宋_GB2312;仿宋" w:hAnsi="Arial" w:cs="Arial"/>
                <w:szCs w:val="24"/>
              </w:rPr>
            </w:pPr>
            <w:r>
              <w:rPr>
                <w:rFonts w:ascii="Arial" w:eastAsia="仿宋_GB2312;仿宋" w:hAnsi="Arial" w:cs="Arial"/>
                <w:szCs w:val="24"/>
              </w:rPr>
              <w:t>基准地价系数修正法</w:t>
            </w:r>
          </w:p>
        </w:tc>
        <w:tc>
          <w:tcPr>
            <w:tcW w:w="5174" w:type="dxa"/>
            <w:tcBorders>
              <w:top w:val="single" w:sz="4" w:space="0" w:color="000000"/>
              <w:left w:val="single" w:sz="4" w:space="0" w:color="000000"/>
              <w:bottom w:val="single" w:sz="4" w:space="0" w:color="000000"/>
            </w:tcBorders>
            <w:shd w:val="clear" w:color="auto" w:fill="auto"/>
            <w:vAlign w:val="center"/>
          </w:tcPr>
          <w:p w14:paraId="1049EF39" w14:textId="77777777" w:rsidR="00E70101" w:rsidRDefault="0060680B">
            <w:pPr>
              <w:pStyle w:val="12"/>
              <w:autoSpaceDE w:val="0"/>
              <w:spacing w:before="163" w:after="163" w:line="240" w:lineRule="auto"/>
              <w:ind w:right="6"/>
              <w:jc w:val="center"/>
              <w:textAlignment w:val="bottom"/>
              <w:rPr>
                <w:rFonts w:ascii="Arial" w:eastAsia="仿宋_GB2312;仿宋" w:hAnsi="Arial" w:cs="Arial"/>
                <w:sz w:val="24"/>
                <w:szCs w:val="24"/>
              </w:rPr>
            </w:pPr>
            <w:r>
              <w:rPr>
                <w:rFonts w:ascii="Arial" w:eastAsia="仿宋_GB2312;仿宋" w:hAnsi="Arial" w:cs="Arial"/>
                <w:sz w:val="24"/>
                <w:szCs w:val="24"/>
              </w:rPr>
              <w:t>待估宗地所在区域，政府暂未公布划拨土地使用权基准地价，也未公布划拨土地使用权标定地价。故本次未选用公示地价系数修正法进行地价测算。</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B1AD8" w14:textId="77777777" w:rsidR="00E70101" w:rsidRDefault="0060680B">
            <w:pPr>
              <w:pStyle w:val="12"/>
              <w:autoSpaceDE w:val="0"/>
              <w:spacing w:before="163" w:after="163" w:line="240" w:lineRule="auto"/>
              <w:ind w:right="6"/>
              <w:jc w:val="center"/>
              <w:textAlignment w:val="bottom"/>
              <w:rPr>
                <w:rFonts w:ascii="Arial" w:eastAsia="仿宋_GB2312;仿宋" w:hAnsi="Arial" w:cs="Arial"/>
                <w:sz w:val="28"/>
                <w:szCs w:val="28"/>
              </w:rPr>
            </w:pPr>
            <w:r>
              <w:rPr>
                <w:rFonts w:ascii="Arial" w:eastAsia="仿宋_GB2312;仿宋" w:hAnsi="Arial" w:cs="Arial"/>
                <w:sz w:val="28"/>
                <w:szCs w:val="28"/>
              </w:rPr>
              <w:t>否</w:t>
            </w:r>
          </w:p>
        </w:tc>
      </w:tr>
    </w:tbl>
    <w:p w14:paraId="3B2119BF" w14:textId="77777777" w:rsidR="00E70101" w:rsidRDefault="0060680B">
      <w:pPr>
        <w:pStyle w:val="23"/>
        <w:widowControl/>
        <w:tabs>
          <w:tab w:val="right" w:pos="8840"/>
        </w:tabs>
        <w:spacing w:before="163" w:line="360" w:lineRule="auto"/>
        <w:ind w:firstLine="560"/>
        <w:textAlignment w:val="bottom"/>
        <w:rPr>
          <w:rFonts w:ascii="Arial" w:eastAsia="仿宋_GB2312;仿宋" w:hAnsi="Arial" w:cs="Arial"/>
          <w:szCs w:val="28"/>
        </w:rPr>
      </w:pPr>
      <w:r>
        <w:rPr>
          <w:rFonts w:ascii="Arial" w:eastAsia="仿宋_GB2312;仿宋" w:hAnsi="Arial" w:cs="Arial"/>
          <w:szCs w:val="28"/>
        </w:rPr>
        <w:t>综上所述</w:t>
      </w:r>
      <w:r>
        <w:rPr>
          <w:rFonts w:ascii="Arial" w:eastAsia="楷体_GB2312;楷体" w:hAnsi="Arial" w:cs="Arial"/>
          <w:szCs w:val="28"/>
        </w:rPr>
        <w:t>，</w:t>
      </w:r>
      <w:r>
        <w:rPr>
          <w:rFonts w:ascii="Arial" w:eastAsia="仿宋_GB2312;仿宋" w:hAnsi="Arial" w:cs="Arial"/>
          <w:szCs w:val="28"/>
        </w:rPr>
        <w:t>根据咨询对象实际状况和周边土地市场情况并结合谨慎性原则，本次咨询方法选用采用市场比较法和成本逼近法进行测算，评估划拨国有建设用地使用权收购补偿价格。</w:t>
      </w:r>
    </w:p>
    <w:p w14:paraId="7FE5938B" w14:textId="77777777" w:rsidR="00E70101" w:rsidRDefault="0060680B">
      <w:pPr>
        <w:snapToGrid w:val="0"/>
        <w:spacing w:line="360" w:lineRule="auto"/>
        <w:ind w:left="560"/>
        <w:rPr>
          <w:rFonts w:ascii="Arial" w:eastAsia="仿宋_GB2312;仿宋" w:hAnsi="Arial" w:cs="Arial"/>
          <w:sz w:val="28"/>
          <w:szCs w:val="28"/>
        </w:rPr>
      </w:pPr>
      <w:r>
        <w:rPr>
          <w:rFonts w:ascii="Arial" w:eastAsia="仿宋_GB2312;仿宋" w:hAnsi="Arial" w:cs="Arial"/>
          <w:sz w:val="28"/>
          <w:szCs w:val="28"/>
        </w:rPr>
        <w:t>（</w:t>
      </w:r>
      <w:r>
        <w:rPr>
          <w:rFonts w:ascii="Arial" w:eastAsia="仿宋_GB2312;仿宋" w:hAnsi="Arial" w:cs="Arial"/>
          <w:sz w:val="28"/>
          <w:szCs w:val="28"/>
        </w:rPr>
        <w:t>2</w:t>
      </w:r>
      <w:r>
        <w:rPr>
          <w:rFonts w:ascii="Arial" w:eastAsia="仿宋_GB2312;仿宋" w:hAnsi="Arial" w:cs="Arial"/>
          <w:sz w:val="28"/>
          <w:szCs w:val="28"/>
        </w:rPr>
        <w:t>）房屋重置成新价的评估方法</w:t>
      </w:r>
    </w:p>
    <w:p w14:paraId="255A2F90"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按照《指引》，房地分开评估时，建（构）筑物价格的评估采用北京市相应的房屋重置成新价评估技术标准。补偿价格</w:t>
      </w:r>
      <w:r>
        <w:rPr>
          <w:rFonts w:ascii="Arial" w:eastAsia="仿宋_GB2312;仿宋" w:hAnsi="Arial" w:cs="Arial"/>
          <w:sz w:val="28"/>
          <w:szCs w:val="28"/>
        </w:rPr>
        <w:t>参考</w:t>
      </w:r>
      <w:r>
        <w:rPr>
          <w:rFonts w:ascii="Arial" w:eastAsia="仿宋_GB2312;仿宋" w:hAnsi="Arial" w:cs="Arial"/>
          <w:sz w:val="28"/>
        </w:rPr>
        <w:t>《北京市房屋重置成新价评估技术标准》</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10</w:t>
      </w:r>
      <w:r>
        <w:rPr>
          <w:rFonts w:ascii="Arial" w:eastAsia="仿宋_GB2312;仿宋" w:hAnsi="Arial" w:cs="Arial"/>
          <w:sz w:val="28"/>
        </w:rPr>
        <w:t>日发布）</w:t>
      </w:r>
      <w:r>
        <w:rPr>
          <w:rFonts w:ascii="Arial" w:eastAsia="仿宋_GB2312;仿宋" w:hAnsi="Arial" w:cs="Arial"/>
          <w:sz w:val="28"/>
          <w:szCs w:val="28"/>
        </w:rPr>
        <w:t>进行评估。</w:t>
      </w:r>
    </w:p>
    <w:p w14:paraId="0FDF68BA" w14:textId="77777777" w:rsidR="00E70101" w:rsidRDefault="0060680B">
      <w:pPr>
        <w:snapToGrid w:val="0"/>
        <w:spacing w:line="360" w:lineRule="auto"/>
        <w:ind w:firstLine="560"/>
      </w:pPr>
      <w:r>
        <w:rPr>
          <w:rFonts w:ascii="Arial" w:eastAsia="仿宋_GB2312;仿宋" w:hAnsi="Arial" w:cs="Arial"/>
          <w:sz w:val="28"/>
          <w:szCs w:val="28"/>
        </w:rPr>
        <w:t>（</w:t>
      </w:r>
      <w:r>
        <w:rPr>
          <w:rFonts w:ascii="Arial" w:eastAsia="仿宋_GB2312;仿宋" w:hAnsi="Arial" w:cs="Arial"/>
          <w:sz w:val="28"/>
          <w:szCs w:val="28"/>
        </w:rPr>
        <w:t>3</w:t>
      </w:r>
      <w:r>
        <w:rPr>
          <w:rFonts w:ascii="Arial" w:eastAsia="仿宋_GB2312;仿宋" w:hAnsi="Arial" w:cs="Arial"/>
          <w:sz w:val="28"/>
          <w:szCs w:val="28"/>
        </w:rPr>
        <w:t>）</w:t>
      </w:r>
      <w:r>
        <w:rPr>
          <w:rFonts w:ascii="Arial" w:eastAsia="仿宋_GB2312;仿宋" w:hAnsi="Arial" w:cs="Arial"/>
          <w:sz w:val="28"/>
        </w:rPr>
        <w:t>附属物价格</w:t>
      </w:r>
      <w:r>
        <w:rPr>
          <w:rFonts w:ascii="Arial" w:eastAsia="仿宋_GB2312;仿宋" w:hAnsi="Arial" w:cs="Arial"/>
          <w:sz w:val="28"/>
          <w:szCs w:val="28"/>
        </w:rPr>
        <w:t>的评估方法</w:t>
      </w:r>
    </w:p>
    <w:p w14:paraId="08C17101" w14:textId="77777777" w:rsidR="00E70101" w:rsidRDefault="0060680B">
      <w:pPr>
        <w:spacing w:line="360" w:lineRule="auto"/>
        <w:ind w:firstLine="560"/>
        <w:jc w:val="both"/>
      </w:pPr>
      <w:r>
        <w:rPr>
          <w:rFonts w:ascii="Arial" w:eastAsia="仿宋_GB2312;仿宋" w:hAnsi="Arial" w:cs="Arial"/>
          <w:sz w:val="28"/>
        </w:rPr>
        <w:t>附属物包括树木、院墙、院地及其他，补偿价格参照《北京市房屋重置成新价评估技术标准》</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10</w:t>
      </w:r>
      <w:r>
        <w:rPr>
          <w:rFonts w:ascii="Arial" w:eastAsia="仿宋_GB2312;仿宋" w:hAnsi="Arial" w:cs="Arial"/>
          <w:sz w:val="28"/>
        </w:rPr>
        <w:t>日发布）进行评估。</w:t>
      </w:r>
    </w:p>
    <w:p w14:paraId="0018E725"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4</w:t>
      </w:r>
      <w:r>
        <w:rPr>
          <w:rFonts w:ascii="Arial" w:eastAsia="仿宋_GB2312;仿宋" w:hAnsi="Arial" w:cs="Arial"/>
          <w:sz w:val="28"/>
        </w:rPr>
        <w:t>）无法恢复使用的设施设备补偿价格的评估方法</w:t>
      </w:r>
    </w:p>
    <w:p w14:paraId="56681742" w14:textId="77777777" w:rsidR="00E70101" w:rsidRDefault="0060680B">
      <w:pPr>
        <w:spacing w:line="360" w:lineRule="auto"/>
        <w:ind w:firstLine="560"/>
        <w:jc w:val="both"/>
      </w:pPr>
      <w:r>
        <w:rPr>
          <w:rFonts w:ascii="Arial" w:eastAsia="仿宋_GB2312;仿宋" w:hAnsi="Arial" w:cs="Arial"/>
          <w:sz w:val="28"/>
        </w:rPr>
        <w:t>经委托方介绍，由于咨询对象宗地并未进行生产使用，不存在因土地收购造成的无法恢复使用的设施设备情况。</w:t>
      </w:r>
    </w:p>
    <w:p w14:paraId="72512E3E" w14:textId="77777777" w:rsidR="00E70101" w:rsidRDefault="0060680B">
      <w:pPr>
        <w:spacing w:line="360" w:lineRule="auto"/>
        <w:ind w:firstLine="560"/>
      </w:pPr>
      <w:r>
        <w:rPr>
          <w:rFonts w:ascii="Arial" w:eastAsia="仿宋_GB2312;仿宋" w:hAnsi="Arial" w:cs="Arial"/>
          <w:sz w:val="28"/>
          <w:szCs w:val="28"/>
        </w:rPr>
        <w:t>（</w:t>
      </w:r>
      <w:r>
        <w:rPr>
          <w:rFonts w:ascii="Arial" w:eastAsia="仿宋_GB2312;仿宋" w:hAnsi="Arial" w:cs="Arial"/>
          <w:sz w:val="28"/>
          <w:szCs w:val="28"/>
        </w:rPr>
        <w:t>5</w:t>
      </w:r>
      <w:r>
        <w:rPr>
          <w:rFonts w:ascii="Arial" w:eastAsia="仿宋_GB2312;仿宋" w:hAnsi="Arial" w:cs="Arial"/>
          <w:sz w:val="28"/>
          <w:szCs w:val="28"/>
        </w:rPr>
        <w:t>）</w:t>
      </w:r>
      <w:r>
        <w:rPr>
          <w:rFonts w:ascii="Arial" w:eastAsia="仿宋_GB2312;仿宋" w:hAnsi="Arial" w:cs="Arial"/>
          <w:sz w:val="28"/>
        </w:rPr>
        <w:t>停产停业损失补偿费用</w:t>
      </w:r>
    </w:p>
    <w:p w14:paraId="2F680440" w14:textId="77777777" w:rsidR="00E70101" w:rsidRDefault="0060680B">
      <w:pPr>
        <w:spacing w:line="360" w:lineRule="auto"/>
        <w:ind w:left="-2" w:firstLine="560"/>
        <w:jc w:val="both"/>
      </w:pPr>
      <w:r>
        <w:rPr>
          <w:rFonts w:ascii="Arial" w:eastAsia="仿宋_GB2312;仿宋" w:hAnsi="Arial" w:cs="Arial"/>
          <w:sz w:val="28"/>
        </w:rPr>
        <w:t>停产停业损失补偿包括房屋停产停业期间租金、净利润损失、员工生活补助费，参照《北京市国有土地上房屋征收停产停业损失补偿暂行办法》</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2018</w:t>
      </w:r>
      <w:r>
        <w:rPr>
          <w:rFonts w:ascii="Arial" w:eastAsia="仿宋_GB2312;仿宋" w:hAnsi="Arial" w:cs="Arial"/>
          <w:sz w:val="28"/>
        </w:rPr>
        <w:t>）</w:t>
      </w:r>
      <w:r>
        <w:rPr>
          <w:rFonts w:ascii="Arial" w:eastAsia="仿宋_GB2312;仿宋" w:hAnsi="Arial" w:cs="Arial"/>
          <w:sz w:val="28"/>
        </w:rPr>
        <w:t>004</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、《关于发布</w:t>
      </w:r>
      <w:r>
        <w:rPr>
          <w:rFonts w:ascii="仿宋" w:eastAsia="仿宋" w:hAnsi="仿宋" w:cs="Arial"/>
          <w:sz w:val="28"/>
        </w:rPr>
        <w:t>〈</w:t>
      </w:r>
      <w:r>
        <w:rPr>
          <w:rFonts w:ascii="Arial" w:eastAsia="仿宋_GB2312;仿宋" w:hAnsi="Arial" w:cs="Arial"/>
          <w:sz w:val="28"/>
        </w:rPr>
        <w:t>北京市企业国有建设用地使用权收购补偿价格评估技术指引</w:t>
      </w:r>
      <w:r>
        <w:rPr>
          <w:rFonts w:ascii="仿宋" w:eastAsia="仿宋" w:hAnsi="仿宋" w:cs="Arial"/>
          <w:sz w:val="28"/>
        </w:rPr>
        <w:t>〉</w:t>
      </w:r>
      <w:r>
        <w:rPr>
          <w:rFonts w:ascii="Arial" w:eastAsia="仿宋_GB2312;仿宋" w:hAnsi="Arial" w:cs="Arial"/>
          <w:sz w:val="28"/>
        </w:rPr>
        <w:t>应用有关说明的通知》</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4477CB50"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经委托方介绍，由于咨询对象宗地未进行生产使用，不存在</w:t>
      </w:r>
      <w:r>
        <w:rPr>
          <w:rFonts w:ascii="仿宋_GB2312;仿宋" w:eastAsia="仿宋_GB2312;仿宋" w:hAnsi="仿宋_GB2312;仿宋" w:cs="Arial"/>
          <w:sz w:val="28"/>
        </w:rPr>
        <w:t>因土地收购造成的停产停业损失补偿</w:t>
      </w:r>
      <w:r>
        <w:rPr>
          <w:rFonts w:ascii="Arial" w:eastAsia="仿宋_GB2312;仿宋" w:hAnsi="Arial" w:cs="Arial"/>
          <w:sz w:val="28"/>
        </w:rPr>
        <w:t>情况。</w:t>
      </w:r>
    </w:p>
    <w:p w14:paraId="42BFA184"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6</w:t>
      </w:r>
      <w:r>
        <w:rPr>
          <w:rFonts w:ascii="Arial" w:eastAsia="仿宋_GB2312;仿宋" w:hAnsi="Arial" w:cs="Arial"/>
          <w:sz w:val="28"/>
        </w:rPr>
        <w:t>）搬迁、临时安置补偿费用</w:t>
      </w:r>
    </w:p>
    <w:p w14:paraId="4CA41C8B" w14:textId="77777777" w:rsidR="00E70101" w:rsidRDefault="0060680B">
      <w:pPr>
        <w:pStyle w:val="LO-Normal"/>
        <w:autoSpaceDE w:val="0"/>
        <w:spacing w:line="360" w:lineRule="auto"/>
        <w:ind w:right="31" w:firstLine="560"/>
        <w:jc w:val="both"/>
        <w:textAlignment w:val="bottom"/>
      </w:pPr>
      <w:r>
        <w:rPr>
          <w:rFonts w:ascii="Arial" w:eastAsia="仿宋_GB2312;仿宋" w:hAnsi="Arial" w:cs="Arial"/>
          <w:sz w:val="28"/>
        </w:rPr>
        <w:t>参照《关于国有土地上房屋征收与补偿中有关事项的通知》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hAnsi="Arial" w:cs="Arial"/>
          <w:sz w:val="28"/>
        </w:rPr>
        <w:t>（</w:t>
      </w:r>
      <w:r>
        <w:rPr>
          <w:rFonts w:ascii="Arial" w:eastAsia="仿宋_GB2312;仿宋" w:hAnsi="Arial" w:cs="Arial"/>
          <w:sz w:val="28"/>
        </w:rPr>
        <w:t>2012</w:t>
      </w:r>
      <w:r>
        <w:rPr>
          <w:rFonts w:ascii="Arial"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4EE7E74C" w14:textId="77777777" w:rsidR="00E70101" w:rsidRDefault="0060680B">
      <w:pPr>
        <w:spacing w:line="360" w:lineRule="auto"/>
        <w:ind w:left="-2" w:firstLine="560"/>
        <w:jc w:val="both"/>
      </w:pPr>
      <w:r>
        <w:rPr>
          <w:rFonts w:ascii="Arial" w:eastAsia="仿宋_GB2312;仿宋" w:hAnsi="Arial" w:cs="Arial"/>
          <w:sz w:val="28"/>
          <w:szCs w:val="28"/>
        </w:rPr>
        <w:t xml:space="preserve">2. </w:t>
      </w:r>
      <w:r>
        <w:rPr>
          <w:rFonts w:ascii="Arial" w:eastAsia="仿宋_GB2312;仿宋" w:hAnsi="Arial" w:cs="Arial"/>
          <w:sz w:val="28"/>
          <w:szCs w:val="28"/>
        </w:rPr>
        <w:t>本次评估所采用的咨询方法简述如下：</w:t>
      </w:r>
    </w:p>
    <w:p w14:paraId="31A1308B" w14:textId="77777777" w:rsidR="00E70101" w:rsidRDefault="0060680B">
      <w:pPr>
        <w:pStyle w:val="23"/>
        <w:widowControl/>
        <w:tabs>
          <w:tab w:val="right" w:pos="8840"/>
        </w:tabs>
        <w:spacing w:line="360" w:lineRule="auto"/>
        <w:ind w:firstLine="560"/>
        <w:textAlignment w:val="bottom"/>
        <w:rPr>
          <w:rFonts w:ascii="Arial" w:eastAsia="仿宋_GB2312;仿宋" w:hAnsi="Arial" w:cs="Arial"/>
          <w:szCs w:val="28"/>
        </w:rPr>
      </w:pPr>
      <w:r>
        <w:rPr>
          <w:rFonts w:ascii="Arial" w:eastAsia="仿宋_GB2312;仿宋" w:hAnsi="Arial" w:cs="Arial"/>
        </w:rPr>
        <w:t>（</w:t>
      </w:r>
      <w:r>
        <w:rPr>
          <w:rFonts w:ascii="Arial" w:eastAsia="仿宋_GB2312;仿宋" w:hAnsi="Arial" w:cs="Arial"/>
        </w:rPr>
        <w:t>1</w:t>
      </w:r>
      <w:r>
        <w:rPr>
          <w:rFonts w:ascii="Arial" w:eastAsia="仿宋_GB2312;仿宋" w:hAnsi="Arial" w:cs="Arial"/>
        </w:rPr>
        <w:t>）</w:t>
      </w:r>
      <w:r>
        <w:rPr>
          <w:rFonts w:ascii="Arial" w:eastAsia="仿宋_GB2312;仿宋" w:hAnsi="Arial" w:cs="Arial"/>
          <w:szCs w:val="28"/>
        </w:rPr>
        <w:t>市场比较法</w:t>
      </w:r>
    </w:p>
    <w:p w14:paraId="0FD0077C" w14:textId="77777777" w:rsidR="00E70101" w:rsidRDefault="0060680B">
      <w:pPr>
        <w:pStyle w:val="LO-Normal"/>
        <w:autoSpaceDE w:val="0"/>
        <w:spacing w:line="360" w:lineRule="auto"/>
        <w:ind w:right="3" w:firstLine="566"/>
        <w:jc w:val="both"/>
        <w:textAlignment w:val="bottom"/>
        <w:rPr>
          <w:rFonts w:ascii="仿宋_GB2312;仿宋" w:eastAsia="仿宋_GB2312;仿宋" w:hAnsi="仿宋_GB2312;仿宋"/>
          <w:sz w:val="28"/>
        </w:rPr>
      </w:pPr>
      <w:r>
        <w:rPr>
          <w:rFonts w:ascii="仿宋_GB2312;仿宋" w:eastAsia="仿宋_GB2312;仿宋" w:hAnsi="仿宋_GB2312;仿宋" w:cs="Arial"/>
          <w:sz w:val="28"/>
        </w:rPr>
        <w:t>根据替代原理，将待估宗地与具有替代性的，且在咨询期日近期市场上交易的类似宗地进行比较，并对类似宗地的成交价格进行差异修正，以此估算待估宗地价格的方法。</w:t>
      </w:r>
    </w:p>
    <w:p w14:paraId="3ABBE25C" w14:textId="77777777" w:rsidR="00E70101" w:rsidRDefault="0060680B">
      <w:pPr>
        <w:pStyle w:val="LO-Normal"/>
        <w:autoSpaceDE w:val="0"/>
        <w:spacing w:line="360" w:lineRule="auto"/>
        <w:ind w:right="3" w:firstLine="566"/>
        <w:jc w:val="both"/>
        <w:textAlignment w:val="bottom"/>
        <w:rPr>
          <w:rFonts w:ascii="仿宋_GB2312;仿宋" w:eastAsia="仿宋_GB2312;仿宋" w:hAnsi="仿宋_GB2312;仿宋"/>
          <w:sz w:val="28"/>
        </w:rPr>
      </w:pPr>
      <w:r>
        <w:rPr>
          <w:rFonts w:ascii="仿宋_GB2312;仿宋" w:eastAsia="仿宋_GB2312;仿宋" w:hAnsi="仿宋_GB2312;仿宋"/>
          <w:sz w:val="28"/>
        </w:rPr>
        <w:t>其计算公式为：</w:t>
      </w:r>
    </w:p>
    <w:p w14:paraId="54E7B3BE"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rPr>
      </w:pPr>
      <w:r>
        <w:rPr>
          <w:rFonts w:ascii="Arial" w:eastAsia="仿宋_GB2312;仿宋" w:hAnsi="Arial" w:cs="Arial"/>
          <w:color w:val="000000"/>
          <w:sz w:val="28"/>
        </w:rPr>
        <w:t>P</w:t>
      </w:r>
      <w:r>
        <w:rPr>
          <w:rFonts w:ascii="仿宋_GB2312;仿宋" w:eastAsia="仿宋_GB2312;仿宋" w:hAnsi="仿宋_GB2312;仿宋"/>
          <w:color w:val="000000"/>
          <w:sz w:val="28"/>
        </w:rPr>
        <w:t>=</w:t>
      </w:r>
      <w:r>
        <w:rPr>
          <w:rFonts w:ascii="Arial" w:eastAsia="仿宋_GB2312;仿宋" w:hAnsi="Arial" w:cs="Arial"/>
          <w:color w:val="000000"/>
          <w:sz w:val="28"/>
        </w:rPr>
        <w:t>P</w:t>
      </w:r>
      <w:r>
        <w:rPr>
          <w:rFonts w:ascii="Arial" w:eastAsia="仿宋_GB2312;仿宋" w:hAnsi="Arial" w:cs="Arial"/>
          <w:color w:val="000000"/>
          <w:sz w:val="28"/>
          <w:vertAlign w:val="subscript"/>
        </w:rPr>
        <w:t>B</w:t>
      </w:r>
      <w:r>
        <w:rPr>
          <w:rFonts w:cs="宋体;SimSun"/>
          <w:color w:val="000000"/>
          <w:sz w:val="28"/>
        </w:rPr>
        <w:t>×</w:t>
      </w:r>
      <w:r>
        <w:rPr>
          <w:rFonts w:ascii="Arial" w:eastAsia="仿宋_GB2312;仿宋" w:hAnsi="Arial" w:cs="Arial"/>
          <w:color w:val="000000"/>
          <w:sz w:val="28"/>
        </w:rPr>
        <w:t>A</w:t>
      </w:r>
      <w:r>
        <w:rPr>
          <w:rFonts w:cs="宋体;SimSun"/>
          <w:color w:val="000000"/>
          <w:sz w:val="28"/>
        </w:rPr>
        <w:t>×</w:t>
      </w:r>
      <w:r>
        <w:rPr>
          <w:rFonts w:ascii="Arial" w:eastAsia="仿宋_GB2312;仿宋" w:hAnsi="Arial" w:cs="Arial"/>
          <w:color w:val="000000"/>
          <w:sz w:val="28"/>
        </w:rPr>
        <w:t>B</w:t>
      </w:r>
      <w:r>
        <w:rPr>
          <w:rFonts w:cs="宋体;SimSun"/>
          <w:color w:val="000000"/>
          <w:sz w:val="28"/>
        </w:rPr>
        <w:t>×</w:t>
      </w:r>
      <w:r>
        <w:rPr>
          <w:rFonts w:ascii="Arial" w:eastAsia="仿宋_GB2312;仿宋" w:hAnsi="Arial" w:cs="Arial"/>
          <w:color w:val="000000"/>
          <w:sz w:val="28"/>
        </w:rPr>
        <w:t>C</w:t>
      </w:r>
      <w:r>
        <w:rPr>
          <w:rFonts w:cs="宋体;SimSun"/>
          <w:color w:val="000000"/>
          <w:sz w:val="28"/>
        </w:rPr>
        <w:t>×</w:t>
      </w:r>
      <w:r>
        <w:rPr>
          <w:rFonts w:ascii="Arial" w:eastAsia="仿宋_GB2312;仿宋" w:hAnsi="Arial" w:cs="Arial"/>
          <w:color w:val="000000"/>
          <w:sz w:val="28"/>
        </w:rPr>
        <w:t>D</w:t>
      </w:r>
      <w:r>
        <w:rPr>
          <w:rFonts w:cs="宋体;SimSun"/>
          <w:color w:val="000000"/>
          <w:sz w:val="28"/>
        </w:rPr>
        <w:t>×</w:t>
      </w:r>
      <w:r>
        <w:rPr>
          <w:rFonts w:ascii="Arial" w:eastAsia="仿宋_GB2312;仿宋" w:hAnsi="Arial" w:cs="Arial"/>
          <w:color w:val="000000"/>
          <w:sz w:val="28"/>
        </w:rPr>
        <w:t>E</w:t>
      </w:r>
    </w:p>
    <w:p w14:paraId="57E7756F"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rPr>
      </w:pPr>
      <w:r>
        <w:rPr>
          <w:rFonts w:ascii="仿宋_GB2312;仿宋" w:eastAsia="仿宋_GB2312;仿宋" w:hAnsi="仿宋_GB2312;仿宋"/>
          <w:color w:val="000000"/>
          <w:sz w:val="28"/>
        </w:rPr>
        <w:t>式中：</w:t>
      </w:r>
    </w:p>
    <w:p w14:paraId="6591155D"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t>P</w:t>
      </w:r>
      <w:r>
        <w:rPr>
          <w:rFonts w:ascii="仿宋_GB2312;仿宋" w:eastAsia="仿宋_GB2312;仿宋" w:hAnsi="仿宋_GB2312;仿宋"/>
          <w:color w:val="000000"/>
          <w:sz w:val="28"/>
        </w:rPr>
        <w:t>——待估宗地价格；</w:t>
      </w:r>
    </w:p>
    <w:p w14:paraId="09ED7C29"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P</w:t>
      </w:r>
      <w:r>
        <w:rPr>
          <w:rFonts w:ascii="Arial" w:eastAsia="仿宋_GB2312;仿宋" w:hAnsi="Arial" w:cs="Arial"/>
          <w:color w:val="000000"/>
          <w:sz w:val="28"/>
          <w:vertAlign w:val="subscript"/>
        </w:rPr>
        <w:t>B</w:t>
      </w:r>
      <w:r>
        <w:rPr>
          <w:rFonts w:ascii="仿宋_GB2312;仿宋" w:eastAsia="仿宋_GB2312;仿宋" w:hAnsi="仿宋_GB2312;仿宋"/>
          <w:color w:val="000000"/>
          <w:sz w:val="28"/>
        </w:rPr>
        <w:t>——比较实例价格；</w:t>
      </w:r>
    </w:p>
    <w:p w14:paraId="76C0EF88"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t>A</w:t>
      </w:r>
      <w:r>
        <w:rPr>
          <w:rFonts w:ascii="仿宋_GB2312;仿宋" w:eastAsia="仿宋_GB2312;仿宋" w:hAnsi="仿宋_GB2312;仿宋"/>
          <w:color w:val="000000"/>
          <w:sz w:val="28"/>
        </w:rPr>
        <w:t>——待估宗地交易情况指数</w:t>
      </w:r>
      <w:r>
        <w:rPr>
          <w:rFonts w:ascii="仿宋_GB2312;仿宋" w:eastAsia="仿宋_GB2312;仿宋" w:hAnsi="仿宋_GB2312;仿宋"/>
          <w:sz w:val="28"/>
        </w:rPr>
        <w:t>/</w:t>
      </w:r>
      <w:r>
        <w:rPr>
          <w:rFonts w:ascii="仿宋_GB2312;仿宋" w:eastAsia="仿宋_GB2312;仿宋" w:hAnsi="仿宋_GB2312;仿宋"/>
          <w:color w:val="000000"/>
          <w:sz w:val="28"/>
        </w:rPr>
        <w:t>比较实例宗地交易情况指数</w:t>
      </w:r>
    </w:p>
    <w:p w14:paraId="62B22EEA"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t>B</w:t>
      </w:r>
      <w:r>
        <w:rPr>
          <w:rFonts w:ascii="仿宋_GB2312;仿宋" w:eastAsia="仿宋_GB2312;仿宋" w:hAnsi="仿宋_GB2312;仿宋"/>
          <w:color w:val="000000"/>
          <w:sz w:val="28"/>
        </w:rPr>
        <w:t>——待估宗地</w:t>
      </w:r>
      <w:r>
        <w:rPr>
          <w:rFonts w:ascii="仿宋_GB2312;仿宋" w:eastAsia="仿宋_GB2312;仿宋" w:hAnsi="仿宋_GB2312;仿宋" w:cs="Arial"/>
          <w:color w:val="000000"/>
          <w:sz w:val="28"/>
        </w:rPr>
        <w:t>咨询期日</w:t>
      </w:r>
      <w:r>
        <w:rPr>
          <w:rFonts w:ascii="仿宋_GB2312;仿宋" w:eastAsia="仿宋_GB2312;仿宋" w:hAnsi="仿宋_GB2312;仿宋"/>
          <w:color w:val="000000"/>
          <w:sz w:val="28"/>
        </w:rPr>
        <w:t>地价指数</w:t>
      </w:r>
      <w:r>
        <w:rPr>
          <w:rFonts w:ascii="仿宋_GB2312;仿宋" w:eastAsia="仿宋_GB2312;仿宋" w:hAnsi="仿宋_GB2312;仿宋"/>
          <w:sz w:val="28"/>
        </w:rPr>
        <w:t>/</w:t>
      </w:r>
      <w:r>
        <w:rPr>
          <w:rFonts w:ascii="仿宋_GB2312;仿宋" w:eastAsia="仿宋_GB2312;仿宋" w:hAnsi="仿宋_GB2312;仿宋"/>
          <w:color w:val="000000"/>
          <w:sz w:val="28"/>
        </w:rPr>
        <w:t>比较实例宗地</w:t>
      </w:r>
      <w:r>
        <w:rPr>
          <w:rFonts w:ascii="仿宋_GB2312;仿宋" w:eastAsia="仿宋_GB2312;仿宋" w:hAnsi="仿宋_GB2312;仿宋" w:cs="Arial"/>
          <w:color w:val="000000"/>
          <w:sz w:val="28"/>
        </w:rPr>
        <w:t>交易日期地价</w:t>
      </w:r>
      <w:r>
        <w:rPr>
          <w:rFonts w:ascii="仿宋_GB2312;仿宋" w:eastAsia="仿宋_GB2312;仿宋" w:hAnsi="仿宋_GB2312;仿宋"/>
          <w:color w:val="000000"/>
          <w:sz w:val="28"/>
        </w:rPr>
        <w:t>指数</w:t>
      </w:r>
    </w:p>
    <w:p w14:paraId="68BEA03F"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t>C</w:t>
      </w:r>
      <w:r>
        <w:rPr>
          <w:rFonts w:ascii="仿宋_GB2312;仿宋" w:eastAsia="仿宋_GB2312;仿宋" w:hAnsi="仿宋_GB2312;仿宋"/>
          <w:color w:val="000000"/>
          <w:sz w:val="28"/>
        </w:rPr>
        <w:t>——待估宗地区域因素条件指数</w:t>
      </w:r>
      <w:r>
        <w:rPr>
          <w:rFonts w:ascii="仿宋_GB2312;仿宋" w:eastAsia="仿宋_GB2312;仿宋" w:hAnsi="仿宋_GB2312;仿宋"/>
          <w:sz w:val="28"/>
        </w:rPr>
        <w:t>/</w:t>
      </w:r>
      <w:r>
        <w:rPr>
          <w:rFonts w:ascii="仿宋_GB2312;仿宋" w:eastAsia="仿宋_GB2312;仿宋" w:hAnsi="仿宋_GB2312;仿宋"/>
          <w:color w:val="000000"/>
          <w:sz w:val="28"/>
        </w:rPr>
        <w:t>比较实例宗地区域因素条件指数</w:t>
      </w:r>
    </w:p>
    <w:p w14:paraId="74167789"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t>D</w:t>
      </w:r>
      <w:r>
        <w:rPr>
          <w:rFonts w:ascii="仿宋_GB2312;仿宋" w:eastAsia="仿宋_GB2312;仿宋" w:hAnsi="仿宋_GB2312;仿宋"/>
          <w:color w:val="000000"/>
          <w:sz w:val="28"/>
        </w:rPr>
        <w:t>——待估宗地个别因素条件指数</w:t>
      </w:r>
      <w:r>
        <w:rPr>
          <w:rFonts w:ascii="仿宋_GB2312;仿宋" w:eastAsia="仿宋_GB2312;仿宋" w:hAnsi="仿宋_GB2312;仿宋"/>
          <w:sz w:val="28"/>
        </w:rPr>
        <w:t>/</w:t>
      </w:r>
      <w:r>
        <w:rPr>
          <w:rFonts w:ascii="仿宋_GB2312;仿宋" w:eastAsia="仿宋_GB2312;仿宋" w:hAnsi="仿宋_GB2312;仿宋"/>
          <w:color w:val="000000"/>
          <w:sz w:val="28"/>
        </w:rPr>
        <w:t>比较实例宗地个别因素条件指数</w:t>
      </w:r>
    </w:p>
    <w:p w14:paraId="1CF4BD21"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rPr>
      </w:pPr>
      <w:r>
        <w:rPr>
          <w:rFonts w:ascii="Arial" w:eastAsia="仿宋_GB2312;仿宋" w:hAnsi="Arial" w:cs="Arial"/>
          <w:color w:val="000000"/>
          <w:sz w:val="28"/>
        </w:rPr>
        <w:t>E</w:t>
      </w:r>
      <w:r>
        <w:rPr>
          <w:rFonts w:ascii="仿宋_GB2312;仿宋" w:eastAsia="仿宋_GB2312;仿宋" w:hAnsi="仿宋_GB2312;仿宋"/>
          <w:color w:val="000000"/>
          <w:sz w:val="28"/>
        </w:rPr>
        <w:t>——待估宗地使用年期修正指数</w:t>
      </w:r>
      <w:r>
        <w:rPr>
          <w:rFonts w:ascii="仿宋_GB2312;仿宋" w:eastAsia="仿宋_GB2312;仿宋" w:hAnsi="仿宋_GB2312;仿宋"/>
          <w:sz w:val="28"/>
        </w:rPr>
        <w:t>/</w:t>
      </w:r>
      <w:r>
        <w:rPr>
          <w:rFonts w:ascii="仿宋_GB2312;仿宋" w:eastAsia="仿宋_GB2312;仿宋" w:hAnsi="仿宋_GB2312;仿宋"/>
          <w:color w:val="000000"/>
          <w:sz w:val="28"/>
        </w:rPr>
        <w:t>比较实例宗地使用年期修正指数</w:t>
      </w:r>
    </w:p>
    <w:p w14:paraId="7408664A" w14:textId="77777777" w:rsidR="00E70101" w:rsidRDefault="0060680B">
      <w:pPr>
        <w:pStyle w:val="34"/>
        <w:spacing w:line="360" w:lineRule="auto"/>
        <w:ind w:firstLine="560"/>
      </w:pPr>
      <w:r>
        <w:rPr>
          <w:rFonts w:eastAsia="仿宋_GB2312;仿宋"/>
        </w:rPr>
        <w:t>（</w:t>
      </w:r>
      <w:r>
        <w:rPr>
          <w:rFonts w:eastAsia="仿宋_GB2312;仿宋"/>
        </w:rPr>
        <w:t>2</w:t>
      </w:r>
      <w:r>
        <w:rPr>
          <w:rFonts w:eastAsia="仿宋_GB2312;仿宋"/>
        </w:rPr>
        <w:t>）</w:t>
      </w:r>
      <w:r>
        <w:rPr>
          <w:rFonts w:eastAsia="仿宋_GB2312;仿宋"/>
          <w:szCs w:val="28"/>
        </w:rPr>
        <w:t>成本逼近法</w:t>
      </w:r>
    </w:p>
    <w:p w14:paraId="014913C8" w14:textId="77777777" w:rsidR="00E70101" w:rsidRDefault="0060680B">
      <w:pPr>
        <w:pStyle w:val="LO-Normal"/>
        <w:autoSpaceDE w:val="0"/>
        <w:spacing w:line="360" w:lineRule="auto"/>
        <w:ind w:right="140" w:firstLine="570"/>
        <w:jc w:val="both"/>
        <w:textAlignment w:val="bottom"/>
      </w:pPr>
      <w:r>
        <w:rPr>
          <w:rFonts w:ascii="仿宋_GB2312;仿宋" w:eastAsia="仿宋_GB2312;仿宋" w:hAnsi="仿宋_GB2312;仿宋"/>
          <w:sz w:val="28"/>
        </w:rPr>
        <w:t>成本逼近法以取得和开发土地所耗费的各项客观费用之合为主要依据，加上客观的利润、利息、应缴纳的税金和土地增值收益等确定宗地价格的方法。</w:t>
      </w:r>
    </w:p>
    <w:p w14:paraId="6B888C89"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sz w:val="28"/>
        </w:rPr>
      </w:pPr>
      <w:r>
        <w:rPr>
          <w:rFonts w:ascii="仿宋_GB2312;仿宋" w:eastAsia="仿宋_GB2312;仿宋" w:hAnsi="仿宋_GB2312;仿宋"/>
          <w:sz w:val="28"/>
        </w:rPr>
        <w:t>其基本计算公式为：</w:t>
      </w:r>
    </w:p>
    <w:p w14:paraId="70845C67"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P</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w:t>
      </w:r>
      <w:r>
        <w:rPr>
          <w:rFonts w:ascii="Arial" w:eastAsia="仿宋_GB2312;仿宋" w:hAnsi="Arial" w:cs="Arial"/>
          <w:color w:val="000000"/>
          <w:sz w:val="28"/>
        </w:rPr>
        <w:t>E</w:t>
      </w:r>
      <w:r>
        <w:rPr>
          <w:rFonts w:ascii="Arial" w:eastAsia="仿宋_GB2312;仿宋" w:hAnsi="Arial" w:cs="Arial"/>
          <w:color w:val="000000"/>
          <w:sz w:val="28"/>
          <w:vertAlign w:val="subscript"/>
        </w:rPr>
        <w:t>a</w:t>
      </w:r>
      <w:r>
        <w:rPr>
          <w:rFonts w:cs="宋体;SimSun"/>
          <w:color w:val="000000"/>
          <w:sz w:val="28"/>
        </w:rPr>
        <w:t>+</w:t>
      </w:r>
      <w:r>
        <w:rPr>
          <w:rFonts w:ascii="Arial" w:eastAsia="仿宋_GB2312;仿宋" w:hAnsi="Arial" w:cs="Arial"/>
          <w:color w:val="000000"/>
          <w:sz w:val="28"/>
        </w:rPr>
        <w:t>E</w:t>
      </w:r>
      <w:r>
        <w:rPr>
          <w:rFonts w:ascii="Arial" w:eastAsia="仿宋_GB2312;仿宋" w:hAnsi="Arial" w:cs="Arial"/>
          <w:color w:val="000000"/>
          <w:sz w:val="28"/>
          <w:vertAlign w:val="subscript"/>
        </w:rPr>
        <w:t>d</w:t>
      </w:r>
      <w:r>
        <w:rPr>
          <w:rFonts w:cs="宋体;SimSun"/>
          <w:color w:val="000000"/>
          <w:sz w:val="28"/>
        </w:rPr>
        <w:t>+</w:t>
      </w:r>
      <w:r>
        <w:rPr>
          <w:rFonts w:ascii="Arial" w:eastAsia="仿宋_GB2312;仿宋" w:hAnsi="Arial" w:cs="Arial"/>
          <w:color w:val="000000"/>
          <w:sz w:val="28"/>
        </w:rPr>
        <w:t>T</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1</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2</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3</w:t>
      </w:r>
    </w:p>
    <w:p w14:paraId="20D9D1BB" w14:textId="77777777" w:rsidR="00E70101" w:rsidRDefault="0060680B">
      <w:pPr>
        <w:pStyle w:val="LO-Normal"/>
        <w:autoSpaceDE w:val="0"/>
        <w:spacing w:line="360" w:lineRule="auto"/>
        <w:ind w:right="140" w:firstLine="700"/>
        <w:jc w:val="both"/>
        <w:textAlignment w:val="bottom"/>
        <w:rPr>
          <w:rFonts w:ascii="仿宋_GB2312;仿宋" w:eastAsia="仿宋_GB2312;仿宋" w:hAnsi="仿宋_GB2312;仿宋"/>
          <w:color w:val="000000"/>
          <w:sz w:val="28"/>
        </w:rPr>
      </w:pPr>
      <w:r>
        <w:rPr>
          <w:rFonts w:ascii="仿宋_GB2312;仿宋" w:eastAsia="仿宋_GB2312;仿宋" w:hAnsi="仿宋_GB2312;仿宋"/>
          <w:color w:val="000000"/>
          <w:sz w:val="28"/>
        </w:rPr>
        <w:t xml:space="preserve">= </w:t>
      </w:r>
      <w:r>
        <w:rPr>
          <w:rFonts w:ascii="Arial" w:eastAsia="仿宋_GB2312;仿宋" w:hAnsi="Arial" w:cs="Arial"/>
          <w:color w:val="000000"/>
          <w:sz w:val="28"/>
        </w:rPr>
        <w:t>P</w:t>
      </w:r>
      <w:r>
        <w:rPr>
          <w:rFonts w:ascii="Arial" w:eastAsia="仿宋_GB2312;仿宋" w:hAnsi="Arial" w:cs="Arial"/>
          <w:color w:val="000000"/>
          <w:sz w:val="28"/>
          <w:vertAlign w:val="subscript"/>
        </w:rPr>
        <w:t>E</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3</w:t>
      </w:r>
    </w:p>
    <w:p w14:paraId="5F4FC594"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rPr>
      </w:pPr>
      <w:r>
        <w:rPr>
          <w:rFonts w:ascii="仿宋_GB2312;仿宋" w:eastAsia="仿宋_GB2312;仿宋" w:hAnsi="仿宋_GB2312;仿宋"/>
          <w:color w:val="000000"/>
          <w:sz w:val="28"/>
        </w:rPr>
        <w:t>式中：</w:t>
      </w:r>
    </w:p>
    <w:p w14:paraId="125BA605"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t>P</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——待估宗地价格</w:t>
      </w:r>
    </w:p>
    <w:p w14:paraId="60FCCCD4"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E</w:t>
      </w:r>
      <w:r>
        <w:rPr>
          <w:rFonts w:ascii="Arial" w:eastAsia="仿宋_GB2312;仿宋" w:hAnsi="Arial" w:cs="Arial"/>
          <w:color w:val="000000"/>
          <w:sz w:val="28"/>
          <w:vertAlign w:val="subscript"/>
        </w:rPr>
        <w:t>a</w:t>
      </w:r>
      <w:r>
        <w:rPr>
          <w:rFonts w:ascii="仿宋_GB2312;仿宋" w:eastAsia="仿宋_GB2312;仿宋" w:hAnsi="仿宋_GB2312;仿宋"/>
          <w:color w:val="000000"/>
          <w:sz w:val="28"/>
        </w:rPr>
        <w:t>——土地取得费</w:t>
      </w:r>
    </w:p>
    <w:p w14:paraId="5D4AD800"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E</w:t>
      </w:r>
      <w:r>
        <w:rPr>
          <w:rFonts w:ascii="Arial" w:eastAsia="仿宋_GB2312;仿宋" w:hAnsi="Arial" w:cs="Arial"/>
          <w:color w:val="000000"/>
          <w:sz w:val="28"/>
          <w:vertAlign w:val="subscript"/>
        </w:rPr>
        <w:t>d</w:t>
      </w:r>
      <w:r>
        <w:rPr>
          <w:rFonts w:ascii="仿宋_GB2312;仿宋" w:eastAsia="仿宋_GB2312;仿宋" w:hAnsi="仿宋_GB2312;仿宋"/>
          <w:color w:val="000000"/>
          <w:sz w:val="28"/>
        </w:rPr>
        <w:t>——土地开发费</w:t>
      </w:r>
    </w:p>
    <w:p w14:paraId="1B4D62ED"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t>T</w:t>
      </w:r>
      <w:r>
        <w:rPr>
          <w:rFonts w:ascii="仿宋_GB2312;仿宋" w:eastAsia="仿宋_GB2312;仿宋" w:hAnsi="仿宋_GB2312;仿宋"/>
          <w:color w:val="000000"/>
          <w:sz w:val="28"/>
        </w:rPr>
        <w:t>——税费</w:t>
      </w:r>
    </w:p>
    <w:p w14:paraId="02D8D94C"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——利息</w:t>
      </w:r>
    </w:p>
    <w:p w14:paraId="5414D8C1"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2</w:t>
      </w:r>
      <w:r>
        <w:rPr>
          <w:rFonts w:ascii="仿宋_GB2312;仿宋" w:eastAsia="仿宋_GB2312;仿宋" w:hAnsi="仿宋_GB2312;仿宋"/>
          <w:color w:val="000000"/>
          <w:sz w:val="28"/>
        </w:rPr>
        <w:t>——利润</w:t>
      </w:r>
    </w:p>
    <w:p w14:paraId="3ECC3B08"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3</w:t>
      </w:r>
      <w:r>
        <w:rPr>
          <w:rFonts w:ascii="仿宋_GB2312;仿宋" w:eastAsia="仿宋_GB2312;仿宋" w:hAnsi="仿宋_GB2312;仿宋"/>
          <w:color w:val="000000"/>
          <w:sz w:val="28"/>
        </w:rPr>
        <w:t>——土地增值</w:t>
      </w:r>
    </w:p>
    <w:p w14:paraId="3C01875C"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sz w:val="28"/>
        </w:rPr>
      </w:pPr>
      <w:r>
        <w:rPr>
          <w:rFonts w:ascii="Arial" w:eastAsia="仿宋_GB2312;仿宋" w:hAnsi="Arial" w:cs="Arial"/>
          <w:color w:val="000000"/>
          <w:sz w:val="28"/>
        </w:rPr>
        <w:t>P</w:t>
      </w:r>
      <w:r>
        <w:rPr>
          <w:rFonts w:ascii="Arial" w:eastAsia="仿宋_GB2312;仿宋" w:hAnsi="Arial" w:cs="Arial"/>
          <w:color w:val="000000"/>
          <w:sz w:val="28"/>
          <w:vertAlign w:val="subscript"/>
        </w:rPr>
        <w:t>E</w:t>
      </w:r>
      <w:r>
        <w:rPr>
          <w:rFonts w:ascii="仿宋_GB2312;仿宋" w:eastAsia="仿宋_GB2312;仿宋" w:hAnsi="仿宋_GB2312;仿宋"/>
          <w:color w:val="000000"/>
          <w:sz w:val="28"/>
        </w:rPr>
        <w:t>——土地成本价格</w:t>
      </w:r>
    </w:p>
    <w:p w14:paraId="21B2AC04"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（二）咨询过程</w:t>
      </w:r>
    </w:p>
    <w:p w14:paraId="5E7DD5E4" w14:textId="77777777" w:rsidR="00E70101" w:rsidRDefault="0060680B">
      <w:pPr>
        <w:spacing w:line="360" w:lineRule="auto"/>
        <w:ind w:firstLine="560"/>
        <w:rPr>
          <w:rFonts w:ascii="Arial" w:eastAsia="仿宋_GB2312;仿宋" w:hAnsi="Arial" w:cs="Arial"/>
          <w:sz w:val="28"/>
          <w:szCs w:val="28"/>
        </w:rPr>
      </w:pPr>
      <w:r>
        <w:rPr>
          <w:rFonts w:ascii="Arial" w:eastAsia="仿宋_GB2312;仿宋" w:hAnsi="Arial" w:cs="Arial"/>
          <w:sz w:val="28"/>
        </w:rPr>
        <w:t>收购补偿价格</w:t>
      </w:r>
      <w:r>
        <w:rPr>
          <w:rFonts w:ascii="Arial" w:eastAsia="仿宋_GB2312;仿宋" w:hAnsi="Arial" w:cs="Arial"/>
          <w:sz w:val="28"/>
        </w:rPr>
        <w:t>=</w:t>
      </w:r>
      <w:r>
        <w:rPr>
          <w:rFonts w:ascii="Arial" w:eastAsia="仿宋_GB2312;仿宋" w:hAnsi="Arial" w:cs="Arial"/>
          <w:sz w:val="28"/>
        </w:rPr>
        <w:t>土地使用权价格</w:t>
      </w:r>
      <w:r>
        <w:rPr>
          <w:rFonts w:ascii="Arial" w:eastAsia="仿宋_GB2312;仿宋" w:hAnsi="Arial" w:cs="Arial"/>
          <w:sz w:val="28"/>
        </w:rPr>
        <w:t>+</w:t>
      </w:r>
      <w:r>
        <w:rPr>
          <w:rFonts w:ascii="Arial" w:eastAsia="仿宋_GB2312;仿宋" w:hAnsi="Arial" w:cs="Arial"/>
          <w:sz w:val="28"/>
        </w:rPr>
        <w:t>建筑物价格</w:t>
      </w:r>
      <w:r>
        <w:rPr>
          <w:rFonts w:ascii="Arial" w:eastAsia="仿宋_GB2312;仿宋" w:hAnsi="Arial" w:cs="Arial"/>
          <w:sz w:val="28"/>
        </w:rPr>
        <w:t>+</w:t>
      </w:r>
      <w:r>
        <w:rPr>
          <w:rFonts w:ascii="Arial" w:eastAsia="仿宋_GB2312;仿宋" w:hAnsi="Arial" w:cs="Arial"/>
          <w:sz w:val="28"/>
        </w:rPr>
        <w:t>附属物价格</w:t>
      </w:r>
      <w:r>
        <w:rPr>
          <w:rFonts w:ascii="Arial" w:eastAsia="仿宋_GB2312;仿宋" w:hAnsi="Arial" w:cs="Arial"/>
          <w:sz w:val="28"/>
        </w:rPr>
        <w:t>+</w:t>
      </w:r>
      <w:r>
        <w:rPr>
          <w:rFonts w:ascii="Arial" w:eastAsia="仿宋_GB2312;仿宋" w:hAnsi="Arial" w:cs="Arial"/>
          <w:sz w:val="28"/>
        </w:rPr>
        <w:t>设施设备补偿价格</w:t>
      </w:r>
      <w:r>
        <w:rPr>
          <w:rFonts w:ascii="Arial" w:eastAsia="仿宋_GB2312;仿宋" w:hAnsi="Arial" w:cs="Arial"/>
          <w:sz w:val="28"/>
        </w:rPr>
        <w:t>+</w:t>
      </w:r>
      <w:r>
        <w:rPr>
          <w:rFonts w:ascii="Arial" w:eastAsia="仿宋_GB2312;仿宋" w:hAnsi="Arial" w:cs="Arial"/>
          <w:sz w:val="28"/>
        </w:rPr>
        <w:t>停产停业损失补偿费用</w:t>
      </w:r>
      <w:r>
        <w:rPr>
          <w:rFonts w:ascii="Arial" w:eastAsia="仿宋_GB2312;仿宋" w:hAnsi="Arial" w:cs="Arial"/>
          <w:sz w:val="28"/>
        </w:rPr>
        <w:t>+</w:t>
      </w:r>
      <w:r>
        <w:rPr>
          <w:rFonts w:ascii="Arial" w:eastAsia="仿宋_GB2312;仿宋" w:hAnsi="Arial" w:cs="Arial"/>
          <w:sz w:val="28"/>
        </w:rPr>
        <w:t>搬迁补偿费用</w:t>
      </w:r>
    </w:p>
    <w:p w14:paraId="1C836DC3" w14:textId="77777777" w:rsidR="00E70101" w:rsidRDefault="0060680B">
      <w:pPr>
        <w:spacing w:line="360" w:lineRule="auto"/>
        <w:jc w:val="both"/>
        <w:rPr>
          <w:rFonts w:ascii="Arial" w:eastAsia="仿宋_GB2312;仿宋" w:hAnsi="Arial" w:cs="Arial"/>
          <w:b/>
          <w:sz w:val="28"/>
        </w:rPr>
      </w:pPr>
      <w:r>
        <w:rPr>
          <w:rFonts w:ascii="Arial" w:eastAsia="仿宋_GB2312;仿宋" w:hAnsi="Arial" w:cs="Arial"/>
          <w:b/>
          <w:sz w:val="28"/>
        </w:rPr>
        <w:t>估算过程</w:t>
      </w:r>
    </w:p>
    <w:p w14:paraId="791694D3" w14:textId="77777777" w:rsidR="00E70101" w:rsidRDefault="0060680B">
      <w:pPr>
        <w:spacing w:line="360" w:lineRule="auto"/>
        <w:rPr>
          <w:rFonts w:ascii="Arial" w:eastAsia="仿宋_GB2312;仿宋" w:hAnsi="Arial" w:cs="Arial"/>
          <w:b/>
          <w:sz w:val="28"/>
        </w:rPr>
      </w:pPr>
      <w:r>
        <w:rPr>
          <w:rFonts w:ascii="Arial" w:eastAsia="仿宋_GB2312;仿宋" w:hAnsi="Arial" w:cs="Arial"/>
          <w:b/>
          <w:sz w:val="28"/>
        </w:rPr>
        <w:t>一、运用市场比较法求取土地使用权价格</w:t>
      </w:r>
    </w:p>
    <w:p w14:paraId="72584B53" w14:textId="77777777" w:rsidR="00E70101" w:rsidRDefault="0060680B">
      <w:pPr>
        <w:pStyle w:val="af3"/>
        <w:spacing w:line="360" w:lineRule="auto"/>
        <w:ind w:firstLine="562"/>
        <w:rPr>
          <w:rFonts w:ascii="仿宋_GB2312;仿宋" w:eastAsia="仿宋_GB2312;仿宋" w:hAnsi="仿宋_GB2312;仿宋" w:cs="Arial"/>
          <w:sz w:val="28"/>
          <w:szCs w:val="28"/>
        </w:rPr>
      </w:pPr>
      <w:r>
        <w:rPr>
          <w:rFonts w:ascii="Arial" w:eastAsia="仿宋_GB2312;仿宋" w:hAnsi="Arial" w:cs="Arial"/>
          <w:b/>
          <w:sz w:val="28"/>
          <w:szCs w:val="28"/>
        </w:rPr>
        <w:t>1.</w:t>
      </w:r>
      <w:r>
        <w:rPr>
          <w:rFonts w:ascii="Arial" w:eastAsia="仿宋_GB2312;仿宋" w:hAnsi="Arial" w:cs="Arial"/>
          <w:sz w:val="28"/>
        </w:rPr>
        <w:t>根据替代原则</w:t>
      </w:r>
      <w:r>
        <w:rPr>
          <w:rFonts w:ascii="仿宋_GB2312;仿宋" w:eastAsia="仿宋_GB2312;仿宋" w:hAnsi="仿宋_GB2312;仿宋" w:cs="Arial"/>
          <w:sz w:val="28"/>
          <w:szCs w:val="28"/>
        </w:rPr>
        <w:t>选取可比实例</w:t>
      </w:r>
    </w:p>
    <w:p w14:paraId="404EA5EA" w14:textId="77777777" w:rsidR="00E70101" w:rsidRDefault="0060680B">
      <w:pPr>
        <w:spacing w:line="360" w:lineRule="auto"/>
        <w:ind w:firstLine="560"/>
        <w:jc w:val="both"/>
        <w:textAlignment w:val="bottom"/>
        <w:rPr>
          <w:rFonts w:ascii="Arial" w:eastAsia="仿宋_GB2312;仿宋" w:hAnsi="Arial" w:cs="Arial"/>
          <w:sz w:val="28"/>
          <w:szCs w:val="28"/>
          <w:lang w:val="zh-CN"/>
        </w:rPr>
      </w:pPr>
      <w:r>
        <w:rPr>
          <w:rFonts w:ascii="Arial" w:eastAsia="仿宋_GB2312;仿宋" w:hAnsi="Arial" w:cs="Arial"/>
          <w:sz w:val="28"/>
          <w:szCs w:val="28"/>
          <w:lang w:val="zh-CN"/>
        </w:rPr>
        <w:t>通过对北京市类似用途划拨用地市场的调查，每个区域类似交易不均衡。</w:t>
      </w:r>
      <w:r>
        <w:rPr>
          <w:rFonts w:ascii="Arial" w:eastAsia="仿宋_GB2312;仿宋" w:hAnsi="Arial" w:cs="Arial"/>
          <w:sz w:val="28"/>
          <w:szCs w:val="28"/>
          <w:lang w:val="zh-CN"/>
        </w:rPr>
        <w:t>2020</w:t>
      </w:r>
      <w:r>
        <w:rPr>
          <w:rFonts w:ascii="Arial" w:eastAsia="仿宋_GB2312;仿宋" w:hAnsi="Arial" w:cs="Arial"/>
          <w:sz w:val="28"/>
          <w:szCs w:val="28"/>
          <w:lang w:val="zh-CN"/>
        </w:rPr>
        <w:t>年</w:t>
      </w:r>
      <w:r>
        <w:rPr>
          <w:rFonts w:ascii="Arial" w:eastAsia="仿宋_GB2312;仿宋" w:hAnsi="Arial" w:cs="Arial"/>
          <w:sz w:val="28"/>
          <w:szCs w:val="28"/>
          <w:lang w:val="zh-CN"/>
        </w:rPr>
        <w:t>-2024</w:t>
      </w:r>
      <w:r>
        <w:rPr>
          <w:rFonts w:ascii="Arial" w:eastAsia="仿宋_GB2312;仿宋" w:hAnsi="Arial" w:cs="Arial"/>
          <w:sz w:val="28"/>
          <w:szCs w:val="28"/>
          <w:lang w:val="zh-CN"/>
        </w:rPr>
        <w:t>年，全市类似交易较少。昌平区近三年鲜有成交，有的项目是复合型，集体土地和国有土地混合，住宅和非住宅混合，很难分解到具体细项。考虑产业集聚度、基础设施配套、区域土地利用方向、交通便捷程度及宗地自身情况等因素，选取位置相似、交易时间较接近、土地用途相同的三宗交易实例。具体情况如下：</w:t>
      </w:r>
    </w:p>
    <w:p w14:paraId="243FD81A" w14:textId="77777777" w:rsidR="00E70101" w:rsidRDefault="0060680B">
      <w:pPr>
        <w:spacing w:line="360" w:lineRule="auto"/>
        <w:ind w:firstLine="562"/>
        <w:jc w:val="both"/>
        <w:textAlignment w:val="bottom"/>
        <w:rPr>
          <w:rFonts w:ascii="仿宋_GB2312;仿宋" w:eastAsia="仿宋_GB2312;仿宋" w:hAnsi="仿宋_GB2312;仿宋"/>
          <w:color w:val="000000"/>
          <w:sz w:val="28"/>
        </w:rPr>
      </w:pPr>
      <w:r>
        <w:rPr>
          <w:rFonts w:ascii="仿宋_GB2312;仿宋" w:eastAsia="仿宋_GB2312;仿宋" w:hAnsi="仿宋_GB2312;仿宋"/>
          <w:b/>
          <w:color w:val="000000"/>
          <w:sz w:val="28"/>
        </w:rPr>
        <w:t>实例</w:t>
      </w:r>
      <w:r>
        <w:rPr>
          <w:rFonts w:ascii="Arial" w:eastAsia="仿宋_GB2312;仿宋" w:hAnsi="Arial" w:cs="Arial"/>
          <w:b/>
          <w:color w:val="000000"/>
          <w:sz w:val="28"/>
        </w:rPr>
        <w:t>A</w:t>
      </w:r>
      <w:r>
        <w:rPr>
          <w:rFonts w:ascii="仿宋_GB2312;仿宋" w:eastAsia="仿宋_GB2312;仿宋" w:hAnsi="仿宋_GB2312;仿宋"/>
          <w:b/>
          <w:color w:val="000000"/>
          <w:sz w:val="28"/>
        </w:rPr>
        <w:t>：</w:t>
      </w:r>
      <w:r>
        <w:rPr>
          <w:rFonts w:ascii="仿宋_GB2312;仿宋" w:eastAsia="仿宋_GB2312;仿宋" w:hAnsi="仿宋_GB2312;仿宋"/>
          <w:sz w:val="28"/>
        </w:rPr>
        <w:t>通州区张家湾镇张辛庄村</w:t>
      </w:r>
    </w:p>
    <w:p w14:paraId="40522BF8" w14:textId="77777777" w:rsidR="00E70101" w:rsidRDefault="0060680B">
      <w:pPr>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实例</w:t>
      </w:r>
      <w:r>
        <w:rPr>
          <w:rFonts w:ascii="Arial" w:eastAsia="仿宋_GB2312;仿宋" w:hAnsi="Arial" w:cs="Arial"/>
          <w:sz w:val="28"/>
        </w:rPr>
        <w:t>A</w:t>
      </w:r>
      <w:r>
        <w:rPr>
          <w:rFonts w:ascii="Arial" w:eastAsia="仿宋_GB2312;仿宋" w:hAnsi="Arial" w:cs="Arial"/>
          <w:sz w:val="28"/>
        </w:rPr>
        <w:t>位于通州区张家湾镇，周边以产业用地为主，邻近广聚设计园、北京东方金炬科技产业园、北京市北泡轻钢建材有限公司等多个产业园区，产业集聚程度较好；临近城市主干道</w:t>
      </w:r>
      <w:r>
        <w:rPr>
          <w:rFonts w:ascii="Arial" w:eastAsia="仿宋_GB2312;仿宋" w:hAnsi="Arial" w:cs="Arial"/>
          <w:sz w:val="28"/>
        </w:rPr>
        <w:t>——</w:t>
      </w:r>
      <w:r>
        <w:rPr>
          <w:rFonts w:ascii="Arial" w:eastAsia="仿宋_GB2312;仿宋" w:hAnsi="Arial" w:cs="Arial"/>
          <w:sz w:val="28"/>
        </w:rPr>
        <w:t>京塘路、张梁路，周边有多条公交线路经停，区域道路较密集，交通便捷度较好；周边以产业用地为主，零星有其他用地，基本不影响本宗地；所处区域目前已拥有较完善的基础设施配套保障，区域内大部分基础设施配套目前可达到</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条件，公共服务设施配套完善，能够保证工作、生产需要，基础设施配套完善度好；周边有北运河、城市绿心森林公园等自然景观；人文设施较少，综合评价环境状况一般。土地用途为工业，土地使用权类型为划拨，无年期限制，宗地形状较规则。土地面积</w:t>
      </w:r>
      <w:r>
        <w:rPr>
          <w:rFonts w:ascii="Arial" w:eastAsia="仿宋_GB2312;仿宋" w:hAnsi="Arial" w:cs="Arial"/>
          <w:sz w:val="28"/>
        </w:rPr>
        <w:t>57037.94</w:t>
      </w:r>
      <w:r>
        <w:rPr>
          <w:rFonts w:ascii="Arial" w:eastAsia="仿宋_GB2312;仿宋" w:hAnsi="Arial" w:cs="Arial"/>
          <w:sz w:val="28"/>
        </w:rPr>
        <w:t>平方米，容积率小于</w:t>
      </w:r>
      <w:r>
        <w:rPr>
          <w:rFonts w:ascii="Arial" w:eastAsia="仿宋_GB2312;仿宋" w:hAnsi="Arial" w:cs="Arial"/>
          <w:sz w:val="28"/>
        </w:rPr>
        <w:t>1.0</w:t>
      </w:r>
      <w:r>
        <w:rPr>
          <w:rFonts w:ascii="Arial" w:eastAsia="仿宋_GB2312;仿宋" w:hAnsi="Arial" w:cs="Arial"/>
          <w:sz w:val="28"/>
        </w:rPr>
        <w:t>。交易日期为</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日，交易情况为征收，单位面积土地交易价格为</w:t>
      </w:r>
      <w:r>
        <w:rPr>
          <w:rFonts w:ascii="Arial" w:eastAsia="仿宋_GB2312;仿宋" w:hAnsi="Arial" w:cs="Arial"/>
          <w:sz w:val="28"/>
        </w:rPr>
        <w:t>4319</w:t>
      </w:r>
      <w:r>
        <w:rPr>
          <w:rFonts w:ascii="Arial" w:eastAsia="仿宋_GB2312;仿宋" w:hAnsi="Arial" w:cs="Arial"/>
          <w:sz w:val="28"/>
        </w:rPr>
        <w:t>元</w:t>
      </w:r>
      <w:r>
        <w:rPr>
          <w:rFonts w:ascii="Arial" w:eastAsia="仿宋_GB2312;仿宋" w:hAnsi="Arial" w:cs="Arial"/>
          <w:sz w:val="28"/>
        </w:rPr>
        <w:t>/</w:t>
      </w:r>
      <w:r>
        <w:rPr>
          <w:rFonts w:ascii="Arial" w:eastAsia="仿宋_GB2312;仿宋" w:hAnsi="Arial" w:cs="Arial"/>
          <w:sz w:val="28"/>
        </w:rPr>
        <w:t>平方米。</w:t>
      </w:r>
    </w:p>
    <w:p w14:paraId="2B6DB0B9" w14:textId="77777777" w:rsidR="00E70101" w:rsidRDefault="0060680B">
      <w:pPr>
        <w:spacing w:line="360" w:lineRule="auto"/>
        <w:ind w:firstLine="562"/>
        <w:jc w:val="both"/>
        <w:textAlignment w:val="bottom"/>
        <w:rPr>
          <w:rFonts w:ascii="仿宋_GB2312;仿宋" w:eastAsia="仿宋_GB2312;仿宋" w:hAnsi="仿宋_GB2312;仿宋"/>
          <w:color w:val="000000"/>
          <w:sz w:val="28"/>
        </w:rPr>
      </w:pPr>
      <w:r>
        <w:rPr>
          <w:rFonts w:ascii="仿宋_GB2312;仿宋" w:eastAsia="仿宋_GB2312;仿宋" w:hAnsi="仿宋_GB2312;仿宋"/>
          <w:b/>
          <w:color w:val="000000"/>
          <w:sz w:val="28"/>
        </w:rPr>
        <w:t>实例</w:t>
      </w:r>
      <w:r>
        <w:rPr>
          <w:rFonts w:ascii="Arial" w:eastAsia="仿宋_GB2312;仿宋" w:hAnsi="Arial" w:cs="Arial"/>
          <w:b/>
          <w:color w:val="000000"/>
          <w:sz w:val="28"/>
        </w:rPr>
        <w:t>B</w:t>
      </w:r>
      <w:r>
        <w:rPr>
          <w:rFonts w:ascii="仿宋_GB2312;仿宋" w:eastAsia="仿宋_GB2312;仿宋" w:hAnsi="仿宋_GB2312;仿宋"/>
          <w:b/>
          <w:color w:val="000000"/>
          <w:sz w:val="28"/>
        </w:rPr>
        <w:t>：</w:t>
      </w:r>
      <w:r>
        <w:rPr>
          <w:rFonts w:ascii="仿宋_GB2312;仿宋" w:eastAsia="仿宋_GB2312;仿宋" w:hAnsi="仿宋_GB2312;仿宋"/>
          <w:sz w:val="28"/>
        </w:rPr>
        <w:t>通州区张家湾镇张辛庄村</w:t>
      </w:r>
    </w:p>
    <w:p w14:paraId="2A2164B4" w14:textId="77777777" w:rsidR="00E70101" w:rsidRDefault="0060680B">
      <w:pPr>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实例</w:t>
      </w:r>
      <w:r>
        <w:rPr>
          <w:rFonts w:ascii="Arial" w:eastAsia="仿宋_GB2312;仿宋" w:hAnsi="Arial" w:cs="Arial"/>
          <w:sz w:val="28"/>
        </w:rPr>
        <w:t>B</w:t>
      </w:r>
      <w:r>
        <w:rPr>
          <w:rFonts w:ascii="Arial" w:eastAsia="仿宋_GB2312;仿宋" w:hAnsi="Arial" w:cs="Arial"/>
          <w:sz w:val="28"/>
        </w:rPr>
        <w:t>位于通州区张家湾镇，周边以产业用地为主，邻近广聚设计园、北京东方金炬科技产业园、北京市北泡轻钢建材有限公司等多个产业园区，产业集聚程度较好；临近城市主干道</w:t>
      </w:r>
      <w:r>
        <w:rPr>
          <w:rFonts w:ascii="Arial" w:eastAsia="仿宋_GB2312;仿宋" w:hAnsi="Arial" w:cs="Arial"/>
          <w:sz w:val="28"/>
        </w:rPr>
        <w:t>——</w:t>
      </w:r>
      <w:r>
        <w:rPr>
          <w:rFonts w:ascii="Arial" w:eastAsia="仿宋_GB2312;仿宋" w:hAnsi="Arial" w:cs="Arial"/>
          <w:sz w:val="28"/>
        </w:rPr>
        <w:t>京塘路、张梁路，周边有多条公交线路经停，区域道路较密集，交通便捷度较好；周边以产业用地为主，零星有其他用地，基本不影响本宗地；所处区域目前已拥有较完善的基础设施配套保障，区内大部分区域基础设施配套目前可达到</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条件，公共服务设施配套完善，能够保证工作、生产需要，基础设施配套完善度好；周边有北运河、城市绿心森林公园等自然景观；人文设施较少，综合评价环境状况一般。土地用途为工业，土地使用权类型为划拨，无年期限制，宗地形状较规则。土地面积</w:t>
      </w:r>
      <w:r>
        <w:rPr>
          <w:rFonts w:ascii="Arial" w:eastAsia="仿宋_GB2312;仿宋" w:hAnsi="Arial" w:cs="Arial"/>
          <w:sz w:val="28"/>
        </w:rPr>
        <w:t>63417.17</w:t>
      </w:r>
      <w:r>
        <w:rPr>
          <w:rFonts w:ascii="Arial" w:eastAsia="仿宋_GB2312;仿宋" w:hAnsi="Arial" w:cs="Arial"/>
          <w:sz w:val="28"/>
        </w:rPr>
        <w:t>平方米，容积率小于</w:t>
      </w:r>
      <w:r>
        <w:rPr>
          <w:rFonts w:ascii="Arial" w:eastAsia="仿宋_GB2312;仿宋" w:hAnsi="Arial" w:cs="Arial"/>
          <w:sz w:val="28"/>
        </w:rPr>
        <w:t>1.0</w:t>
      </w:r>
      <w:r>
        <w:rPr>
          <w:rFonts w:ascii="Arial" w:eastAsia="仿宋_GB2312;仿宋" w:hAnsi="Arial" w:cs="Arial"/>
          <w:sz w:val="28"/>
        </w:rPr>
        <w:t>。交易日期为</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日，交易情况为征收，单位面积土地交易价格为</w:t>
      </w:r>
      <w:r>
        <w:rPr>
          <w:rFonts w:ascii="Arial" w:eastAsia="仿宋_GB2312;仿宋" w:hAnsi="Arial" w:cs="Arial"/>
          <w:sz w:val="28"/>
        </w:rPr>
        <w:t>4319</w:t>
      </w:r>
      <w:r>
        <w:rPr>
          <w:rFonts w:ascii="Arial" w:eastAsia="仿宋_GB2312;仿宋" w:hAnsi="Arial" w:cs="Arial"/>
          <w:sz w:val="28"/>
        </w:rPr>
        <w:t>元</w:t>
      </w:r>
      <w:r>
        <w:rPr>
          <w:rFonts w:ascii="Arial" w:eastAsia="仿宋_GB2312;仿宋" w:hAnsi="Arial" w:cs="Arial"/>
          <w:sz w:val="28"/>
        </w:rPr>
        <w:t>/</w:t>
      </w:r>
      <w:r>
        <w:rPr>
          <w:rFonts w:ascii="Arial" w:eastAsia="仿宋_GB2312;仿宋" w:hAnsi="Arial" w:cs="Arial"/>
          <w:sz w:val="28"/>
        </w:rPr>
        <w:t>平方米。</w:t>
      </w:r>
    </w:p>
    <w:p w14:paraId="5E210968" w14:textId="77777777" w:rsidR="00E70101" w:rsidRDefault="0060680B">
      <w:pPr>
        <w:pStyle w:val="af3"/>
        <w:tabs>
          <w:tab w:val="left" w:pos="3360"/>
        </w:tabs>
        <w:spacing w:line="360" w:lineRule="auto"/>
        <w:ind w:firstLine="562"/>
        <w:rPr>
          <w:rFonts w:ascii="仿宋_GB2312;仿宋" w:eastAsia="仿宋_GB2312;仿宋" w:hAnsi="仿宋_GB2312;仿宋"/>
          <w:b/>
          <w:color w:val="000000"/>
          <w:sz w:val="28"/>
          <w:lang w:val="en-US"/>
        </w:rPr>
      </w:pPr>
      <w:r>
        <w:rPr>
          <w:rFonts w:ascii="仿宋_GB2312;仿宋" w:eastAsia="仿宋_GB2312;仿宋" w:hAnsi="仿宋_GB2312;仿宋"/>
          <w:b/>
          <w:color w:val="000000"/>
          <w:sz w:val="28"/>
          <w:lang w:val="en-US"/>
        </w:rPr>
        <w:t>实例C：通州区永顺镇小圣庙村北</w:t>
      </w:r>
    </w:p>
    <w:p w14:paraId="3472C794" w14:textId="77777777" w:rsidR="00E70101" w:rsidRDefault="0060680B">
      <w:pPr>
        <w:pStyle w:val="af3"/>
        <w:tabs>
          <w:tab w:val="left" w:pos="3360"/>
        </w:tabs>
        <w:spacing w:line="360" w:lineRule="auto"/>
        <w:ind w:firstLine="560"/>
        <w:rPr>
          <w:rFonts w:ascii="仿宋_GB2312;仿宋" w:eastAsia="仿宋_GB2312;仿宋" w:hAnsi="仿宋_GB2312;仿宋"/>
          <w:color w:val="000000"/>
          <w:sz w:val="28"/>
          <w:lang w:val="en-US"/>
        </w:rPr>
      </w:pPr>
      <w:r>
        <w:rPr>
          <w:rFonts w:ascii="仿宋_GB2312;仿宋" w:eastAsia="仿宋_GB2312;仿宋" w:hAnsi="仿宋_GB2312;仿宋"/>
          <w:color w:val="000000"/>
          <w:sz w:val="28"/>
          <w:lang w:val="en-US"/>
        </w:rPr>
        <w:t>实例C位于通州区永顺镇，周边以产业用地为主，邻近广聚设计园、北京东方金炬科技产业园、北京市北泡轻钢建材有限公司等多个产业园区，产业集聚程度较好；临近城市高速路——南六环路，周边有多条公交线路经停，区域道路较密集，交通便捷度较好；周边以产业用地为主，零星有其他用地，基本不影响本宗地；所处区域目前已拥有较完善的基础设施配套保障，区内大部分区域基础设施配套目前可达到“七通”条件，公共服务设施配套完善，能够保证工作、生产需要，基础设施配套完善度好；周边有北运河、城市绿心森林公园等自然景观；人文设施较少，综合评价环境状况一般。土地用途为工业，土地使用权类型为划拨，无年期限制，宗地形状较规则。土地面积3586.3平方米，容积率小于1.0。交易日期为2020年6月1日，交易情况为征收，单位面积土地交易价格为4577元/平方米。</w:t>
      </w:r>
    </w:p>
    <w:p w14:paraId="325F48B7" w14:textId="77777777" w:rsidR="00E70101" w:rsidRDefault="0060680B">
      <w:pPr>
        <w:spacing w:line="360" w:lineRule="auto"/>
        <w:ind w:firstLine="560"/>
        <w:jc w:val="both"/>
        <w:rPr>
          <w:rFonts w:ascii="仿宋_GB2312;仿宋" w:eastAsia="仿宋_GB2312;仿宋" w:hAnsi="仿宋_GB2312;仿宋"/>
          <w:sz w:val="28"/>
          <w:szCs w:val="28"/>
        </w:rPr>
      </w:pPr>
      <w:r>
        <w:rPr>
          <w:rFonts w:ascii="仿宋_GB2312;仿宋" w:eastAsia="仿宋_GB2312;仿宋" w:hAnsi="仿宋_GB2312;仿宋"/>
          <w:sz w:val="28"/>
          <w:szCs w:val="28"/>
        </w:rPr>
        <w:t>咨询对象及实例位置示意图：</w:t>
      </w:r>
    </w:p>
    <w:p w14:paraId="0C75670E" w14:textId="77777777" w:rsidR="00E70101" w:rsidRDefault="0060680B">
      <w:pPr>
        <w:spacing w:line="360" w:lineRule="auto"/>
        <w:jc w:val="center"/>
        <w:rPr>
          <w:rFonts w:ascii="仿宋_GB2312;仿宋" w:eastAsia="仿宋_GB2312;仿宋" w:hAnsi="仿宋_GB2312;仿宋" w:cs="Arial"/>
          <w:bCs/>
          <w:sz w:val="28"/>
        </w:rPr>
      </w:pPr>
      <w:r>
        <w:rPr>
          <w:noProof/>
        </w:rPr>
        <w:drawing>
          <wp:inline distT="0" distB="0" distL="0" distR="0" wp14:anchorId="2F02EC5C" wp14:editId="1E323F6B">
            <wp:extent cx="4413250" cy="2466340"/>
            <wp:effectExtent l="0" t="0" r="0" b="0"/>
            <wp:docPr id="35" name="图像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像9"/>
                    <pic:cNvPicPr>
                      <a:picLocks noChangeAspect="1" noChangeArrowheads="1"/>
                    </pic:cNvPicPr>
                  </pic:nvPicPr>
                  <pic:blipFill>
                    <a:blip r:embed="rId65"/>
                    <a:srcRect l="-5" t="-9" r="-5" b="-9"/>
                    <a:stretch>
                      <a:fillRect/>
                    </a:stretch>
                  </pic:blipFill>
                  <pic:spPr bwMode="auto">
                    <a:xfrm>
                      <a:off x="0" y="0"/>
                      <a:ext cx="4413250" cy="2466340"/>
                    </a:xfrm>
                    <a:prstGeom prst="rect">
                      <a:avLst/>
                    </a:prstGeom>
                  </pic:spPr>
                </pic:pic>
              </a:graphicData>
            </a:graphic>
          </wp:inline>
        </w:drawing>
      </w:r>
    </w:p>
    <w:p w14:paraId="0EFF3E02" w14:textId="77777777" w:rsidR="00E70101" w:rsidRDefault="00E70101">
      <w:pPr>
        <w:spacing w:line="360" w:lineRule="auto"/>
        <w:ind w:firstLine="560"/>
        <w:outlineLvl w:val="0"/>
        <w:rPr>
          <w:rFonts w:ascii="Arial" w:eastAsia="仿宋_GB2312;仿宋" w:hAnsi="Arial" w:cs="Arial"/>
          <w:bCs/>
          <w:sz w:val="28"/>
          <w:szCs w:val="28"/>
        </w:rPr>
        <w:sectPr w:rsidR="00E70101">
          <w:headerReference w:type="default" r:id="rId66"/>
          <w:footerReference w:type="default" r:id="rId67"/>
          <w:pgSz w:w="11906" w:h="16838"/>
          <w:pgMar w:top="1843" w:right="1304" w:bottom="1134" w:left="1304" w:header="1134" w:footer="907" w:gutter="0"/>
          <w:cols w:space="720"/>
          <w:formProt w:val="0"/>
          <w:docGrid w:type="lines" w:linePitch="326"/>
        </w:sectPr>
      </w:pPr>
    </w:p>
    <w:p w14:paraId="70FA95DC" w14:textId="77777777" w:rsidR="00E70101" w:rsidRDefault="0060680B">
      <w:pPr>
        <w:pStyle w:val="af3"/>
        <w:spacing w:line="360" w:lineRule="auto"/>
        <w:ind w:firstLine="560"/>
      </w:pPr>
      <w:r>
        <w:rPr>
          <w:rFonts w:ascii="Arial" w:eastAsia="仿宋_GB2312;仿宋" w:hAnsi="Arial" w:cs="Arial"/>
          <w:bCs/>
          <w:sz w:val="28"/>
        </w:rPr>
        <w:t>2.</w:t>
      </w:r>
      <w:r>
        <w:rPr>
          <w:rFonts w:ascii="Arial" w:eastAsia="仿宋_GB2312;仿宋" w:hAnsi="Arial" w:cs="Arial"/>
          <w:bCs/>
          <w:sz w:val="28"/>
        </w:rPr>
        <w:t>市场比较法中咨询对象及三个成交实例</w:t>
      </w:r>
    </w:p>
    <w:p w14:paraId="58540F88" w14:textId="77777777" w:rsidR="00E70101" w:rsidRDefault="0060680B">
      <w:pPr>
        <w:spacing w:line="360" w:lineRule="auto"/>
        <w:jc w:val="center"/>
      </w:pPr>
      <w:r>
        <w:rPr>
          <w:rFonts w:ascii="仿宋_GB2312;仿宋" w:eastAsia="仿宋_GB2312;仿宋" w:hAnsi="仿宋_GB2312;仿宋" w:cs="Arial"/>
          <w:b/>
          <w:bCs/>
          <w:szCs w:val="24"/>
        </w:rPr>
        <w:t>表1</w:t>
      </w:r>
      <w:r>
        <w:t>：比较因素条件说明表</w:t>
      </w:r>
    </w:p>
    <w:tbl>
      <w:tblPr>
        <w:tblW w:w="9310" w:type="dxa"/>
        <w:jc w:val="center"/>
        <w:tblCellMar>
          <w:top w:w="57" w:type="dxa"/>
          <w:left w:w="28" w:type="dxa"/>
          <w:bottom w:w="57" w:type="dxa"/>
          <w:right w:w="28" w:type="dxa"/>
        </w:tblCellMar>
        <w:tblLook w:val="0000" w:firstRow="0" w:lastRow="0" w:firstColumn="0" w:lastColumn="0" w:noHBand="0" w:noVBand="0"/>
      </w:tblPr>
      <w:tblGrid>
        <w:gridCol w:w="537"/>
        <w:gridCol w:w="1552"/>
        <w:gridCol w:w="1814"/>
        <w:gridCol w:w="1814"/>
        <w:gridCol w:w="1814"/>
        <w:gridCol w:w="1779"/>
      </w:tblGrid>
      <w:tr w:rsidR="00E70101" w14:paraId="6F8C23F3" w14:textId="77777777">
        <w:trPr>
          <w:cantSplit/>
          <w:jc w:val="center"/>
        </w:trPr>
        <w:tc>
          <w:tcPr>
            <w:tcW w:w="2089" w:type="dxa"/>
            <w:gridSpan w:val="2"/>
            <w:vMerge w:val="restart"/>
            <w:tcBorders>
              <w:top w:val="single" w:sz="4" w:space="0" w:color="000000"/>
              <w:left w:val="single" w:sz="4" w:space="0" w:color="000000"/>
              <w:bottom w:val="single" w:sz="4" w:space="0" w:color="000000"/>
            </w:tcBorders>
            <w:shd w:val="clear" w:color="auto" w:fill="auto"/>
            <w:vAlign w:val="center"/>
          </w:tcPr>
          <w:p w14:paraId="2BE4C2ED" w14:textId="77777777" w:rsidR="00E70101" w:rsidRDefault="0060680B">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比较因素</w:t>
            </w:r>
          </w:p>
        </w:tc>
        <w:tc>
          <w:tcPr>
            <w:tcW w:w="1814" w:type="dxa"/>
            <w:tcBorders>
              <w:top w:val="single" w:sz="4" w:space="0" w:color="000000"/>
              <w:left w:val="single" w:sz="4" w:space="0" w:color="000000"/>
              <w:bottom w:val="single" w:sz="4" w:space="0" w:color="000000"/>
            </w:tcBorders>
            <w:shd w:val="clear" w:color="auto" w:fill="auto"/>
            <w:vAlign w:val="center"/>
          </w:tcPr>
          <w:p w14:paraId="0216D4DE" w14:textId="77777777" w:rsidR="00E70101" w:rsidRDefault="0060680B">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估价对象</w:t>
            </w:r>
          </w:p>
        </w:tc>
        <w:tc>
          <w:tcPr>
            <w:tcW w:w="1814" w:type="dxa"/>
            <w:tcBorders>
              <w:top w:val="single" w:sz="4" w:space="0" w:color="000000"/>
              <w:left w:val="single" w:sz="4" w:space="0" w:color="000000"/>
              <w:bottom w:val="single" w:sz="4" w:space="0" w:color="000000"/>
            </w:tcBorders>
            <w:shd w:val="clear" w:color="auto" w:fill="auto"/>
            <w:vAlign w:val="center"/>
          </w:tcPr>
          <w:p w14:paraId="40F10929" w14:textId="77777777" w:rsidR="00E70101" w:rsidRDefault="0060680B">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实例</w:t>
            </w:r>
            <w:r>
              <w:rPr>
                <w:rFonts w:ascii="Arial" w:eastAsia="仿宋_GB2312;仿宋" w:hAnsi="Arial" w:cs="宋体;SimSun"/>
                <w:sz w:val="18"/>
                <w:szCs w:val="18"/>
              </w:rPr>
              <w:t>A</w:t>
            </w:r>
          </w:p>
        </w:tc>
        <w:tc>
          <w:tcPr>
            <w:tcW w:w="1814" w:type="dxa"/>
            <w:tcBorders>
              <w:top w:val="single" w:sz="4" w:space="0" w:color="000000"/>
              <w:left w:val="single" w:sz="4" w:space="0" w:color="000000"/>
              <w:bottom w:val="single" w:sz="4" w:space="0" w:color="000000"/>
            </w:tcBorders>
            <w:shd w:val="clear" w:color="auto" w:fill="auto"/>
            <w:vAlign w:val="center"/>
          </w:tcPr>
          <w:p w14:paraId="79F952CB" w14:textId="77777777" w:rsidR="00E70101" w:rsidRDefault="0060680B">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实例</w:t>
            </w:r>
            <w:r>
              <w:rPr>
                <w:rFonts w:ascii="Arial" w:eastAsia="仿宋_GB2312;仿宋" w:hAnsi="Arial" w:cs="宋体;SimSun"/>
                <w:sz w:val="18"/>
                <w:szCs w:val="18"/>
              </w:rPr>
              <w:t>B</w:t>
            </w:r>
          </w:p>
        </w:tc>
        <w:tc>
          <w:tcPr>
            <w:tcW w:w="17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A31FA" w14:textId="77777777" w:rsidR="00E70101" w:rsidRDefault="0060680B">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实例</w:t>
            </w:r>
            <w:r>
              <w:rPr>
                <w:rFonts w:ascii="Arial" w:eastAsia="仿宋_GB2312;仿宋" w:hAnsi="Arial" w:cs="宋体;SimSun"/>
                <w:sz w:val="18"/>
                <w:szCs w:val="18"/>
              </w:rPr>
              <w:t>C</w:t>
            </w:r>
          </w:p>
        </w:tc>
      </w:tr>
      <w:tr w:rsidR="00E70101" w14:paraId="20D11F18" w14:textId="77777777">
        <w:trPr>
          <w:cantSplit/>
          <w:jc w:val="center"/>
        </w:trPr>
        <w:tc>
          <w:tcPr>
            <w:tcW w:w="2089" w:type="dxa"/>
            <w:gridSpan w:val="2"/>
            <w:vMerge/>
            <w:tcBorders>
              <w:top w:val="single" w:sz="4" w:space="0" w:color="000000"/>
              <w:left w:val="single" w:sz="4" w:space="0" w:color="000000"/>
              <w:bottom w:val="single" w:sz="4" w:space="0" w:color="000000"/>
            </w:tcBorders>
            <w:shd w:val="clear" w:color="auto" w:fill="auto"/>
            <w:vAlign w:val="center"/>
          </w:tcPr>
          <w:p w14:paraId="6E4C2347" w14:textId="77777777" w:rsidR="00E70101" w:rsidRDefault="00E70101">
            <w:pPr>
              <w:widowControl/>
              <w:snapToGrid w:val="0"/>
              <w:spacing w:line="240" w:lineRule="auto"/>
              <w:rPr>
                <w:rFonts w:ascii="仿宋_GB2312;仿宋" w:eastAsia="仿宋_GB2312;仿宋" w:hAnsi="仿宋_GB2312;仿宋" w:cs="宋体;SimSun"/>
                <w:sz w:val="18"/>
                <w:szCs w:val="18"/>
              </w:rPr>
            </w:pPr>
          </w:p>
        </w:tc>
        <w:tc>
          <w:tcPr>
            <w:tcW w:w="1814" w:type="dxa"/>
            <w:tcBorders>
              <w:top w:val="single" w:sz="4" w:space="0" w:color="000000"/>
              <w:left w:val="single" w:sz="4" w:space="0" w:color="000000"/>
              <w:bottom w:val="single" w:sz="4" w:space="0" w:color="000000"/>
            </w:tcBorders>
            <w:shd w:val="clear" w:color="auto" w:fill="auto"/>
            <w:vAlign w:val="center"/>
          </w:tcPr>
          <w:p w14:paraId="79F23A53"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北京市昌平区北七家镇八仙庄村仓储用地</w:t>
            </w:r>
          </w:p>
        </w:tc>
        <w:tc>
          <w:tcPr>
            <w:tcW w:w="1814" w:type="dxa"/>
            <w:tcBorders>
              <w:top w:val="single" w:sz="4" w:space="0" w:color="000000"/>
              <w:left w:val="single" w:sz="4" w:space="0" w:color="000000"/>
              <w:bottom w:val="single" w:sz="4" w:space="0" w:color="000000"/>
            </w:tcBorders>
            <w:shd w:val="clear" w:color="auto" w:fill="auto"/>
            <w:vAlign w:val="center"/>
          </w:tcPr>
          <w:p w14:paraId="5CB472C5"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通州区张家湾镇张辛庄村</w:t>
            </w:r>
          </w:p>
        </w:tc>
        <w:tc>
          <w:tcPr>
            <w:tcW w:w="1814" w:type="dxa"/>
            <w:tcBorders>
              <w:top w:val="single" w:sz="4" w:space="0" w:color="000000"/>
              <w:left w:val="single" w:sz="4" w:space="0" w:color="000000"/>
              <w:bottom w:val="single" w:sz="4" w:space="0" w:color="000000"/>
            </w:tcBorders>
            <w:shd w:val="clear" w:color="auto" w:fill="auto"/>
            <w:vAlign w:val="center"/>
          </w:tcPr>
          <w:p w14:paraId="11A3C9B5"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通州区张家湾镇张辛庄村</w:t>
            </w:r>
          </w:p>
        </w:tc>
        <w:tc>
          <w:tcPr>
            <w:tcW w:w="17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DEBEF"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通州区永顺镇小圣庙村北</w:t>
            </w:r>
          </w:p>
        </w:tc>
      </w:tr>
      <w:tr w:rsidR="00E70101" w14:paraId="3697C606" w14:textId="77777777">
        <w:trPr>
          <w:cantSplit/>
          <w:jc w:val="center"/>
        </w:trPr>
        <w:tc>
          <w:tcPr>
            <w:tcW w:w="2089" w:type="dxa"/>
            <w:gridSpan w:val="2"/>
            <w:tcBorders>
              <w:top w:val="single" w:sz="4" w:space="0" w:color="000000"/>
              <w:left w:val="single" w:sz="4" w:space="0" w:color="000000"/>
              <w:bottom w:val="single" w:sz="4" w:space="0" w:color="000000"/>
            </w:tcBorders>
            <w:shd w:val="clear" w:color="auto" w:fill="auto"/>
            <w:vAlign w:val="center"/>
          </w:tcPr>
          <w:p w14:paraId="11A2AB72" w14:textId="77777777" w:rsidR="00E70101" w:rsidRDefault="0060680B">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交易时间</w:t>
            </w:r>
          </w:p>
        </w:tc>
        <w:tc>
          <w:tcPr>
            <w:tcW w:w="1814" w:type="dxa"/>
            <w:tcBorders>
              <w:left w:val="single" w:sz="4" w:space="0" w:color="000000"/>
              <w:bottom w:val="single" w:sz="4" w:space="0" w:color="000000"/>
            </w:tcBorders>
            <w:shd w:val="clear" w:color="auto" w:fill="auto"/>
            <w:vAlign w:val="center"/>
          </w:tcPr>
          <w:p w14:paraId="2897F215" w14:textId="77777777" w:rsidR="00E70101" w:rsidRDefault="0060680B">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2024/3/31</w:t>
            </w:r>
          </w:p>
        </w:tc>
        <w:tc>
          <w:tcPr>
            <w:tcW w:w="1814" w:type="dxa"/>
            <w:tcBorders>
              <w:left w:val="single" w:sz="4" w:space="0" w:color="000000"/>
              <w:bottom w:val="single" w:sz="4" w:space="0" w:color="000000"/>
            </w:tcBorders>
            <w:shd w:val="clear" w:color="auto" w:fill="auto"/>
            <w:vAlign w:val="center"/>
          </w:tcPr>
          <w:p w14:paraId="682ED5E9" w14:textId="77777777" w:rsidR="00E70101" w:rsidRDefault="0060680B">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2019/3/1</w:t>
            </w:r>
          </w:p>
        </w:tc>
        <w:tc>
          <w:tcPr>
            <w:tcW w:w="1814" w:type="dxa"/>
            <w:tcBorders>
              <w:left w:val="single" w:sz="4" w:space="0" w:color="000000"/>
              <w:bottom w:val="single" w:sz="4" w:space="0" w:color="000000"/>
            </w:tcBorders>
            <w:shd w:val="clear" w:color="auto" w:fill="auto"/>
            <w:vAlign w:val="center"/>
          </w:tcPr>
          <w:p w14:paraId="67D13404" w14:textId="77777777" w:rsidR="00E70101" w:rsidRDefault="0060680B">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2019/3/1</w:t>
            </w:r>
          </w:p>
        </w:tc>
        <w:tc>
          <w:tcPr>
            <w:tcW w:w="1779" w:type="dxa"/>
            <w:tcBorders>
              <w:left w:val="single" w:sz="4" w:space="0" w:color="000000"/>
              <w:bottom w:val="single" w:sz="4" w:space="0" w:color="000000"/>
              <w:right w:val="single" w:sz="4" w:space="0" w:color="000000"/>
            </w:tcBorders>
            <w:shd w:val="clear" w:color="auto" w:fill="auto"/>
            <w:vAlign w:val="center"/>
          </w:tcPr>
          <w:p w14:paraId="5FC57EA1" w14:textId="77777777" w:rsidR="00E70101" w:rsidRDefault="0060680B">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2020/6/1</w:t>
            </w:r>
          </w:p>
        </w:tc>
      </w:tr>
      <w:tr w:rsidR="00E70101" w14:paraId="36026C64" w14:textId="77777777">
        <w:trPr>
          <w:cantSplit/>
          <w:jc w:val="center"/>
        </w:trPr>
        <w:tc>
          <w:tcPr>
            <w:tcW w:w="2089" w:type="dxa"/>
            <w:gridSpan w:val="2"/>
            <w:tcBorders>
              <w:top w:val="single" w:sz="4" w:space="0" w:color="000000"/>
              <w:left w:val="single" w:sz="4" w:space="0" w:color="000000"/>
              <w:bottom w:val="single" w:sz="4" w:space="0" w:color="000000"/>
            </w:tcBorders>
            <w:shd w:val="clear" w:color="auto" w:fill="auto"/>
            <w:vAlign w:val="center"/>
          </w:tcPr>
          <w:p w14:paraId="77949E5B" w14:textId="77777777" w:rsidR="00E70101" w:rsidRDefault="0060680B">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土地用途</w:t>
            </w:r>
          </w:p>
        </w:tc>
        <w:tc>
          <w:tcPr>
            <w:tcW w:w="1814" w:type="dxa"/>
            <w:tcBorders>
              <w:left w:val="single" w:sz="4" w:space="0" w:color="000000"/>
              <w:bottom w:val="single" w:sz="4" w:space="0" w:color="000000"/>
            </w:tcBorders>
            <w:shd w:val="clear" w:color="auto" w:fill="auto"/>
            <w:vAlign w:val="center"/>
          </w:tcPr>
          <w:p w14:paraId="1B8C0285"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工业</w:t>
            </w:r>
          </w:p>
        </w:tc>
        <w:tc>
          <w:tcPr>
            <w:tcW w:w="1814" w:type="dxa"/>
            <w:tcBorders>
              <w:left w:val="single" w:sz="4" w:space="0" w:color="000000"/>
              <w:bottom w:val="single" w:sz="4" w:space="0" w:color="000000"/>
            </w:tcBorders>
            <w:shd w:val="clear" w:color="auto" w:fill="auto"/>
            <w:vAlign w:val="center"/>
          </w:tcPr>
          <w:p w14:paraId="65496CB9"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工业</w:t>
            </w:r>
          </w:p>
        </w:tc>
        <w:tc>
          <w:tcPr>
            <w:tcW w:w="1814" w:type="dxa"/>
            <w:tcBorders>
              <w:left w:val="single" w:sz="4" w:space="0" w:color="000000"/>
              <w:bottom w:val="single" w:sz="4" w:space="0" w:color="000000"/>
            </w:tcBorders>
            <w:shd w:val="clear" w:color="auto" w:fill="auto"/>
            <w:vAlign w:val="center"/>
          </w:tcPr>
          <w:p w14:paraId="4CDCEF31"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工业</w:t>
            </w:r>
          </w:p>
        </w:tc>
        <w:tc>
          <w:tcPr>
            <w:tcW w:w="1779" w:type="dxa"/>
            <w:tcBorders>
              <w:left w:val="single" w:sz="4" w:space="0" w:color="000000"/>
              <w:bottom w:val="single" w:sz="4" w:space="0" w:color="000000"/>
              <w:right w:val="single" w:sz="4" w:space="0" w:color="000000"/>
            </w:tcBorders>
            <w:shd w:val="clear" w:color="auto" w:fill="auto"/>
            <w:vAlign w:val="center"/>
          </w:tcPr>
          <w:p w14:paraId="52D0F98D"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工业</w:t>
            </w:r>
          </w:p>
        </w:tc>
      </w:tr>
      <w:tr w:rsidR="00E70101" w14:paraId="42BB155B" w14:textId="77777777">
        <w:trPr>
          <w:cantSplit/>
          <w:jc w:val="center"/>
        </w:trPr>
        <w:tc>
          <w:tcPr>
            <w:tcW w:w="537" w:type="dxa"/>
            <w:vMerge w:val="restart"/>
            <w:tcBorders>
              <w:top w:val="single" w:sz="4" w:space="0" w:color="000000"/>
              <w:left w:val="single" w:sz="4" w:space="0" w:color="000000"/>
              <w:bottom w:val="single" w:sz="4" w:space="0" w:color="000000"/>
            </w:tcBorders>
            <w:shd w:val="clear" w:color="auto" w:fill="auto"/>
            <w:vAlign w:val="center"/>
          </w:tcPr>
          <w:p w14:paraId="16050DD3" w14:textId="77777777" w:rsidR="00E70101" w:rsidRDefault="0060680B">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区域因素</w:t>
            </w:r>
          </w:p>
        </w:tc>
        <w:tc>
          <w:tcPr>
            <w:tcW w:w="1552" w:type="dxa"/>
            <w:tcBorders>
              <w:left w:val="single" w:sz="4" w:space="0" w:color="000000"/>
              <w:bottom w:val="single" w:sz="4" w:space="0" w:color="000000"/>
            </w:tcBorders>
            <w:shd w:val="clear" w:color="auto" w:fill="auto"/>
            <w:vAlign w:val="center"/>
          </w:tcPr>
          <w:p w14:paraId="5AF014CB"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产业聚集度</w:t>
            </w:r>
          </w:p>
        </w:tc>
        <w:tc>
          <w:tcPr>
            <w:tcW w:w="1814" w:type="dxa"/>
            <w:tcBorders>
              <w:left w:val="single" w:sz="4" w:space="0" w:color="000000"/>
              <w:bottom w:val="single" w:sz="4" w:space="0" w:color="000000"/>
            </w:tcBorders>
            <w:shd w:val="clear" w:color="auto" w:fill="auto"/>
            <w:vAlign w:val="center"/>
          </w:tcPr>
          <w:p w14:paraId="475A91FA"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较好</w:t>
            </w:r>
          </w:p>
        </w:tc>
        <w:tc>
          <w:tcPr>
            <w:tcW w:w="1814" w:type="dxa"/>
            <w:tcBorders>
              <w:left w:val="single" w:sz="4" w:space="0" w:color="000000"/>
              <w:bottom w:val="single" w:sz="4" w:space="0" w:color="000000"/>
            </w:tcBorders>
            <w:shd w:val="clear" w:color="auto" w:fill="auto"/>
            <w:vAlign w:val="center"/>
          </w:tcPr>
          <w:p w14:paraId="789F02AD"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较好</w:t>
            </w:r>
          </w:p>
        </w:tc>
        <w:tc>
          <w:tcPr>
            <w:tcW w:w="1814" w:type="dxa"/>
            <w:tcBorders>
              <w:left w:val="single" w:sz="4" w:space="0" w:color="000000"/>
              <w:bottom w:val="single" w:sz="4" w:space="0" w:color="000000"/>
            </w:tcBorders>
            <w:shd w:val="clear" w:color="auto" w:fill="auto"/>
            <w:vAlign w:val="center"/>
          </w:tcPr>
          <w:p w14:paraId="0736A568"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较好</w:t>
            </w:r>
          </w:p>
        </w:tc>
        <w:tc>
          <w:tcPr>
            <w:tcW w:w="1779" w:type="dxa"/>
            <w:tcBorders>
              <w:left w:val="single" w:sz="4" w:space="0" w:color="000000"/>
              <w:bottom w:val="single" w:sz="4" w:space="0" w:color="000000"/>
              <w:right w:val="single" w:sz="4" w:space="0" w:color="000000"/>
            </w:tcBorders>
            <w:shd w:val="clear" w:color="auto" w:fill="auto"/>
            <w:vAlign w:val="center"/>
          </w:tcPr>
          <w:p w14:paraId="56743250"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较好</w:t>
            </w:r>
          </w:p>
        </w:tc>
      </w:tr>
      <w:tr w:rsidR="00E70101" w14:paraId="06C5F184" w14:textId="77777777">
        <w:trPr>
          <w:cantSplit/>
          <w:jc w:val="center"/>
        </w:trPr>
        <w:tc>
          <w:tcPr>
            <w:tcW w:w="537" w:type="dxa"/>
            <w:vMerge/>
            <w:tcBorders>
              <w:top w:val="single" w:sz="4" w:space="0" w:color="000000"/>
              <w:left w:val="single" w:sz="4" w:space="0" w:color="000000"/>
              <w:bottom w:val="single" w:sz="4" w:space="0" w:color="000000"/>
            </w:tcBorders>
            <w:shd w:val="clear" w:color="auto" w:fill="auto"/>
            <w:vAlign w:val="center"/>
          </w:tcPr>
          <w:p w14:paraId="1E2F2C49" w14:textId="77777777" w:rsidR="00E70101" w:rsidRDefault="00E70101">
            <w:pPr>
              <w:widowControl/>
              <w:snapToGrid w:val="0"/>
              <w:spacing w:line="240" w:lineRule="auto"/>
              <w:rPr>
                <w:rFonts w:ascii="仿宋_GB2312;仿宋" w:eastAsia="仿宋_GB2312;仿宋" w:hAnsi="仿宋_GB2312;仿宋" w:cs="宋体;SimSun"/>
                <w:sz w:val="18"/>
                <w:szCs w:val="18"/>
              </w:rPr>
            </w:pPr>
          </w:p>
        </w:tc>
        <w:tc>
          <w:tcPr>
            <w:tcW w:w="1552" w:type="dxa"/>
            <w:tcBorders>
              <w:left w:val="single" w:sz="4" w:space="0" w:color="000000"/>
              <w:bottom w:val="single" w:sz="4" w:space="0" w:color="000000"/>
            </w:tcBorders>
            <w:shd w:val="clear" w:color="auto" w:fill="auto"/>
            <w:vAlign w:val="center"/>
          </w:tcPr>
          <w:p w14:paraId="12C2B966"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交通便捷度</w:t>
            </w:r>
          </w:p>
        </w:tc>
        <w:tc>
          <w:tcPr>
            <w:tcW w:w="1814" w:type="dxa"/>
            <w:tcBorders>
              <w:left w:val="single" w:sz="4" w:space="0" w:color="000000"/>
              <w:bottom w:val="single" w:sz="4" w:space="0" w:color="000000"/>
            </w:tcBorders>
            <w:shd w:val="clear" w:color="auto" w:fill="auto"/>
            <w:vAlign w:val="center"/>
          </w:tcPr>
          <w:p w14:paraId="534F3F77"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较好</w:t>
            </w:r>
          </w:p>
        </w:tc>
        <w:tc>
          <w:tcPr>
            <w:tcW w:w="1814" w:type="dxa"/>
            <w:tcBorders>
              <w:left w:val="single" w:sz="4" w:space="0" w:color="000000"/>
              <w:bottom w:val="single" w:sz="4" w:space="0" w:color="000000"/>
            </w:tcBorders>
            <w:shd w:val="clear" w:color="auto" w:fill="auto"/>
            <w:vAlign w:val="center"/>
          </w:tcPr>
          <w:p w14:paraId="2242A807"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较好</w:t>
            </w:r>
          </w:p>
        </w:tc>
        <w:tc>
          <w:tcPr>
            <w:tcW w:w="1814" w:type="dxa"/>
            <w:tcBorders>
              <w:left w:val="single" w:sz="4" w:space="0" w:color="000000"/>
              <w:bottom w:val="single" w:sz="4" w:space="0" w:color="000000"/>
            </w:tcBorders>
            <w:shd w:val="clear" w:color="auto" w:fill="auto"/>
            <w:vAlign w:val="center"/>
          </w:tcPr>
          <w:p w14:paraId="7234C851"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较好</w:t>
            </w:r>
          </w:p>
        </w:tc>
        <w:tc>
          <w:tcPr>
            <w:tcW w:w="1779" w:type="dxa"/>
            <w:tcBorders>
              <w:left w:val="single" w:sz="4" w:space="0" w:color="000000"/>
              <w:bottom w:val="single" w:sz="4" w:space="0" w:color="000000"/>
              <w:right w:val="single" w:sz="4" w:space="0" w:color="000000"/>
            </w:tcBorders>
            <w:shd w:val="clear" w:color="auto" w:fill="auto"/>
            <w:vAlign w:val="center"/>
          </w:tcPr>
          <w:p w14:paraId="6DF5B8F8"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较好</w:t>
            </w:r>
          </w:p>
        </w:tc>
      </w:tr>
      <w:tr w:rsidR="00E70101" w14:paraId="2F82F1C2" w14:textId="77777777">
        <w:trPr>
          <w:cantSplit/>
          <w:jc w:val="center"/>
        </w:trPr>
        <w:tc>
          <w:tcPr>
            <w:tcW w:w="537" w:type="dxa"/>
            <w:vMerge/>
            <w:tcBorders>
              <w:top w:val="single" w:sz="4" w:space="0" w:color="000000"/>
              <w:left w:val="single" w:sz="4" w:space="0" w:color="000000"/>
              <w:bottom w:val="single" w:sz="4" w:space="0" w:color="000000"/>
            </w:tcBorders>
            <w:shd w:val="clear" w:color="auto" w:fill="auto"/>
            <w:vAlign w:val="center"/>
          </w:tcPr>
          <w:p w14:paraId="72CF0C53" w14:textId="77777777" w:rsidR="00E70101" w:rsidRDefault="00E70101">
            <w:pPr>
              <w:widowControl/>
              <w:snapToGrid w:val="0"/>
              <w:spacing w:line="240" w:lineRule="auto"/>
              <w:rPr>
                <w:rFonts w:ascii="仿宋_GB2312;仿宋" w:eastAsia="仿宋_GB2312;仿宋" w:hAnsi="仿宋_GB2312;仿宋" w:cs="宋体;SimSun"/>
                <w:sz w:val="18"/>
                <w:szCs w:val="18"/>
              </w:rPr>
            </w:pPr>
          </w:p>
        </w:tc>
        <w:tc>
          <w:tcPr>
            <w:tcW w:w="1552" w:type="dxa"/>
            <w:tcBorders>
              <w:left w:val="single" w:sz="4" w:space="0" w:color="000000"/>
              <w:bottom w:val="single" w:sz="4" w:space="0" w:color="000000"/>
            </w:tcBorders>
            <w:shd w:val="clear" w:color="auto" w:fill="auto"/>
            <w:vAlign w:val="center"/>
          </w:tcPr>
          <w:p w14:paraId="0C18AEE9"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区域土地利用方向</w:t>
            </w:r>
          </w:p>
        </w:tc>
        <w:tc>
          <w:tcPr>
            <w:tcW w:w="1814" w:type="dxa"/>
            <w:tcBorders>
              <w:left w:val="single" w:sz="4" w:space="0" w:color="000000"/>
              <w:bottom w:val="single" w:sz="4" w:space="0" w:color="000000"/>
            </w:tcBorders>
            <w:shd w:val="clear" w:color="auto" w:fill="auto"/>
            <w:vAlign w:val="center"/>
          </w:tcPr>
          <w:p w14:paraId="29FAE3B5"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周边以产业用地为主，零星有其他用地，基本不影响本宗地。</w:t>
            </w:r>
          </w:p>
        </w:tc>
        <w:tc>
          <w:tcPr>
            <w:tcW w:w="1814" w:type="dxa"/>
            <w:tcBorders>
              <w:left w:val="single" w:sz="4" w:space="0" w:color="000000"/>
              <w:bottom w:val="single" w:sz="4" w:space="0" w:color="000000"/>
            </w:tcBorders>
            <w:shd w:val="clear" w:color="auto" w:fill="auto"/>
            <w:vAlign w:val="center"/>
          </w:tcPr>
          <w:p w14:paraId="18FE6009"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周边以产业用地为主，零星有其他用地，基本不影响本宗地。</w:t>
            </w:r>
          </w:p>
        </w:tc>
        <w:tc>
          <w:tcPr>
            <w:tcW w:w="1814" w:type="dxa"/>
            <w:tcBorders>
              <w:left w:val="single" w:sz="4" w:space="0" w:color="000000"/>
              <w:bottom w:val="single" w:sz="4" w:space="0" w:color="000000"/>
            </w:tcBorders>
            <w:shd w:val="clear" w:color="auto" w:fill="auto"/>
            <w:vAlign w:val="center"/>
          </w:tcPr>
          <w:p w14:paraId="71B70578"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周边以产业用地为主，零星有其他用地，基本不影响本宗地。</w:t>
            </w:r>
          </w:p>
        </w:tc>
        <w:tc>
          <w:tcPr>
            <w:tcW w:w="1779" w:type="dxa"/>
            <w:tcBorders>
              <w:left w:val="single" w:sz="4" w:space="0" w:color="000000"/>
              <w:bottom w:val="single" w:sz="4" w:space="0" w:color="000000"/>
              <w:right w:val="single" w:sz="4" w:space="0" w:color="000000"/>
            </w:tcBorders>
            <w:shd w:val="clear" w:color="auto" w:fill="auto"/>
            <w:vAlign w:val="center"/>
          </w:tcPr>
          <w:p w14:paraId="1559C262"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周边以产业用地为主，零星有其他用地，基本不影响本宗地。</w:t>
            </w:r>
          </w:p>
        </w:tc>
      </w:tr>
      <w:tr w:rsidR="00E70101" w14:paraId="4CCBEAD3" w14:textId="77777777">
        <w:trPr>
          <w:cantSplit/>
          <w:jc w:val="center"/>
        </w:trPr>
        <w:tc>
          <w:tcPr>
            <w:tcW w:w="537" w:type="dxa"/>
            <w:vMerge/>
            <w:tcBorders>
              <w:top w:val="single" w:sz="4" w:space="0" w:color="000000"/>
              <w:left w:val="single" w:sz="4" w:space="0" w:color="000000"/>
              <w:bottom w:val="single" w:sz="4" w:space="0" w:color="000000"/>
            </w:tcBorders>
            <w:shd w:val="clear" w:color="auto" w:fill="auto"/>
            <w:vAlign w:val="center"/>
          </w:tcPr>
          <w:p w14:paraId="4D81763E" w14:textId="77777777" w:rsidR="00E70101" w:rsidRDefault="00E70101">
            <w:pPr>
              <w:widowControl/>
              <w:snapToGrid w:val="0"/>
              <w:spacing w:line="240" w:lineRule="auto"/>
              <w:rPr>
                <w:rFonts w:ascii="仿宋_GB2312;仿宋" w:eastAsia="仿宋_GB2312;仿宋" w:hAnsi="仿宋_GB2312;仿宋" w:cs="宋体;SimSun"/>
                <w:sz w:val="18"/>
                <w:szCs w:val="18"/>
              </w:rPr>
            </w:pPr>
          </w:p>
        </w:tc>
        <w:tc>
          <w:tcPr>
            <w:tcW w:w="1552" w:type="dxa"/>
            <w:tcBorders>
              <w:left w:val="single" w:sz="4" w:space="0" w:color="000000"/>
              <w:bottom w:val="single" w:sz="4" w:space="0" w:color="000000"/>
            </w:tcBorders>
            <w:shd w:val="clear" w:color="auto" w:fill="auto"/>
            <w:vAlign w:val="center"/>
          </w:tcPr>
          <w:p w14:paraId="7AA20F66"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区域设施及基础设施水平</w:t>
            </w:r>
          </w:p>
        </w:tc>
        <w:tc>
          <w:tcPr>
            <w:tcW w:w="1814" w:type="dxa"/>
            <w:tcBorders>
              <w:left w:val="single" w:sz="4" w:space="0" w:color="000000"/>
              <w:bottom w:val="single" w:sz="4" w:space="0" w:color="000000"/>
            </w:tcBorders>
            <w:shd w:val="clear" w:color="auto" w:fill="auto"/>
            <w:vAlign w:val="center"/>
          </w:tcPr>
          <w:p w14:paraId="3635A4F5"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一般</w:t>
            </w:r>
          </w:p>
        </w:tc>
        <w:tc>
          <w:tcPr>
            <w:tcW w:w="1814" w:type="dxa"/>
            <w:tcBorders>
              <w:left w:val="single" w:sz="4" w:space="0" w:color="000000"/>
              <w:bottom w:val="single" w:sz="4" w:space="0" w:color="000000"/>
            </w:tcBorders>
            <w:shd w:val="clear" w:color="auto" w:fill="auto"/>
            <w:vAlign w:val="center"/>
          </w:tcPr>
          <w:p w14:paraId="430609DE"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一般</w:t>
            </w:r>
          </w:p>
        </w:tc>
        <w:tc>
          <w:tcPr>
            <w:tcW w:w="1814" w:type="dxa"/>
            <w:tcBorders>
              <w:left w:val="single" w:sz="4" w:space="0" w:color="000000"/>
              <w:bottom w:val="single" w:sz="4" w:space="0" w:color="000000"/>
            </w:tcBorders>
            <w:shd w:val="clear" w:color="auto" w:fill="auto"/>
            <w:vAlign w:val="center"/>
          </w:tcPr>
          <w:p w14:paraId="59B572B2"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一般</w:t>
            </w:r>
          </w:p>
        </w:tc>
        <w:tc>
          <w:tcPr>
            <w:tcW w:w="1779" w:type="dxa"/>
            <w:tcBorders>
              <w:left w:val="single" w:sz="4" w:space="0" w:color="000000"/>
              <w:bottom w:val="single" w:sz="4" w:space="0" w:color="000000"/>
              <w:right w:val="single" w:sz="4" w:space="0" w:color="000000"/>
            </w:tcBorders>
            <w:shd w:val="clear" w:color="auto" w:fill="auto"/>
            <w:vAlign w:val="center"/>
          </w:tcPr>
          <w:p w14:paraId="20FE09D5"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一般</w:t>
            </w:r>
          </w:p>
        </w:tc>
      </w:tr>
      <w:tr w:rsidR="00E70101" w14:paraId="0BFBB061" w14:textId="77777777">
        <w:trPr>
          <w:cantSplit/>
          <w:jc w:val="center"/>
        </w:trPr>
        <w:tc>
          <w:tcPr>
            <w:tcW w:w="537" w:type="dxa"/>
            <w:vMerge/>
            <w:tcBorders>
              <w:top w:val="single" w:sz="4" w:space="0" w:color="000000"/>
              <w:left w:val="single" w:sz="4" w:space="0" w:color="000000"/>
              <w:bottom w:val="single" w:sz="4" w:space="0" w:color="000000"/>
            </w:tcBorders>
            <w:shd w:val="clear" w:color="auto" w:fill="auto"/>
            <w:vAlign w:val="center"/>
          </w:tcPr>
          <w:p w14:paraId="45FC6E34" w14:textId="77777777" w:rsidR="00E70101" w:rsidRDefault="00E70101">
            <w:pPr>
              <w:widowControl/>
              <w:snapToGrid w:val="0"/>
              <w:spacing w:line="240" w:lineRule="auto"/>
              <w:rPr>
                <w:rFonts w:ascii="仿宋_GB2312;仿宋" w:eastAsia="仿宋_GB2312;仿宋" w:hAnsi="仿宋_GB2312;仿宋" w:cs="宋体;SimSun"/>
                <w:sz w:val="18"/>
                <w:szCs w:val="18"/>
              </w:rPr>
            </w:pPr>
          </w:p>
        </w:tc>
        <w:tc>
          <w:tcPr>
            <w:tcW w:w="1552" w:type="dxa"/>
            <w:tcBorders>
              <w:left w:val="single" w:sz="4" w:space="0" w:color="000000"/>
              <w:bottom w:val="single" w:sz="4" w:space="0" w:color="000000"/>
            </w:tcBorders>
            <w:shd w:val="clear" w:color="auto" w:fill="auto"/>
            <w:vAlign w:val="center"/>
          </w:tcPr>
          <w:p w14:paraId="001C9AA9"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环境状况</w:t>
            </w:r>
          </w:p>
        </w:tc>
        <w:tc>
          <w:tcPr>
            <w:tcW w:w="1814" w:type="dxa"/>
            <w:tcBorders>
              <w:left w:val="single" w:sz="4" w:space="0" w:color="000000"/>
              <w:bottom w:val="single" w:sz="4" w:space="0" w:color="000000"/>
            </w:tcBorders>
            <w:shd w:val="clear" w:color="auto" w:fill="auto"/>
            <w:vAlign w:val="center"/>
          </w:tcPr>
          <w:p w14:paraId="6465E9BC"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较好</w:t>
            </w:r>
          </w:p>
        </w:tc>
        <w:tc>
          <w:tcPr>
            <w:tcW w:w="1814" w:type="dxa"/>
            <w:tcBorders>
              <w:left w:val="single" w:sz="4" w:space="0" w:color="000000"/>
              <w:bottom w:val="single" w:sz="4" w:space="0" w:color="000000"/>
            </w:tcBorders>
            <w:shd w:val="clear" w:color="auto" w:fill="auto"/>
            <w:vAlign w:val="center"/>
          </w:tcPr>
          <w:p w14:paraId="34C4AECF"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较好</w:t>
            </w:r>
          </w:p>
        </w:tc>
        <w:tc>
          <w:tcPr>
            <w:tcW w:w="1814" w:type="dxa"/>
            <w:tcBorders>
              <w:left w:val="single" w:sz="4" w:space="0" w:color="000000"/>
              <w:bottom w:val="single" w:sz="4" w:space="0" w:color="000000"/>
            </w:tcBorders>
            <w:shd w:val="clear" w:color="auto" w:fill="auto"/>
            <w:vAlign w:val="center"/>
          </w:tcPr>
          <w:p w14:paraId="7873176F"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较好</w:t>
            </w:r>
          </w:p>
        </w:tc>
        <w:tc>
          <w:tcPr>
            <w:tcW w:w="1779" w:type="dxa"/>
            <w:tcBorders>
              <w:left w:val="single" w:sz="4" w:space="0" w:color="000000"/>
              <w:bottom w:val="single" w:sz="4" w:space="0" w:color="000000"/>
              <w:right w:val="single" w:sz="4" w:space="0" w:color="000000"/>
            </w:tcBorders>
            <w:shd w:val="clear" w:color="auto" w:fill="auto"/>
            <w:vAlign w:val="center"/>
          </w:tcPr>
          <w:p w14:paraId="7256EE2A"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较好</w:t>
            </w:r>
          </w:p>
        </w:tc>
      </w:tr>
      <w:tr w:rsidR="00E70101" w14:paraId="486933C6" w14:textId="77777777">
        <w:trPr>
          <w:cantSplit/>
          <w:jc w:val="center"/>
        </w:trPr>
        <w:tc>
          <w:tcPr>
            <w:tcW w:w="537" w:type="dxa"/>
            <w:vMerge w:val="restart"/>
            <w:tcBorders>
              <w:top w:val="single" w:sz="4" w:space="0" w:color="000000"/>
              <w:left w:val="single" w:sz="4" w:space="0" w:color="000000"/>
              <w:bottom w:val="single" w:sz="4" w:space="0" w:color="000000"/>
            </w:tcBorders>
            <w:shd w:val="clear" w:color="auto" w:fill="auto"/>
            <w:vAlign w:val="center"/>
          </w:tcPr>
          <w:p w14:paraId="51AA3B19" w14:textId="77777777" w:rsidR="00E70101" w:rsidRDefault="0060680B">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个别因素</w:t>
            </w:r>
          </w:p>
        </w:tc>
        <w:tc>
          <w:tcPr>
            <w:tcW w:w="1552" w:type="dxa"/>
            <w:tcBorders>
              <w:left w:val="single" w:sz="4" w:space="0" w:color="000000"/>
              <w:bottom w:val="single" w:sz="4" w:space="0" w:color="000000"/>
            </w:tcBorders>
            <w:shd w:val="clear" w:color="auto" w:fill="auto"/>
            <w:vAlign w:val="center"/>
          </w:tcPr>
          <w:p w14:paraId="0AAA2153"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宗地面积</w:t>
            </w:r>
          </w:p>
        </w:tc>
        <w:tc>
          <w:tcPr>
            <w:tcW w:w="1814" w:type="dxa"/>
            <w:tcBorders>
              <w:left w:val="single" w:sz="4" w:space="0" w:color="000000"/>
              <w:bottom w:val="single" w:sz="4" w:space="0" w:color="000000"/>
            </w:tcBorders>
            <w:shd w:val="clear" w:color="auto" w:fill="auto"/>
            <w:vAlign w:val="center"/>
          </w:tcPr>
          <w:p w14:paraId="3BCD2E91"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370379.14</w:t>
            </w:r>
          </w:p>
        </w:tc>
        <w:tc>
          <w:tcPr>
            <w:tcW w:w="1814" w:type="dxa"/>
            <w:tcBorders>
              <w:left w:val="single" w:sz="4" w:space="0" w:color="000000"/>
              <w:bottom w:val="single" w:sz="4" w:space="0" w:color="000000"/>
            </w:tcBorders>
            <w:shd w:val="clear" w:color="auto" w:fill="auto"/>
            <w:vAlign w:val="center"/>
          </w:tcPr>
          <w:p w14:paraId="49803A1B"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57037.941</w:t>
            </w:r>
          </w:p>
        </w:tc>
        <w:tc>
          <w:tcPr>
            <w:tcW w:w="1814" w:type="dxa"/>
            <w:tcBorders>
              <w:left w:val="single" w:sz="4" w:space="0" w:color="000000"/>
              <w:bottom w:val="single" w:sz="4" w:space="0" w:color="000000"/>
            </w:tcBorders>
            <w:shd w:val="clear" w:color="auto" w:fill="auto"/>
            <w:vAlign w:val="center"/>
          </w:tcPr>
          <w:p w14:paraId="5741F7F2"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63417.17</w:t>
            </w:r>
          </w:p>
        </w:tc>
        <w:tc>
          <w:tcPr>
            <w:tcW w:w="1779" w:type="dxa"/>
            <w:tcBorders>
              <w:left w:val="single" w:sz="4" w:space="0" w:color="000000"/>
              <w:bottom w:val="single" w:sz="4" w:space="0" w:color="000000"/>
              <w:right w:val="single" w:sz="4" w:space="0" w:color="000000"/>
            </w:tcBorders>
            <w:shd w:val="clear" w:color="auto" w:fill="auto"/>
            <w:vAlign w:val="center"/>
          </w:tcPr>
          <w:p w14:paraId="18D1EC76"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3586.3</w:t>
            </w:r>
          </w:p>
        </w:tc>
      </w:tr>
      <w:tr w:rsidR="00E70101" w14:paraId="5A7002B5" w14:textId="77777777">
        <w:trPr>
          <w:cantSplit/>
          <w:jc w:val="center"/>
        </w:trPr>
        <w:tc>
          <w:tcPr>
            <w:tcW w:w="537" w:type="dxa"/>
            <w:vMerge/>
            <w:tcBorders>
              <w:top w:val="single" w:sz="4" w:space="0" w:color="000000"/>
              <w:left w:val="single" w:sz="4" w:space="0" w:color="000000"/>
              <w:bottom w:val="single" w:sz="4" w:space="0" w:color="000000"/>
            </w:tcBorders>
            <w:shd w:val="clear" w:color="auto" w:fill="auto"/>
            <w:vAlign w:val="center"/>
          </w:tcPr>
          <w:p w14:paraId="06F402A8" w14:textId="77777777" w:rsidR="00E70101" w:rsidRDefault="00E70101">
            <w:pPr>
              <w:widowControl/>
              <w:snapToGrid w:val="0"/>
              <w:spacing w:line="240" w:lineRule="auto"/>
              <w:rPr>
                <w:rFonts w:ascii="仿宋_GB2312;仿宋" w:eastAsia="仿宋_GB2312;仿宋" w:hAnsi="仿宋_GB2312;仿宋" w:cs="宋体;SimSun"/>
                <w:sz w:val="18"/>
                <w:szCs w:val="18"/>
              </w:rPr>
            </w:pPr>
          </w:p>
        </w:tc>
        <w:tc>
          <w:tcPr>
            <w:tcW w:w="1552" w:type="dxa"/>
            <w:tcBorders>
              <w:left w:val="single" w:sz="4" w:space="0" w:color="000000"/>
              <w:bottom w:val="single" w:sz="4" w:space="0" w:color="000000"/>
            </w:tcBorders>
            <w:shd w:val="clear" w:color="auto" w:fill="auto"/>
            <w:vAlign w:val="center"/>
          </w:tcPr>
          <w:p w14:paraId="5A16A4B2"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宗地形状</w:t>
            </w:r>
          </w:p>
        </w:tc>
        <w:tc>
          <w:tcPr>
            <w:tcW w:w="1814" w:type="dxa"/>
            <w:tcBorders>
              <w:left w:val="single" w:sz="4" w:space="0" w:color="000000"/>
              <w:bottom w:val="single" w:sz="4" w:space="0" w:color="000000"/>
            </w:tcBorders>
            <w:shd w:val="clear" w:color="auto" w:fill="auto"/>
            <w:vAlign w:val="center"/>
          </w:tcPr>
          <w:p w14:paraId="31B92D50"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较规则</w:t>
            </w:r>
          </w:p>
        </w:tc>
        <w:tc>
          <w:tcPr>
            <w:tcW w:w="1814" w:type="dxa"/>
            <w:tcBorders>
              <w:left w:val="single" w:sz="4" w:space="0" w:color="000000"/>
              <w:bottom w:val="single" w:sz="4" w:space="0" w:color="000000"/>
            </w:tcBorders>
            <w:shd w:val="clear" w:color="auto" w:fill="auto"/>
            <w:vAlign w:val="center"/>
          </w:tcPr>
          <w:p w14:paraId="280C1813"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较规则</w:t>
            </w:r>
          </w:p>
        </w:tc>
        <w:tc>
          <w:tcPr>
            <w:tcW w:w="1814" w:type="dxa"/>
            <w:tcBorders>
              <w:left w:val="single" w:sz="4" w:space="0" w:color="000000"/>
              <w:bottom w:val="single" w:sz="4" w:space="0" w:color="000000"/>
            </w:tcBorders>
            <w:shd w:val="clear" w:color="auto" w:fill="auto"/>
            <w:vAlign w:val="center"/>
          </w:tcPr>
          <w:p w14:paraId="73046BB6"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较规则</w:t>
            </w:r>
          </w:p>
        </w:tc>
        <w:tc>
          <w:tcPr>
            <w:tcW w:w="1779" w:type="dxa"/>
            <w:tcBorders>
              <w:left w:val="single" w:sz="4" w:space="0" w:color="000000"/>
              <w:bottom w:val="single" w:sz="4" w:space="0" w:color="000000"/>
              <w:right w:val="single" w:sz="4" w:space="0" w:color="000000"/>
            </w:tcBorders>
            <w:shd w:val="clear" w:color="auto" w:fill="auto"/>
            <w:vAlign w:val="center"/>
          </w:tcPr>
          <w:p w14:paraId="0BA52B04"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较规则</w:t>
            </w:r>
          </w:p>
        </w:tc>
      </w:tr>
      <w:tr w:rsidR="00E70101" w14:paraId="068A528E" w14:textId="77777777">
        <w:trPr>
          <w:cantSplit/>
          <w:jc w:val="center"/>
        </w:trPr>
        <w:tc>
          <w:tcPr>
            <w:tcW w:w="537" w:type="dxa"/>
            <w:vMerge/>
            <w:tcBorders>
              <w:top w:val="single" w:sz="4" w:space="0" w:color="000000"/>
              <w:left w:val="single" w:sz="4" w:space="0" w:color="000000"/>
              <w:bottom w:val="single" w:sz="4" w:space="0" w:color="000000"/>
            </w:tcBorders>
            <w:shd w:val="clear" w:color="auto" w:fill="auto"/>
            <w:vAlign w:val="center"/>
          </w:tcPr>
          <w:p w14:paraId="1624B3D2" w14:textId="77777777" w:rsidR="00E70101" w:rsidRDefault="00E70101">
            <w:pPr>
              <w:widowControl/>
              <w:snapToGrid w:val="0"/>
              <w:spacing w:line="240" w:lineRule="auto"/>
              <w:rPr>
                <w:rFonts w:ascii="仿宋_GB2312;仿宋" w:eastAsia="仿宋_GB2312;仿宋" w:hAnsi="仿宋_GB2312;仿宋" w:cs="宋体;SimSun"/>
                <w:sz w:val="18"/>
                <w:szCs w:val="18"/>
              </w:rPr>
            </w:pPr>
          </w:p>
        </w:tc>
        <w:tc>
          <w:tcPr>
            <w:tcW w:w="1552" w:type="dxa"/>
            <w:tcBorders>
              <w:left w:val="single" w:sz="4" w:space="0" w:color="000000"/>
              <w:bottom w:val="single" w:sz="4" w:space="0" w:color="000000"/>
            </w:tcBorders>
            <w:shd w:val="clear" w:color="auto" w:fill="auto"/>
            <w:vAlign w:val="center"/>
          </w:tcPr>
          <w:p w14:paraId="19133F81"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宗地容积率</w:t>
            </w:r>
          </w:p>
        </w:tc>
        <w:tc>
          <w:tcPr>
            <w:tcW w:w="1814" w:type="dxa"/>
            <w:tcBorders>
              <w:left w:val="single" w:sz="4" w:space="0" w:color="000000"/>
              <w:bottom w:val="single" w:sz="4" w:space="0" w:color="000000"/>
            </w:tcBorders>
            <w:shd w:val="clear" w:color="auto" w:fill="auto"/>
            <w:vAlign w:val="center"/>
          </w:tcPr>
          <w:p w14:paraId="127804E5"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设定为1</w:t>
            </w:r>
          </w:p>
        </w:tc>
        <w:tc>
          <w:tcPr>
            <w:tcW w:w="1814" w:type="dxa"/>
            <w:tcBorders>
              <w:left w:val="single" w:sz="4" w:space="0" w:color="000000"/>
              <w:bottom w:val="single" w:sz="4" w:space="0" w:color="000000"/>
            </w:tcBorders>
            <w:shd w:val="clear" w:color="auto" w:fill="auto"/>
            <w:vAlign w:val="center"/>
          </w:tcPr>
          <w:p w14:paraId="21606E2E"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实际小于1，设定为1</w:t>
            </w:r>
          </w:p>
        </w:tc>
        <w:tc>
          <w:tcPr>
            <w:tcW w:w="1814" w:type="dxa"/>
            <w:tcBorders>
              <w:left w:val="single" w:sz="4" w:space="0" w:color="000000"/>
              <w:bottom w:val="single" w:sz="4" w:space="0" w:color="000000"/>
            </w:tcBorders>
            <w:shd w:val="clear" w:color="auto" w:fill="auto"/>
            <w:vAlign w:val="center"/>
          </w:tcPr>
          <w:p w14:paraId="0B6F9BE7"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实际小于1，设定为1</w:t>
            </w:r>
          </w:p>
        </w:tc>
        <w:tc>
          <w:tcPr>
            <w:tcW w:w="1779" w:type="dxa"/>
            <w:tcBorders>
              <w:left w:val="single" w:sz="4" w:space="0" w:color="000000"/>
              <w:bottom w:val="single" w:sz="4" w:space="0" w:color="000000"/>
              <w:right w:val="single" w:sz="4" w:space="0" w:color="000000"/>
            </w:tcBorders>
            <w:shd w:val="clear" w:color="auto" w:fill="auto"/>
            <w:vAlign w:val="center"/>
          </w:tcPr>
          <w:p w14:paraId="53BCA171"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实际小于1，设定为1</w:t>
            </w:r>
          </w:p>
        </w:tc>
      </w:tr>
    </w:tbl>
    <w:p w14:paraId="038DD7A6" w14:textId="77777777" w:rsidR="00E70101" w:rsidRDefault="0060680B">
      <w:pPr>
        <w:spacing w:line="360" w:lineRule="auto"/>
        <w:jc w:val="center"/>
        <w:rPr>
          <w:rFonts w:cs="Arial"/>
        </w:rPr>
      </w:pPr>
      <w:r>
        <w:rPr>
          <w:rFonts w:ascii="Arial" w:eastAsia="仿宋_GB2312;仿宋" w:hAnsi="Arial" w:cs="Arial"/>
          <w:b/>
          <w:bCs/>
          <w:szCs w:val="24"/>
        </w:rPr>
        <w:t>表</w:t>
      </w:r>
      <w:r>
        <w:rPr>
          <w:rFonts w:ascii="Arial" w:eastAsia="仿宋_GB2312;仿宋" w:hAnsi="Arial" w:cs="Arial"/>
          <w:b/>
          <w:bCs/>
          <w:szCs w:val="24"/>
        </w:rPr>
        <w:t>2</w:t>
      </w:r>
      <w:r>
        <w:rPr>
          <w:rFonts w:ascii="Arial" w:eastAsia="仿宋_GB2312;仿宋" w:hAnsi="Arial" w:cs="Arial"/>
          <w:b/>
          <w:bCs/>
          <w:szCs w:val="24"/>
        </w:rPr>
        <w:t>：因素比较修正系数表</w:t>
      </w:r>
    </w:p>
    <w:tbl>
      <w:tblPr>
        <w:tblW w:w="9305" w:type="dxa"/>
        <w:jc w:val="center"/>
        <w:tblCellMar>
          <w:top w:w="57" w:type="dxa"/>
          <w:left w:w="28" w:type="dxa"/>
          <w:bottom w:w="57" w:type="dxa"/>
          <w:right w:w="28" w:type="dxa"/>
        </w:tblCellMar>
        <w:tblLook w:val="0000" w:firstRow="0" w:lastRow="0" w:firstColumn="0" w:lastColumn="0" w:noHBand="0" w:noVBand="0"/>
      </w:tblPr>
      <w:tblGrid>
        <w:gridCol w:w="1136"/>
        <w:gridCol w:w="2191"/>
        <w:gridCol w:w="503"/>
        <w:gridCol w:w="1474"/>
        <w:gridCol w:w="510"/>
        <w:gridCol w:w="1488"/>
        <w:gridCol w:w="497"/>
        <w:gridCol w:w="1506"/>
      </w:tblGrid>
      <w:tr w:rsidR="00E70101" w14:paraId="568D3F60" w14:textId="77777777">
        <w:trPr>
          <w:cantSplit/>
          <w:jc w:val="center"/>
        </w:trPr>
        <w:tc>
          <w:tcPr>
            <w:tcW w:w="3327" w:type="dxa"/>
            <w:gridSpan w:val="2"/>
            <w:tcBorders>
              <w:top w:val="single" w:sz="2" w:space="0" w:color="404040"/>
              <w:left w:val="single" w:sz="2" w:space="0" w:color="404040"/>
              <w:bottom w:val="single" w:sz="6" w:space="0" w:color="404040"/>
            </w:tcBorders>
            <w:shd w:val="clear" w:color="auto" w:fill="auto"/>
            <w:vAlign w:val="center"/>
          </w:tcPr>
          <w:p w14:paraId="7396A869" w14:textId="77777777" w:rsidR="00E70101" w:rsidRDefault="0060680B">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比较因素</w:t>
            </w:r>
          </w:p>
        </w:tc>
        <w:tc>
          <w:tcPr>
            <w:tcW w:w="1977" w:type="dxa"/>
            <w:gridSpan w:val="2"/>
            <w:tcBorders>
              <w:top w:val="single" w:sz="2" w:space="0" w:color="404040"/>
              <w:left w:val="single" w:sz="6" w:space="0" w:color="404040"/>
              <w:bottom w:val="single" w:sz="6" w:space="0" w:color="404040"/>
            </w:tcBorders>
            <w:shd w:val="clear" w:color="auto" w:fill="auto"/>
            <w:vAlign w:val="center"/>
          </w:tcPr>
          <w:p w14:paraId="75C7AB51" w14:textId="77777777" w:rsidR="00E70101" w:rsidRDefault="0060680B">
            <w:pPr>
              <w:widowControl/>
              <w:spacing w:line="240" w:lineRule="exact"/>
              <w:ind w:left="-3" w:right="31" w:hanging="16"/>
            </w:pPr>
            <w:r>
              <w:rPr>
                <w:rFonts w:ascii="Arial" w:eastAsia="仿宋_GB2312;仿宋" w:hAnsi="Arial" w:cs="Arial"/>
                <w:sz w:val="18"/>
                <w:szCs w:val="18"/>
              </w:rPr>
              <w:t>实例</w:t>
            </w:r>
            <w:r>
              <w:rPr>
                <w:rFonts w:ascii="Arial" w:eastAsia="仿宋_GB2312;仿宋" w:hAnsi="Arial" w:cs="Arial"/>
                <w:sz w:val="18"/>
                <w:szCs w:val="18"/>
              </w:rPr>
              <w:t>A</w:t>
            </w:r>
          </w:p>
        </w:tc>
        <w:tc>
          <w:tcPr>
            <w:tcW w:w="1998" w:type="dxa"/>
            <w:gridSpan w:val="2"/>
            <w:tcBorders>
              <w:top w:val="single" w:sz="2" w:space="0" w:color="404040"/>
              <w:left w:val="single" w:sz="6" w:space="0" w:color="404040"/>
              <w:bottom w:val="single" w:sz="6" w:space="0" w:color="404040"/>
            </w:tcBorders>
            <w:shd w:val="clear" w:color="auto" w:fill="auto"/>
            <w:vAlign w:val="center"/>
          </w:tcPr>
          <w:p w14:paraId="08044747" w14:textId="77777777" w:rsidR="00E70101" w:rsidRDefault="0060680B">
            <w:pPr>
              <w:widowControl/>
              <w:spacing w:line="240" w:lineRule="exact"/>
              <w:ind w:left="-3" w:right="31" w:hanging="16"/>
            </w:pPr>
            <w:r>
              <w:rPr>
                <w:rFonts w:ascii="Arial" w:eastAsia="仿宋_GB2312;仿宋" w:hAnsi="Arial" w:cs="Arial"/>
                <w:sz w:val="18"/>
                <w:szCs w:val="18"/>
              </w:rPr>
              <w:t>实例</w:t>
            </w:r>
            <w:r>
              <w:rPr>
                <w:rFonts w:ascii="Arial" w:eastAsia="仿宋_GB2312;仿宋" w:hAnsi="Arial" w:cs="Arial"/>
                <w:sz w:val="18"/>
                <w:szCs w:val="18"/>
              </w:rPr>
              <w:t>B</w:t>
            </w:r>
          </w:p>
        </w:tc>
        <w:tc>
          <w:tcPr>
            <w:tcW w:w="2003" w:type="dxa"/>
            <w:gridSpan w:val="2"/>
            <w:tcBorders>
              <w:top w:val="single" w:sz="2" w:space="0" w:color="404040"/>
              <w:left w:val="single" w:sz="6" w:space="0" w:color="404040"/>
              <w:bottom w:val="single" w:sz="6" w:space="0" w:color="404040"/>
              <w:right w:val="single" w:sz="2" w:space="0" w:color="404040"/>
            </w:tcBorders>
            <w:shd w:val="clear" w:color="auto" w:fill="auto"/>
            <w:vAlign w:val="center"/>
          </w:tcPr>
          <w:p w14:paraId="272F2438" w14:textId="77777777" w:rsidR="00E70101" w:rsidRDefault="0060680B">
            <w:pPr>
              <w:widowControl/>
              <w:spacing w:line="240" w:lineRule="exact"/>
              <w:ind w:left="-3" w:right="31" w:hanging="16"/>
            </w:pPr>
            <w:r>
              <w:rPr>
                <w:rFonts w:ascii="Arial" w:eastAsia="仿宋_GB2312;仿宋" w:hAnsi="Arial" w:cs="Arial"/>
                <w:sz w:val="18"/>
                <w:szCs w:val="18"/>
              </w:rPr>
              <w:t>实例</w:t>
            </w:r>
            <w:r>
              <w:rPr>
                <w:rFonts w:ascii="Arial" w:eastAsia="仿宋_GB2312;仿宋" w:hAnsi="Arial" w:cs="Arial"/>
                <w:sz w:val="18"/>
                <w:szCs w:val="18"/>
              </w:rPr>
              <w:t>C</w:t>
            </w:r>
          </w:p>
        </w:tc>
      </w:tr>
      <w:tr w:rsidR="00E70101" w14:paraId="68CB36C4" w14:textId="77777777">
        <w:trPr>
          <w:cantSplit/>
          <w:jc w:val="center"/>
        </w:trPr>
        <w:tc>
          <w:tcPr>
            <w:tcW w:w="3327" w:type="dxa"/>
            <w:gridSpan w:val="2"/>
            <w:tcBorders>
              <w:top w:val="single" w:sz="6" w:space="0" w:color="404040"/>
              <w:left w:val="single" w:sz="2" w:space="0" w:color="404040"/>
              <w:bottom w:val="single" w:sz="6" w:space="0" w:color="404040"/>
            </w:tcBorders>
            <w:shd w:val="clear" w:color="auto" w:fill="auto"/>
            <w:vAlign w:val="center"/>
          </w:tcPr>
          <w:p w14:paraId="03C52736" w14:textId="77777777" w:rsidR="00E70101" w:rsidRDefault="0060680B">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交易时间</w:t>
            </w:r>
          </w:p>
        </w:tc>
        <w:tc>
          <w:tcPr>
            <w:tcW w:w="503" w:type="dxa"/>
            <w:tcBorders>
              <w:top w:val="single" w:sz="6" w:space="0" w:color="404040"/>
              <w:left w:val="single" w:sz="6" w:space="0" w:color="404040"/>
              <w:bottom w:val="single" w:sz="6" w:space="0" w:color="404040"/>
            </w:tcBorders>
            <w:shd w:val="clear" w:color="auto" w:fill="auto"/>
            <w:vAlign w:val="center"/>
          </w:tcPr>
          <w:p w14:paraId="3D7DF438"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74" w:type="dxa"/>
            <w:tcBorders>
              <w:top w:val="single" w:sz="6" w:space="0" w:color="404040"/>
              <w:bottom w:val="single" w:sz="6" w:space="0" w:color="404040"/>
            </w:tcBorders>
            <w:shd w:val="clear" w:color="auto" w:fill="auto"/>
            <w:vAlign w:val="center"/>
          </w:tcPr>
          <w:p w14:paraId="240EEBA0"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90</w:t>
            </w:r>
          </w:p>
        </w:tc>
        <w:tc>
          <w:tcPr>
            <w:tcW w:w="510" w:type="dxa"/>
            <w:tcBorders>
              <w:top w:val="single" w:sz="6" w:space="0" w:color="404040"/>
              <w:left w:val="single" w:sz="6" w:space="0" w:color="404040"/>
              <w:bottom w:val="single" w:sz="6" w:space="0" w:color="404040"/>
            </w:tcBorders>
            <w:shd w:val="clear" w:color="auto" w:fill="auto"/>
            <w:vAlign w:val="center"/>
          </w:tcPr>
          <w:p w14:paraId="6B722673"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88" w:type="dxa"/>
            <w:tcBorders>
              <w:top w:val="single" w:sz="6" w:space="0" w:color="404040"/>
              <w:bottom w:val="single" w:sz="6" w:space="0" w:color="404040"/>
            </w:tcBorders>
            <w:shd w:val="clear" w:color="auto" w:fill="auto"/>
            <w:vAlign w:val="center"/>
          </w:tcPr>
          <w:p w14:paraId="1539F501"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90</w:t>
            </w:r>
          </w:p>
        </w:tc>
        <w:tc>
          <w:tcPr>
            <w:tcW w:w="497" w:type="dxa"/>
            <w:tcBorders>
              <w:top w:val="single" w:sz="6" w:space="0" w:color="404040"/>
              <w:left w:val="single" w:sz="6" w:space="0" w:color="404040"/>
              <w:bottom w:val="single" w:sz="6" w:space="0" w:color="404040"/>
            </w:tcBorders>
            <w:shd w:val="clear" w:color="auto" w:fill="auto"/>
            <w:vAlign w:val="center"/>
          </w:tcPr>
          <w:p w14:paraId="6B78D824"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506" w:type="dxa"/>
            <w:tcBorders>
              <w:top w:val="single" w:sz="6" w:space="0" w:color="404040"/>
              <w:bottom w:val="single" w:sz="6" w:space="0" w:color="404040"/>
              <w:right w:val="single" w:sz="2" w:space="0" w:color="404040"/>
            </w:tcBorders>
            <w:shd w:val="clear" w:color="auto" w:fill="auto"/>
            <w:vAlign w:val="center"/>
          </w:tcPr>
          <w:p w14:paraId="1608C070"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92.5</w:t>
            </w:r>
          </w:p>
        </w:tc>
      </w:tr>
      <w:tr w:rsidR="00E70101" w14:paraId="77186964" w14:textId="77777777">
        <w:trPr>
          <w:cantSplit/>
          <w:jc w:val="center"/>
        </w:trPr>
        <w:tc>
          <w:tcPr>
            <w:tcW w:w="3327" w:type="dxa"/>
            <w:gridSpan w:val="2"/>
            <w:tcBorders>
              <w:top w:val="single" w:sz="6" w:space="0" w:color="404040"/>
              <w:left w:val="single" w:sz="2" w:space="0" w:color="404040"/>
              <w:bottom w:val="single" w:sz="6" w:space="0" w:color="404040"/>
            </w:tcBorders>
            <w:shd w:val="clear" w:color="auto" w:fill="auto"/>
            <w:vAlign w:val="center"/>
          </w:tcPr>
          <w:p w14:paraId="5700F23D" w14:textId="77777777" w:rsidR="00E70101" w:rsidRDefault="0060680B">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土地用途</w:t>
            </w:r>
          </w:p>
        </w:tc>
        <w:tc>
          <w:tcPr>
            <w:tcW w:w="503" w:type="dxa"/>
            <w:tcBorders>
              <w:top w:val="single" w:sz="6" w:space="0" w:color="404040"/>
              <w:left w:val="single" w:sz="6" w:space="0" w:color="404040"/>
              <w:bottom w:val="single" w:sz="6" w:space="0" w:color="404040"/>
            </w:tcBorders>
            <w:shd w:val="clear" w:color="auto" w:fill="auto"/>
            <w:vAlign w:val="center"/>
          </w:tcPr>
          <w:p w14:paraId="5A5A03B9"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74" w:type="dxa"/>
            <w:tcBorders>
              <w:top w:val="single" w:sz="6" w:space="0" w:color="404040"/>
              <w:bottom w:val="single" w:sz="6" w:space="0" w:color="404040"/>
            </w:tcBorders>
            <w:shd w:val="clear" w:color="auto" w:fill="auto"/>
            <w:vAlign w:val="center"/>
          </w:tcPr>
          <w:p w14:paraId="4A4DA9D2"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510" w:type="dxa"/>
            <w:tcBorders>
              <w:top w:val="single" w:sz="6" w:space="0" w:color="404040"/>
              <w:left w:val="single" w:sz="6" w:space="0" w:color="404040"/>
              <w:bottom w:val="single" w:sz="6" w:space="0" w:color="404040"/>
            </w:tcBorders>
            <w:shd w:val="clear" w:color="auto" w:fill="auto"/>
            <w:vAlign w:val="center"/>
          </w:tcPr>
          <w:p w14:paraId="2078C06C"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88" w:type="dxa"/>
            <w:tcBorders>
              <w:top w:val="single" w:sz="6" w:space="0" w:color="404040"/>
              <w:bottom w:val="single" w:sz="6" w:space="0" w:color="404040"/>
            </w:tcBorders>
            <w:shd w:val="clear" w:color="auto" w:fill="auto"/>
            <w:vAlign w:val="center"/>
          </w:tcPr>
          <w:p w14:paraId="537AAE9F"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497" w:type="dxa"/>
            <w:tcBorders>
              <w:top w:val="single" w:sz="6" w:space="0" w:color="404040"/>
              <w:left w:val="single" w:sz="6" w:space="0" w:color="404040"/>
              <w:bottom w:val="single" w:sz="6" w:space="0" w:color="404040"/>
            </w:tcBorders>
            <w:shd w:val="clear" w:color="auto" w:fill="auto"/>
            <w:vAlign w:val="center"/>
          </w:tcPr>
          <w:p w14:paraId="2489FD3A"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506" w:type="dxa"/>
            <w:tcBorders>
              <w:top w:val="single" w:sz="6" w:space="0" w:color="404040"/>
              <w:bottom w:val="single" w:sz="6" w:space="0" w:color="404040"/>
              <w:right w:val="single" w:sz="2" w:space="0" w:color="404040"/>
            </w:tcBorders>
            <w:shd w:val="clear" w:color="auto" w:fill="auto"/>
            <w:vAlign w:val="center"/>
          </w:tcPr>
          <w:p w14:paraId="5CC47063"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r>
      <w:tr w:rsidR="00E70101" w14:paraId="7262DD63" w14:textId="77777777">
        <w:trPr>
          <w:cantSplit/>
          <w:jc w:val="center"/>
        </w:trPr>
        <w:tc>
          <w:tcPr>
            <w:tcW w:w="1136" w:type="dxa"/>
            <w:vMerge w:val="restart"/>
            <w:tcBorders>
              <w:top w:val="single" w:sz="6" w:space="0" w:color="808080"/>
              <w:left w:val="single" w:sz="2" w:space="0" w:color="808080"/>
              <w:bottom w:val="single" w:sz="6" w:space="0" w:color="808080"/>
            </w:tcBorders>
            <w:shd w:val="clear" w:color="auto" w:fill="auto"/>
            <w:vAlign w:val="center"/>
          </w:tcPr>
          <w:p w14:paraId="7E9022F3" w14:textId="77777777" w:rsidR="00E70101" w:rsidRDefault="0060680B">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区域因素</w:t>
            </w:r>
          </w:p>
        </w:tc>
        <w:tc>
          <w:tcPr>
            <w:tcW w:w="2191" w:type="dxa"/>
            <w:tcBorders>
              <w:top w:val="single" w:sz="6" w:space="0" w:color="808080"/>
              <w:left w:val="single" w:sz="6" w:space="0" w:color="808080"/>
              <w:bottom w:val="single" w:sz="6" w:space="0" w:color="808080"/>
            </w:tcBorders>
            <w:shd w:val="clear" w:color="auto" w:fill="auto"/>
            <w:vAlign w:val="center"/>
          </w:tcPr>
          <w:p w14:paraId="7A99CDC4" w14:textId="77777777" w:rsidR="00E70101" w:rsidRDefault="0060680B">
            <w:pPr>
              <w:spacing w:line="240" w:lineRule="exact"/>
              <w:rPr>
                <w:rFonts w:ascii="Arial" w:eastAsia="仿宋_GB2312;仿宋" w:hAnsi="Arial" w:cs="Arial"/>
                <w:sz w:val="18"/>
                <w:szCs w:val="18"/>
              </w:rPr>
            </w:pPr>
            <w:r>
              <w:rPr>
                <w:rFonts w:ascii="Arial" w:eastAsia="仿宋_GB2312;仿宋" w:hAnsi="Arial" w:cs="Arial"/>
                <w:sz w:val="18"/>
                <w:szCs w:val="18"/>
              </w:rPr>
              <w:t>产业聚集度</w:t>
            </w:r>
          </w:p>
        </w:tc>
        <w:tc>
          <w:tcPr>
            <w:tcW w:w="503" w:type="dxa"/>
            <w:tcBorders>
              <w:top w:val="single" w:sz="6" w:space="0" w:color="808080"/>
              <w:left w:val="single" w:sz="6" w:space="0" w:color="808080"/>
              <w:bottom w:val="single" w:sz="6" w:space="0" w:color="808080"/>
            </w:tcBorders>
            <w:shd w:val="clear" w:color="auto" w:fill="auto"/>
            <w:vAlign w:val="center"/>
          </w:tcPr>
          <w:p w14:paraId="7977E464"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74" w:type="dxa"/>
            <w:tcBorders>
              <w:top w:val="single" w:sz="6" w:space="0" w:color="808080"/>
              <w:bottom w:val="single" w:sz="6" w:space="0" w:color="808080"/>
            </w:tcBorders>
            <w:shd w:val="clear" w:color="auto" w:fill="auto"/>
            <w:vAlign w:val="center"/>
          </w:tcPr>
          <w:p w14:paraId="0781CAD7"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510" w:type="dxa"/>
            <w:tcBorders>
              <w:top w:val="single" w:sz="6" w:space="0" w:color="808080"/>
              <w:left w:val="single" w:sz="6" w:space="0" w:color="808080"/>
              <w:bottom w:val="single" w:sz="6" w:space="0" w:color="808080"/>
            </w:tcBorders>
            <w:shd w:val="clear" w:color="auto" w:fill="auto"/>
            <w:vAlign w:val="center"/>
          </w:tcPr>
          <w:p w14:paraId="194F4CFC"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88" w:type="dxa"/>
            <w:tcBorders>
              <w:top w:val="single" w:sz="6" w:space="0" w:color="808080"/>
              <w:bottom w:val="single" w:sz="6" w:space="0" w:color="808080"/>
            </w:tcBorders>
            <w:shd w:val="clear" w:color="auto" w:fill="auto"/>
            <w:vAlign w:val="center"/>
          </w:tcPr>
          <w:p w14:paraId="12491FD7"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497" w:type="dxa"/>
            <w:tcBorders>
              <w:top w:val="single" w:sz="6" w:space="0" w:color="808080"/>
              <w:left w:val="single" w:sz="6" w:space="0" w:color="808080"/>
              <w:bottom w:val="single" w:sz="6" w:space="0" w:color="808080"/>
            </w:tcBorders>
            <w:shd w:val="clear" w:color="auto" w:fill="auto"/>
            <w:vAlign w:val="center"/>
          </w:tcPr>
          <w:p w14:paraId="1A5728BD"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506" w:type="dxa"/>
            <w:tcBorders>
              <w:top w:val="single" w:sz="6" w:space="0" w:color="808080"/>
              <w:bottom w:val="single" w:sz="6" w:space="0" w:color="808080"/>
              <w:right w:val="single" w:sz="2" w:space="0" w:color="808080"/>
            </w:tcBorders>
            <w:shd w:val="clear" w:color="auto" w:fill="auto"/>
            <w:vAlign w:val="center"/>
          </w:tcPr>
          <w:p w14:paraId="1CC2A5E4"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r>
      <w:tr w:rsidR="00E70101" w14:paraId="5FDD20BA" w14:textId="77777777">
        <w:trPr>
          <w:cantSplit/>
          <w:jc w:val="center"/>
        </w:trPr>
        <w:tc>
          <w:tcPr>
            <w:tcW w:w="1136" w:type="dxa"/>
            <w:vMerge/>
            <w:tcBorders>
              <w:top w:val="single" w:sz="6" w:space="0" w:color="808080"/>
              <w:left w:val="single" w:sz="2" w:space="0" w:color="808080"/>
              <w:bottom w:val="single" w:sz="6" w:space="0" w:color="808080"/>
            </w:tcBorders>
            <w:shd w:val="clear" w:color="auto" w:fill="auto"/>
            <w:vAlign w:val="center"/>
          </w:tcPr>
          <w:p w14:paraId="55D41CB2" w14:textId="77777777" w:rsidR="00E70101" w:rsidRDefault="00E70101">
            <w:pPr>
              <w:widowControl/>
              <w:snapToGrid w:val="0"/>
              <w:spacing w:line="240" w:lineRule="auto"/>
              <w:rPr>
                <w:rFonts w:ascii="Arial" w:eastAsia="仿宋_GB2312;仿宋" w:hAnsi="Arial" w:cs="Arial"/>
                <w:sz w:val="18"/>
                <w:szCs w:val="18"/>
              </w:rPr>
            </w:pPr>
          </w:p>
        </w:tc>
        <w:tc>
          <w:tcPr>
            <w:tcW w:w="2191" w:type="dxa"/>
            <w:tcBorders>
              <w:top w:val="single" w:sz="6" w:space="0" w:color="808080"/>
              <w:left w:val="single" w:sz="6" w:space="0" w:color="808080"/>
              <w:bottom w:val="single" w:sz="6" w:space="0" w:color="808080"/>
            </w:tcBorders>
            <w:shd w:val="clear" w:color="auto" w:fill="auto"/>
            <w:vAlign w:val="center"/>
          </w:tcPr>
          <w:p w14:paraId="455DAAB6" w14:textId="77777777" w:rsidR="00E70101" w:rsidRDefault="0060680B">
            <w:pPr>
              <w:spacing w:line="240" w:lineRule="exact"/>
              <w:rPr>
                <w:rFonts w:ascii="Arial" w:eastAsia="仿宋_GB2312;仿宋" w:hAnsi="Arial" w:cs="Arial"/>
                <w:sz w:val="18"/>
                <w:szCs w:val="18"/>
              </w:rPr>
            </w:pPr>
            <w:r>
              <w:rPr>
                <w:rFonts w:ascii="Arial" w:eastAsia="仿宋_GB2312;仿宋" w:hAnsi="Arial" w:cs="Arial"/>
                <w:sz w:val="18"/>
                <w:szCs w:val="18"/>
              </w:rPr>
              <w:t>交通便捷度</w:t>
            </w:r>
          </w:p>
        </w:tc>
        <w:tc>
          <w:tcPr>
            <w:tcW w:w="503" w:type="dxa"/>
            <w:tcBorders>
              <w:top w:val="single" w:sz="6" w:space="0" w:color="808080"/>
              <w:left w:val="single" w:sz="6" w:space="0" w:color="808080"/>
              <w:bottom w:val="single" w:sz="6" w:space="0" w:color="808080"/>
            </w:tcBorders>
            <w:shd w:val="clear" w:color="auto" w:fill="auto"/>
            <w:vAlign w:val="center"/>
          </w:tcPr>
          <w:p w14:paraId="356ADDFC"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74" w:type="dxa"/>
            <w:tcBorders>
              <w:top w:val="single" w:sz="6" w:space="0" w:color="808080"/>
              <w:bottom w:val="single" w:sz="6" w:space="0" w:color="808080"/>
            </w:tcBorders>
            <w:shd w:val="clear" w:color="auto" w:fill="auto"/>
            <w:vAlign w:val="center"/>
          </w:tcPr>
          <w:p w14:paraId="5FD2EC87"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510" w:type="dxa"/>
            <w:tcBorders>
              <w:top w:val="single" w:sz="6" w:space="0" w:color="808080"/>
              <w:left w:val="single" w:sz="6" w:space="0" w:color="808080"/>
              <w:bottom w:val="single" w:sz="6" w:space="0" w:color="808080"/>
            </w:tcBorders>
            <w:shd w:val="clear" w:color="auto" w:fill="auto"/>
            <w:vAlign w:val="center"/>
          </w:tcPr>
          <w:p w14:paraId="39C8EB08"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88" w:type="dxa"/>
            <w:tcBorders>
              <w:top w:val="single" w:sz="6" w:space="0" w:color="808080"/>
              <w:bottom w:val="single" w:sz="6" w:space="0" w:color="808080"/>
            </w:tcBorders>
            <w:shd w:val="clear" w:color="auto" w:fill="auto"/>
            <w:vAlign w:val="center"/>
          </w:tcPr>
          <w:p w14:paraId="6BED72A3"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497" w:type="dxa"/>
            <w:tcBorders>
              <w:top w:val="single" w:sz="6" w:space="0" w:color="808080"/>
              <w:left w:val="single" w:sz="6" w:space="0" w:color="808080"/>
              <w:bottom w:val="single" w:sz="6" w:space="0" w:color="808080"/>
            </w:tcBorders>
            <w:shd w:val="clear" w:color="auto" w:fill="auto"/>
            <w:vAlign w:val="center"/>
          </w:tcPr>
          <w:p w14:paraId="0F53C42A"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506" w:type="dxa"/>
            <w:tcBorders>
              <w:top w:val="single" w:sz="6" w:space="0" w:color="808080"/>
              <w:bottom w:val="single" w:sz="6" w:space="0" w:color="808080"/>
              <w:right w:val="single" w:sz="2" w:space="0" w:color="808080"/>
            </w:tcBorders>
            <w:shd w:val="clear" w:color="auto" w:fill="auto"/>
            <w:vAlign w:val="center"/>
          </w:tcPr>
          <w:p w14:paraId="1B9936EF"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r>
      <w:tr w:rsidR="00E70101" w14:paraId="220FC063" w14:textId="77777777">
        <w:trPr>
          <w:cantSplit/>
          <w:jc w:val="center"/>
        </w:trPr>
        <w:tc>
          <w:tcPr>
            <w:tcW w:w="1136" w:type="dxa"/>
            <w:vMerge/>
            <w:tcBorders>
              <w:top w:val="single" w:sz="6" w:space="0" w:color="808080"/>
              <w:left w:val="single" w:sz="2" w:space="0" w:color="808080"/>
              <w:bottom w:val="single" w:sz="6" w:space="0" w:color="808080"/>
            </w:tcBorders>
            <w:shd w:val="clear" w:color="auto" w:fill="auto"/>
            <w:vAlign w:val="center"/>
          </w:tcPr>
          <w:p w14:paraId="413D585C" w14:textId="77777777" w:rsidR="00E70101" w:rsidRDefault="00E70101">
            <w:pPr>
              <w:widowControl/>
              <w:snapToGrid w:val="0"/>
              <w:spacing w:line="240" w:lineRule="auto"/>
              <w:rPr>
                <w:rFonts w:ascii="Arial" w:eastAsia="仿宋_GB2312;仿宋" w:hAnsi="Arial" w:cs="Arial"/>
                <w:sz w:val="18"/>
                <w:szCs w:val="18"/>
              </w:rPr>
            </w:pPr>
          </w:p>
        </w:tc>
        <w:tc>
          <w:tcPr>
            <w:tcW w:w="2191" w:type="dxa"/>
            <w:tcBorders>
              <w:top w:val="single" w:sz="6" w:space="0" w:color="808080"/>
              <w:left w:val="single" w:sz="6" w:space="0" w:color="808080"/>
              <w:bottom w:val="single" w:sz="6" w:space="0" w:color="808080"/>
            </w:tcBorders>
            <w:shd w:val="clear" w:color="auto" w:fill="auto"/>
            <w:vAlign w:val="center"/>
          </w:tcPr>
          <w:p w14:paraId="6973A4A0" w14:textId="77777777" w:rsidR="00E70101" w:rsidRDefault="0060680B">
            <w:pPr>
              <w:spacing w:line="240" w:lineRule="exact"/>
              <w:rPr>
                <w:rFonts w:ascii="Arial" w:eastAsia="仿宋_GB2312;仿宋" w:hAnsi="Arial" w:cs="Arial"/>
                <w:sz w:val="18"/>
                <w:szCs w:val="18"/>
              </w:rPr>
            </w:pPr>
            <w:r>
              <w:rPr>
                <w:rFonts w:ascii="Arial" w:eastAsia="仿宋_GB2312;仿宋" w:hAnsi="Arial" w:cs="Arial"/>
                <w:sz w:val="18"/>
                <w:szCs w:val="18"/>
              </w:rPr>
              <w:t>区域土地利用方向</w:t>
            </w:r>
          </w:p>
        </w:tc>
        <w:tc>
          <w:tcPr>
            <w:tcW w:w="503" w:type="dxa"/>
            <w:tcBorders>
              <w:top w:val="single" w:sz="6" w:space="0" w:color="808080"/>
              <w:left w:val="single" w:sz="6" w:space="0" w:color="808080"/>
              <w:bottom w:val="single" w:sz="6" w:space="0" w:color="808080"/>
            </w:tcBorders>
            <w:shd w:val="clear" w:color="auto" w:fill="auto"/>
            <w:vAlign w:val="center"/>
          </w:tcPr>
          <w:p w14:paraId="147F7AD9"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74" w:type="dxa"/>
            <w:tcBorders>
              <w:top w:val="single" w:sz="6" w:space="0" w:color="808080"/>
              <w:bottom w:val="single" w:sz="6" w:space="0" w:color="808080"/>
            </w:tcBorders>
            <w:shd w:val="clear" w:color="auto" w:fill="auto"/>
            <w:vAlign w:val="center"/>
          </w:tcPr>
          <w:p w14:paraId="79989FCF"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510" w:type="dxa"/>
            <w:tcBorders>
              <w:top w:val="single" w:sz="6" w:space="0" w:color="808080"/>
              <w:left w:val="single" w:sz="6" w:space="0" w:color="808080"/>
              <w:bottom w:val="single" w:sz="6" w:space="0" w:color="808080"/>
            </w:tcBorders>
            <w:shd w:val="clear" w:color="auto" w:fill="auto"/>
            <w:vAlign w:val="center"/>
          </w:tcPr>
          <w:p w14:paraId="6F37C541"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88" w:type="dxa"/>
            <w:tcBorders>
              <w:top w:val="single" w:sz="6" w:space="0" w:color="808080"/>
              <w:bottom w:val="single" w:sz="6" w:space="0" w:color="808080"/>
            </w:tcBorders>
            <w:shd w:val="clear" w:color="auto" w:fill="auto"/>
            <w:vAlign w:val="center"/>
          </w:tcPr>
          <w:p w14:paraId="49972E99"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497" w:type="dxa"/>
            <w:tcBorders>
              <w:top w:val="single" w:sz="6" w:space="0" w:color="808080"/>
              <w:left w:val="single" w:sz="6" w:space="0" w:color="808080"/>
              <w:bottom w:val="single" w:sz="6" w:space="0" w:color="808080"/>
            </w:tcBorders>
            <w:shd w:val="clear" w:color="auto" w:fill="auto"/>
            <w:vAlign w:val="center"/>
          </w:tcPr>
          <w:p w14:paraId="47E37148"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506" w:type="dxa"/>
            <w:tcBorders>
              <w:top w:val="single" w:sz="6" w:space="0" w:color="808080"/>
              <w:bottom w:val="single" w:sz="6" w:space="0" w:color="808080"/>
              <w:right w:val="single" w:sz="2" w:space="0" w:color="808080"/>
            </w:tcBorders>
            <w:shd w:val="clear" w:color="auto" w:fill="auto"/>
            <w:vAlign w:val="center"/>
          </w:tcPr>
          <w:p w14:paraId="7B7DBEDB"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r>
      <w:tr w:rsidR="00E70101" w14:paraId="7B9FFC23" w14:textId="77777777">
        <w:trPr>
          <w:cantSplit/>
          <w:jc w:val="center"/>
        </w:trPr>
        <w:tc>
          <w:tcPr>
            <w:tcW w:w="1136" w:type="dxa"/>
            <w:vMerge/>
            <w:tcBorders>
              <w:top w:val="single" w:sz="6" w:space="0" w:color="808080"/>
              <w:left w:val="single" w:sz="2" w:space="0" w:color="808080"/>
              <w:bottom w:val="single" w:sz="6" w:space="0" w:color="808080"/>
            </w:tcBorders>
            <w:shd w:val="clear" w:color="auto" w:fill="auto"/>
            <w:vAlign w:val="center"/>
          </w:tcPr>
          <w:p w14:paraId="51544DF0" w14:textId="77777777" w:rsidR="00E70101" w:rsidRDefault="00E70101">
            <w:pPr>
              <w:widowControl/>
              <w:snapToGrid w:val="0"/>
              <w:spacing w:line="240" w:lineRule="auto"/>
              <w:rPr>
                <w:rFonts w:ascii="Arial" w:eastAsia="仿宋_GB2312;仿宋" w:hAnsi="Arial" w:cs="Arial"/>
                <w:sz w:val="18"/>
                <w:szCs w:val="18"/>
              </w:rPr>
            </w:pPr>
          </w:p>
        </w:tc>
        <w:tc>
          <w:tcPr>
            <w:tcW w:w="2191" w:type="dxa"/>
            <w:tcBorders>
              <w:top w:val="single" w:sz="6" w:space="0" w:color="808080"/>
              <w:left w:val="single" w:sz="6" w:space="0" w:color="808080"/>
              <w:bottom w:val="single" w:sz="6" w:space="0" w:color="808080"/>
            </w:tcBorders>
            <w:shd w:val="clear" w:color="auto" w:fill="auto"/>
            <w:vAlign w:val="center"/>
          </w:tcPr>
          <w:p w14:paraId="2A3EBDF7" w14:textId="77777777" w:rsidR="00E70101" w:rsidRDefault="0060680B">
            <w:pPr>
              <w:spacing w:line="240" w:lineRule="exact"/>
              <w:rPr>
                <w:rFonts w:ascii="Arial" w:eastAsia="仿宋_GB2312;仿宋" w:hAnsi="Arial" w:cs="Arial"/>
                <w:sz w:val="18"/>
                <w:szCs w:val="18"/>
              </w:rPr>
            </w:pPr>
            <w:r>
              <w:rPr>
                <w:rFonts w:ascii="Arial" w:eastAsia="仿宋_GB2312;仿宋" w:hAnsi="Arial" w:cs="Arial"/>
                <w:sz w:val="18"/>
                <w:szCs w:val="18"/>
              </w:rPr>
              <w:t>区域设施及基础设施水平</w:t>
            </w:r>
          </w:p>
        </w:tc>
        <w:tc>
          <w:tcPr>
            <w:tcW w:w="503" w:type="dxa"/>
            <w:tcBorders>
              <w:top w:val="single" w:sz="6" w:space="0" w:color="808080"/>
              <w:left w:val="single" w:sz="6" w:space="0" w:color="808080"/>
              <w:bottom w:val="single" w:sz="6" w:space="0" w:color="808080"/>
            </w:tcBorders>
            <w:shd w:val="clear" w:color="auto" w:fill="auto"/>
            <w:vAlign w:val="center"/>
          </w:tcPr>
          <w:p w14:paraId="440A7509"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74" w:type="dxa"/>
            <w:tcBorders>
              <w:top w:val="single" w:sz="6" w:space="0" w:color="808080"/>
              <w:bottom w:val="single" w:sz="6" w:space="0" w:color="808080"/>
            </w:tcBorders>
            <w:shd w:val="clear" w:color="auto" w:fill="auto"/>
            <w:vAlign w:val="center"/>
          </w:tcPr>
          <w:p w14:paraId="6038BEF9"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510" w:type="dxa"/>
            <w:tcBorders>
              <w:top w:val="single" w:sz="6" w:space="0" w:color="808080"/>
              <w:left w:val="single" w:sz="6" w:space="0" w:color="808080"/>
              <w:bottom w:val="single" w:sz="6" w:space="0" w:color="808080"/>
            </w:tcBorders>
            <w:shd w:val="clear" w:color="auto" w:fill="auto"/>
            <w:vAlign w:val="center"/>
          </w:tcPr>
          <w:p w14:paraId="7C033517"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88" w:type="dxa"/>
            <w:tcBorders>
              <w:top w:val="single" w:sz="6" w:space="0" w:color="808080"/>
              <w:bottom w:val="single" w:sz="6" w:space="0" w:color="808080"/>
            </w:tcBorders>
            <w:shd w:val="clear" w:color="auto" w:fill="auto"/>
            <w:vAlign w:val="center"/>
          </w:tcPr>
          <w:p w14:paraId="22189D02"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497" w:type="dxa"/>
            <w:tcBorders>
              <w:top w:val="single" w:sz="6" w:space="0" w:color="808080"/>
              <w:left w:val="single" w:sz="6" w:space="0" w:color="808080"/>
              <w:bottom w:val="single" w:sz="6" w:space="0" w:color="808080"/>
            </w:tcBorders>
            <w:shd w:val="clear" w:color="auto" w:fill="auto"/>
            <w:vAlign w:val="center"/>
          </w:tcPr>
          <w:p w14:paraId="254C0DB3"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506" w:type="dxa"/>
            <w:tcBorders>
              <w:top w:val="single" w:sz="6" w:space="0" w:color="808080"/>
              <w:bottom w:val="single" w:sz="6" w:space="0" w:color="808080"/>
              <w:right w:val="single" w:sz="2" w:space="0" w:color="808080"/>
            </w:tcBorders>
            <w:shd w:val="clear" w:color="auto" w:fill="auto"/>
            <w:vAlign w:val="center"/>
          </w:tcPr>
          <w:p w14:paraId="71B659CD"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r>
      <w:tr w:rsidR="00E70101" w14:paraId="7B5CCF83" w14:textId="77777777">
        <w:trPr>
          <w:cantSplit/>
          <w:jc w:val="center"/>
        </w:trPr>
        <w:tc>
          <w:tcPr>
            <w:tcW w:w="1136" w:type="dxa"/>
            <w:vMerge/>
            <w:tcBorders>
              <w:top w:val="single" w:sz="6" w:space="0" w:color="808080"/>
              <w:left w:val="single" w:sz="2" w:space="0" w:color="808080"/>
              <w:bottom w:val="single" w:sz="6" w:space="0" w:color="808080"/>
            </w:tcBorders>
            <w:shd w:val="clear" w:color="auto" w:fill="auto"/>
            <w:vAlign w:val="center"/>
          </w:tcPr>
          <w:p w14:paraId="4398D5DB" w14:textId="77777777" w:rsidR="00E70101" w:rsidRDefault="00E70101">
            <w:pPr>
              <w:widowControl/>
              <w:snapToGrid w:val="0"/>
              <w:spacing w:line="240" w:lineRule="auto"/>
              <w:rPr>
                <w:rFonts w:ascii="Arial" w:eastAsia="仿宋_GB2312;仿宋" w:hAnsi="Arial" w:cs="Arial"/>
                <w:sz w:val="18"/>
                <w:szCs w:val="18"/>
              </w:rPr>
            </w:pPr>
          </w:p>
        </w:tc>
        <w:tc>
          <w:tcPr>
            <w:tcW w:w="2191" w:type="dxa"/>
            <w:tcBorders>
              <w:top w:val="single" w:sz="6" w:space="0" w:color="808080"/>
              <w:left w:val="single" w:sz="6" w:space="0" w:color="808080"/>
              <w:bottom w:val="single" w:sz="6" w:space="0" w:color="808080"/>
            </w:tcBorders>
            <w:shd w:val="clear" w:color="auto" w:fill="auto"/>
            <w:vAlign w:val="center"/>
          </w:tcPr>
          <w:p w14:paraId="5951183C" w14:textId="77777777" w:rsidR="00E70101" w:rsidRDefault="0060680B">
            <w:pPr>
              <w:widowControl/>
              <w:spacing w:line="240" w:lineRule="exact"/>
              <w:rPr>
                <w:rFonts w:ascii="Arial" w:eastAsia="仿宋_GB2312;仿宋" w:hAnsi="Arial" w:cs="Arial"/>
                <w:sz w:val="18"/>
                <w:szCs w:val="18"/>
              </w:rPr>
            </w:pPr>
            <w:r>
              <w:rPr>
                <w:rFonts w:ascii="Arial" w:eastAsia="仿宋_GB2312;仿宋" w:hAnsi="Arial" w:cs="Arial"/>
                <w:sz w:val="18"/>
                <w:szCs w:val="18"/>
              </w:rPr>
              <w:t>环境状况</w:t>
            </w:r>
          </w:p>
        </w:tc>
        <w:tc>
          <w:tcPr>
            <w:tcW w:w="503" w:type="dxa"/>
            <w:tcBorders>
              <w:top w:val="single" w:sz="6" w:space="0" w:color="808080"/>
              <w:left w:val="single" w:sz="6" w:space="0" w:color="808080"/>
              <w:bottom w:val="single" w:sz="6" w:space="0" w:color="808080"/>
            </w:tcBorders>
            <w:shd w:val="clear" w:color="auto" w:fill="auto"/>
            <w:vAlign w:val="center"/>
          </w:tcPr>
          <w:p w14:paraId="171BA24C"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74" w:type="dxa"/>
            <w:tcBorders>
              <w:top w:val="single" w:sz="6" w:space="0" w:color="808080"/>
              <w:bottom w:val="single" w:sz="6" w:space="0" w:color="808080"/>
            </w:tcBorders>
            <w:shd w:val="clear" w:color="auto" w:fill="auto"/>
            <w:vAlign w:val="center"/>
          </w:tcPr>
          <w:p w14:paraId="1A2DF1B0"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510" w:type="dxa"/>
            <w:tcBorders>
              <w:top w:val="single" w:sz="6" w:space="0" w:color="808080"/>
              <w:left w:val="single" w:sz="6" w:space="0" w:color="808080"/>
              <w:bottom w:val="single" w:sz="6" w:space="0" w:color="808080"/>
            </w:tcBorders>
            <w:shd w:val="clear" w:color="auto" w:fill="auto"/>
            <w:vAlign w:val="center"/>
          </w:tcPr>
          <w:p w14:paraId="6F9DA9A0"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88" w:type="dxa"/>
            <w:tcBorders>
              <w:top w:val="single" w:sz="6" w:space="0" w:color="808080"/>
              <w:bottom w:val="single" w:sz="6" w:space="0" w:color="808080"/>
            </w:tcBorders>
            <w:shd w:val="clear" w:color="auto" w:fill="auto"/>
            <w:vAlign w:val="center"/>
          </w:tcPr>
          <w:p w14:paraId="0E816447"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497" w:type="dxa"/>
            <w:tcBorders>
              <w:top w:val="single" w:sz="6" w:space="0" w:color="808080"/>
              <w:left w:val="single" w:sz="6" w:space="0" w:color="808080"/>
              <w:bottom w:val="single" w:sz="6" w:space="0" w:color="808080"/>
            </w:tcBorders>
            <w:shd w:val="clear" w:color="auto" w:fill="auto"/>
            <w:vAlign w:val="center"/>
          </w:tcPr>
          <w:p w14:paraId="14F0A2BB"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506" w:type="dxa"/>
            <w:tcBorders>
              <w:top w:val="single" w:sz="6" w:space="0" w:color="808080"/>
              <w:bottom w:val="single" w:sz="6" w:space="0" w:color="808080"/>
              <w:right w:val="single" w:sz="2" w:space="0" w:color="808080"/>
            </w:tcBorders>
            <w:shd w:val="clear" w:color="auto" w:fill="auto"/>
            <w:vAlign w:val="center"/>
          </w:tcPr>
          <w:p w14:paraId="6E9F967B" w14:textId="77777777" w:rsidR="00E70101" w:rsidRDefault="0060680B">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100</w:t>
            </w:r>
          </w:p>
        </w:tc>
      </w:tr>
      <w:tr w:rsidR="00E70101" w14:paraId="75013FDF" w14:textId="77777777">
        <w:trPr>
          <w:cantSplit/>
          <w:jc w:val="center"/>
        </w:trPr>
        <w:tc>
          <w:tcPr>
            <w:tcW w:w="1136" w:type="dxa"/>
            <w:vMerge w:val="restart"/>
            <w:tcBorders>
              <w:top w:val="single" w:sz="6" w:space="0" w:color="808080"/>
              <w:left w:val="single" w:sz="2" w:space="0" w:color="808080"/>
              <w:bottom w:val="single" w:sz="6" w:space="0" w:color="808080"/>
            </w:tcBorders>
            <w:shd w:val="clear" w:color="auto" w:fill="auto"/>
            <w:vAlign w:val="center"/>
          </w:tcPr>
          <w:p w14:paraId="3291C4E9" w14:textId="77777777" w:rsidR="00E70101" w:rsidRDefault="0060680B">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个别因素</w:t>
            </w:r>
          </w:p>
        </w:tc>
        <w:tc>
          <w:tcPr>
            <w:tcW w:w="2191" w:type="dxa"/>
            <w:tcBorders>
              <w:top w:val="single" w:sz="6" w:space="0" w:color="808080"/>
              <w:left w:val="single" w:sz="6" w:space="0" w:color="808080"/>
              <w:bottom w:val="single" w:sz="6" w:space="0" w:color="808080"/>
            </w:tcBorders>
            <w:shd w:val="clear" w:color="auto" w:fill="auto"/>
            <w:vAlign w:val="center"/>
          </w:tcPr>
          <w:p w14:paraId="1D3BDCEA" w14:textId="77777777" w:rsidR="00E70101" w:rsidRDefault="0060680B">
            <w:pPr>
              <w:widowControl/>
              <w:spacing w:line="240" w:lineRule="exact"/>
              <w:rPr>
                <w:rFonts w:ascii="Arial" w:eastAsia="仿宋_GB2312;仿宋" w:hAnsi="Arial" w:cs="Arial"/>
                <w:sz w:val="18"/>
                <w:szCs w:val="18"/>
              </w:rPr>
            </w:pPr>
            <w:r>
              <w:rPr>
                <w:rFonts w:ascii="Arial" w:eastAsia="仿宋_GB2312;仿宋" w:hAnsi="Arial" w:cs="Arial"/>
                <w:sz w:val="18"/>
                <w:szCs w:val="18"/>
              </w:rPr>
              <w:t>宗地面积</w:t>
            </w:r>
          </w:p>
        </w:tc>
        <w:tc>
          <w:tcPr>
            <w:tcW w:w="503" w:type="dxa"/>
            <w:tcBorders>
              <w:top w:val="single" w:sz="6" w:space="0" w:color="808080"/>
              <w:left w:val="single" w:sz="6" w:space="0" w:color="808080"/>
              <w:bottom w:val="single" w:sz="6" w:space="0" w:color="808080"/>
            </w:tcBorders>
            <w:shd w:val="clear" w:color="auto" w:fill="auto"/>
            <w:vAlign w:val="center"/>
          </w:tcPr>
          <w:p w14:paraId="1C96AE50"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74" w:type="dxa"/>
            <w:tcBorders>
              <w:top w:val="single" w:sz="6" w:space="0" w:color="808080"/>
              <w:bottom w:val="single" w:sz="6" w:space="0" w:color="808080"/>
            </w:tcBorders>
            <w:shd w:val="clear" w:color="auto" w:fill="auto"/>
            <w:vAlign w:val="center"/>
          </w:tcPr>
          <w:p w14:paraId="5BA9FA78"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103</w:t>
            </w:r>
          </w:p>
        </w:tc>
        <w:tc>
          <w:tcPr>
            <w:tcW w:w="510" w:type="dxa"/>
            <w:tcBorders>
              <w:top w:val="single" w:sz="6" w:space="0" w:color="808080"/>
              <w:left w:val="single" w:sz="6" w:space="0" w:color="808080"/>
              <w:bottom w:val="single" w:sz="6" w:space="0" w:color="808080"/>
            </w:tcBorders>
            <w:shd w:val="clear" w:color="auto" w:fill="auto"/>
            <w:vAlign w:val="center"/>
          </w:tcPr>
          <w:p w14:paraId="22FAAB68"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88" w:type="dxa"/>
            <w:tcBorders>
              <w:top w:val="single" w:sz="6" w:space="0" w:color="808080"/>
              <w:bottom w:val="single" w:sz="6" w:space="0" w:color="808080"/>
            </w:tcBorders>
            <w:shd w:val="clear" w:color="auto" w:fill="auto"/>
            <w:vAlign w:val="center"/>
          </w:tcPr>
          <w:p w14:paraId="058E7825"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103</w:t>
            </w:r>
          </w:p>
        </w:tc>
        <w:tc>
          <w:tcPr>
            <w:tcW w:w="497" w:type="dxa"/>
            <w:tcBorders>
              <w:top w:val="single" w:sz="6" w:space="0" w:color="808080"/>
              <w:left w:val="single" w:sz="6" w:space="0" w:color="808080"/>
              <w:bottom w:val="single" w:sz="6" w:space="0" w:color="808080"/>
            </w:tcBorders>
            <w:shd w:val="clear" w:color="auto" w:fill="auto"/>
            <w:vAlign w:val="center"/>
          </w:tcPr>
          <w:p w14:paraId="45A3E23B"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506" w:type="dxa"/>
            <w:tcBorders>
              <w:top w:val="single" w:sz="6" w:space="0" w:color="808080"/>
              <w:bottom w:val="single" w:sz="6" w:space="0" w:color="808080"/>
              <w:right w:val="single" w:sz="2" w:space="0" w:color="808080"/>
            </w:tcBorders>
            <w:shd w:val="clear" w:color="auto" w:fill="auto"/>
            <w:vAlign w:val="center"/>
          </w:tcPr>
          <w:p w14:paraId="3B2AD384"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103</w:t>
            </w:r>
          </w:p>
        </w:tc>
      </w:tr>
      <w:tr w:rsidR="00E70101" w14:paraId="22462479" w14:textId="77777777">
        <w:trPr>
          <w:cantSplit/>
          <w:jc w:val="center"/>
        </w:trPr>
        <w:tc>
          <w:tcPr>
            <w:tcW w:w="1136" w:type="dxa"/>
            <w:vMerge/>
            <w:tcBorders>
              <w:top w:val="single" w:sz="6" w:space="0" w:color="808080"/>
              <w:left w:val="single" w:sz="2" w:space="0" w:color="808080"/>
              <w:bottom w:val="single" w:sz="6" w:space="0" w:color="808080"/>
            </w:tcBorders>
            <w:shd w:val="clear" w:color="auto" w:fill="auto"/>
            <w:vAlign w:val="center"/>
          </w:tcPr>
          <w:p w14:paraId="4BFC54CF" w14:textId="77777777" w:rsidR="00E70101" w:rsidRDefault="00E70101">
            <w:pPr>
              <w:widowControl/>
              <w:snapToGrid w:val="0"/>
              <w:spacing w:line="240" w:lineRule="auto"/>
              <w:rPr>
                <w:rFonts w:ascii="Arial" w:eastAsia="仿宋_GB2312;仿宋" w:hAnsi="Arial" w:cs="Arial"/>
                <w:sz w:val="18"/>
                <w:szCs w:val="18"/>
              </w:rPr>
            </w:pPr>
          </w:p>
        </w:tc>
        <w:tc>
          <w:tcPr>
            <w:tcW w:w="2191" w:type="dxa"/>
            <w:tcBorders>
              <w:top w:val="single" w:sz="6" w:space="0" w:color="808080"/>
              <w:left w:val="single" w:sz="6" w:space="0" w:color="808080"/>
              <w:bottom w:val="single" w:sz="6" w:space="0" w:color="808080"/>
            </w:tcBorders>
            <w:shd w:val="clear" w:color="auto" w:fill="auto"/>
            <w:vAlign w:val="center"/>
          </w:tcPr>
          <w:p w14:paraId="2A4E5A59" w14:textId="77777777" w:rsidR="00E70101" w:rsidRDefault="0060680B">
            <w:pPr>
              <w:widowControl/>
              <w:spacing w:line="240" w:lineRule="exact"/>
              <w:rPr>
                <w:rFonts w:ascii="Arial" w:eastAsia="仿宋_GB2312;仿宋" w:hAnsi="Arial" w:cs="Arial"/>
                <w:sz w:val="18"/>
                <w:szCs w:val="18"/>
              </w:rPr>
            </w:pPr>
            <w:r>
              <w:rPr>
                <w:rFonts w:ascii="Arial" w:eastAsia="仿宋_GB2312;仿宋" w:hAnsi="Arial" w:cs="Arial"/>
                <w:sz w:val="18"/>
                <w:szCs w:val="18"/>
              </w:rPr>
              <w:t>宗地形状</w:t>
            </w:r>
          </w:p>
        </w:tc>
        <w:tc>
          <w:tcPr>
            <w:tcW w:w="503" w:type="dxa"/>
            <w:tcBorders>
              <w:top w:val="single" w:sz="6" w:space="0" w:color="808080"/>
              <w:left w:val="single" w:sz="6" w:space="0" w:color="808080"/>
              <w:bottom w:val="single" w:sz="6" w:space="0" w:color="808080"/>
            </w:tcBorders>
            <w:shd w:val="clear" w:color="auto" w:fill="auto"/>
            <w:vAlign w:val="center"/>
          </w:tcPr>
          <w:p w14:paraId="1AECD74F"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74" w:type="dxa"/>
            <w:tcBorders>
              <w:top w:val="single" w:sz="6" w:space="0" w:color="808080"/>
              <w:bottom w:val="single" w:sz="6" w:space="0" w:color="808080"/>
            </w:tcBorders>
            <w:shd w:val="clear" w:color="auto" w:fill="auto"/>
            <w:vAlign w:val="center"/>
          </w:tcPr>
          <w:p w14:paraId="0B0CB669"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510" w:type="dxa"/>
            <w:tcBorders>
              <w:top w:val="single" w:sz="6" w:space="0" w:color="808080"/>
              <w:left w:val="single" w:sz="6" w:space="0" w:color="808080"/>
              <w:bottom w:val="single" w:sz="6" w:space="0" w:color="808080"/>
            </w:tcBorders>
            <w:shd w:val="clear" w:color="auto" w:fill="auto"/>
            <w:vAlign w:val="center"/>
          </w:tcPr>
          <w:p w14:paraId="01BEA347"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88" w:type="dxa"/>
            <w:tcBorders>
              <w:top w:val="single" w:sz="6" w:space="0" w:color="808080"/>
              <w:bottom w:val="single" w:sz="6" w:space="0" w:color="808080"/>
            </w:tcBorders>
            <w:shd w:val="clear" w:color="auto" w:fill="auto"/>
            <w:vAlign w:val="center"/>
          </w:tcPr>
          <w:p w14:paraId="098A9910"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497" w:type="dxa"/>
            <w:tcBorders>
              <w:top w:val="single" w:sz="6" w:space="0" w:color="808080"/>
              <w:left w:val="single" w:sz="6" w:space="0" w:color="808080"/>
              <w:bottom w:val="single" w:sz="6" w:space="0" w:color="808080"/>
            </w:tcBorders>
            <w:shd w:val="clear" w:color="auto" w:fill="auto"/>
            <w:vAlign w:val="center"/>
          </w:tcPr>
          <w:p w14:paraId="251EAC1F"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506" w:type="dxa"/>
            <w:tcBorders>
              <w:top w:val="single" w:sz="6" w:space="0" w:color="808080"/>
              <w:bottom w:val="single" w:sz="6" w:space="0" w:color="808080"/>
              <w:right w:val="single" w:sz="2" w:space="0" w:color="808080"/>
            </w:tcBorders>
            <w:shd w:val="clear" w:color="auto" w:fill="auto"/>
            <w:vAlign w:val="center"/>
          </w:tcPr>
          <w:p w14:paraId="24BDD94D"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r>
      <w:tr w:rsidR="00E70101" w14:paraId="6F02973D" w14:textId="77777777">
        <w:trPr>
          <w:cantSplit/>
          <w:jc w:val="center"/>
        </w:trPr>
        <w:tc>
          <w:tcPr>
            <w:tcW w:w="1136" w:type="dxa"/>
            <w:vMerge/>
            <w:tcBorders>
              <w:top w:val="single" w:sz="6" w:space="0" w:color="808080"/>
              <w:left w:val="single" w:sz="2" w:space="0" w:color="808080"/>
              <w:bottom w:val="single" w:sz="6" w:space="0" w:color="808080"/>
            </w:tcBorders>
            <w:shd w:val="clear" w:color="auto" w:fill="auto"/>
            <w:vAlign w:val="center"/>
          </w:tcPr>
          <w:p w14:paraId="77F1E858" w14:textId="77777777" w:rsidR="00E70101" w:rsidRDefault="00E70101">
            <w:pPr>
              <w:widowControl/>
              <w:snapToGrid w:val="0"/>
              <w:spacing w:line="240" w:lineRule="auto"/>
              <w:rPr>
                <w:rFonts w:ascii="Arial" w:eastAsia="仿宋_GB2312;仿宋" w:hAnsi="Arial" w:cs="Arial"/>
                <w:sz w:val="18"/>
                <w:szCs w:val="18"/>
              </w:rPr>
            </w:pPr>
          </w:p>
        </w:tc>
        <w:tc>
          <w:tcPr>
            <w:tcW w:w="2191" w:type="dxa"/>
            <w:tcBorders>
              <w:top w:val="single" w:sz="6" w:space="0" w:color="808080"/>
              <w:left w:val="single" w:sz="6" w:space="0" w:color="808080"/>
              <w:bottom w:val="single" w:sz="6" w:space="0" w:color="808080"/>
            </w:tcBorders>
            <w:shd w:val="clear" w:color="auto" w:fill="auto"/>
            <w:vAlign w:val="center"/>
          </w:tcPr>
          <w:p w14:paraId="166B6AE0" w14:textId="77777777" w:rsidR="00E70101" w:rsidRDefault="0060680B">
            <w:pPr>
              <w:widowControl/>
              <w:spacing w:line="240" w:lineRule="exact"/>
              <w:rPr>
                <w:rFonts w:ascii="Arial" w:eastAsia="仿宋_GB2312;仿宋" w:hAnsi="Arial" w:cs="Arial"/>
                <w:sz w:val="18"/>
                <w:szCs w:val="18"/>
              </w:rPr>
            </w:pPr>
            <w:r>
              <w:rPr>
                <w:rFonts w:ascii="Arial" w:eastAsia="仿宋_GB2312;仿宋" w:hAnsi="Arial" w:cs="Arial"/>
                <w:sz w:val="18"/>
                <w:szCs w:val="18"/>
              </w:rPr>
              <w:t>宗地容积率</w:t>
            </w:r>
          </w:p>
        </w:tc>
        <w:tc>
          <w:tcPr>
            <w:tcW w:w="503" w:type="dxa"/>
            <w:tcBorders>
              <w:top w:val="single" w:sz="6" w:space="0" w:color="808080"/>
              <w:left w:val="single" w:sz="6" w:space="0" w:color="808080"/>
              <w:bottom w:val="single" w:sz="6" w:space="0" w:color="808080"/>
            </w:tcBorders>
            <w:shd w:val="clear" w:color="auto" w:fill="auto"/>
            <w:vAlign w:val="center"/>
          </w:tcPr>
          <w:p w14:paraId="31EFC8A6"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74" w:type="dxa"/>
            <w:tcBorders>
              <w:top w:val="single" w:sz="6" w:space="0" w:color="808080"/>
              <w:bottom w:val="single" w:sz="6" w:space="0" w:color="808080"/>
            </w:tcBorders>
            <w:shd w:val="clear" w:color="auto" w:fill="auto"/>
            <w:vAlign w:val="center"/>
          </w:tcPr>
          <w:p w14:paraId="56F167C3"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510" w:type="dxa"/>
            <w:tcBorders>
              <w:top w:val="single" w:sz="6" w:space="0" w:color="808080"/>
              <w:left w:val="single" w:sz="6" w:space="0" w:color="808080"/>
              <w:bottom w:val="single" w:sz="6" w:space="0" w:color="808080"/>
            </w:tcBorders>
            <w:shd w:val="clear" w:color="auto" w:fill="auto"/>
            <w:vAlign w:val="center"/>
          </w:tcPr>
          <w:p w14:paraId="06268D6B"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88" w:type="dxa"/>
            <w:tcBorders>
              <w:top w:val="single" w:sz="6" w:space="0" w:color="808080"/>
              <w:bottom w:val="single" w:sz="6" w:space="0" w:color="808080"/>
            </w:tcBorders>
            <w:shd w:val="clear" w:color="auto" w:fill="auto"/>
            <w:vAlign w:val="center"/>
          </w:tcPr>
          <w:p w14:paraId="100BF2BA"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497" w:type="dxa"/>
            <w:tcBorders>
              <w:top w:val="single" w:sz="6" w:space="0" w:color="808080"/>
              <w:left w:val="single" w:sz="6" w:space="0" w:color="808080"/>
              <w:bottom w:val="single" w:sz="6" w:space="0" w:color="808080"/>
            </w:tcBorders>
            <w:shd w:val="clear" w:color="auto" w:fill="auto"/>
            <w:vAlign w:val="center"/>
          </w:tcPr>
          <w:p w14:paraId="356B8D88"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506" w:type="dxa"/>
            <w:tcBorders>
              <w:top w:val="single" w:sz="6" w:space="0" w:color="808080"/>
              <w:bottom w:val="single" w:sz="6" w:space="0" w:color="808080"/>
              <w:right w:val="single" w:sz="2" w:space="0" w:color="808080"/>
            </w:tcBorders>
            <w:shd w:val="clear" w:color="auto" w:fill="auto"/>
            <w:vAlign w:val="center"/>
          </w:tcPr>
          <w:p w14:paraId="7A216A94"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r>
      <w:tr w:rsidR="00E70101" w14:paraId="6431FEB6" w14:textId="77777777">
        <w:trPr>
          <w:cantSplit/>
          <w:jc w:val="center"/>
        </w:trPr>
        <w:tc>
          <w:tcPr>
            <w:tcW w:w="3327" w:type="dxa"/>
            <w:gridSpan w:val="2"/>
            <w:tcBorders>
              <w:top w:val="single" w:sz="6" w:space="0" w:color="404040"/>
              <w:left w:val="single" w:sz="2" w:space="0" w:color="404040"/>
              <w:bottom w:val="single" w:sz="6" w:space="0" w:color="404040"/>
            </w:tcBorders>
            <w:shd w:val="clear" w:color="auto" w:fill="auto"/>
            <w:vAlign w:val="center"/>
          </w:tcPr>
          <w:p w14:paraId="5170F984" w14:textId="77777777" w:rsidR="00E70101" w:rsidRDefault="0060680B">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单位面积地价</w:t>
            </w:r>
          </w:p>
          <w:p w14:paraId="76212E9E" w14:textId="77777777" w:rsidR="00E70101" w:rsidRDefault="0060680B">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（元</w:t>
            </w:r>
            <w:r>
              <w:rPr>
                <w:rFonts w:ascii="Arial" w:eastAsia="仿宋_GB2312;仿宋" w:hAnsi="Arial" w:cs="Arial"/>
                <w:sz w:val="18"/>
                <w:szCs w:val="18"/>
              </w:rPr>
              <w:t>/</w:t>
            </w:r>
            <w:r>
              <w:rPr>
                <w:rFonts w:ascii="Arial" w:eastAsia="仿宋_GB2312;仿宋" w:hAnsi="Arial" w:cs="Arial"/>
                <w:sz w:val="18"/>
                <w:szCs w:val="18"/>
              </w:rPr>
              <w:t>平方米）</w:t>
            </w:r>
          </w:p>
        </w:tc>
        <w:tc>
          <w:tcPr>
            <w:tcW w:w="1977" w:type="dxa"/>
            <w:gridSpan w:val="2"/>
            <w:tcBorders>
              <w:top w:val="single" w:sz="6" w:space="0" w:color="404040"/>
              <w:left w:val="single" w:sz="6" w:space="0" w:color="404040"/>
              <w:bottom w:val="single" w:sz="6" w:space="0" w:color="404040"/>
            </w:tcBorders>
            <w:shd w:val="clear" w:color="auto" w:fill="auto"/>
            <w:vAlign w:val="center"/>
          </w:tcPr>
          <w:p w14:paraId="7206524A" w14:textId="77777777" w:rsidR="00E70101" w:rsidRDefault="0060680B">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4319</w:t>
            </w:r>
          </w:p>
        </w:tc>
        <w:tc>
          <w:tcPr>
            <w:tcW w:w="1998" w:type="dxa"/>
            <w:gridSpan w:val="2"/>
            <w:tcBorders>
              <w:top w:val="single" w:sz="6" w:space="0" w:color="404040"/>
              <w:left w:val="single" w:sz="6" w:space="0" w:color="404040"/>
              <w:bottom w:val="single" w:sz="6" w:space="0" w:color="404040"/>
            </w:tcBorders>
            <w:shd w:val="clear" w:color="auto" w:fill="auto"/>
            <w:vAlign w:val="center"/>
          </w:tcPr>
          <w:p w14:paraId="778FDA7D" w14:textId="77777777" w:rsidR="00E70101" w:rsidRDefault="0060680B">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4319</w:t>
            </w:r>
          </w:p>
        </w:tc>
        <w:tc>
          <w:tcPr>
            <w:tcW w:w="2003" w:type="dxa"/>
            <w:gridSpan w:val="2"/>
            <w:tcBorders>
              <w:top w:val="single" w:sz="6" w:space="0" w:color="404040"/>
              <w:left w:val="single" w:sz="6" w:space="0" w:color="404040"/>
              <w:bottom w:val="single" w:sz="6" w:space="0" w:color="404040"/>
              <w:right w:val="single" w:sz="2" w:space="0" w:color="404040"/>
            </w:tcBorders>
            <w:shd w:val="clear" w:color="auto" w:fill="auto"/>
            <w:vAlign w:val="center"/>
          </w:tcPr>
          <w:p w14:paraId="64BDE61E" w14:textId="77777777" w:rsidR="00E70101" w:rsidRDefault="0060680B">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4577</w:t>
            </w:r>
          </w:p>
        </w:tc>
      </w:tr>
      <w:tr w:rsidR="00E70101" w14:paraId="5999A255" w14:textId="77777777">
        <w:trPr>
          <w:cantSplit/>
          <w:jc w:val="center"/>
        </w:trPr>
        <w:tc>
          <w:tcPr>
            <w:tcW w:w="3327" w:type="dxa"/>
            <w:gridSpan w:val="2"/>
            <w:tcBorders>
              <w:top w:val="single" w:sz="6" w:space="0" w:color="404040"/>
              <w:left w:val="single" w:sz="2" w:space="0" w:color="404040"/>
              <w:bottom w:val="single" w:sz="2" w:space="0" w:color="404040"/>
            </w:tcBorders>
            <w:shd w:val="clear" w:color="auto" w:fill="auto"/>
            <w:vAlign w:val="center"/>
          </w:tcPr>
          <w:p w14:paraId="6D0588F2" w14:textId="77777777" w:rsidR="00E70101" w:rsidRDefault="0060680B">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比准价格</w:t>
            </w:r>
          </w:p>
          <w:p w14:paraId="08639D49" w14:textId="77777777" w:rsidR="00E70101" w:rsidRDefault="0060680B">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（元</w:t>
            </w:r>
            <w:r>
              <w:rPr>
                <w:rFonts w:ascii="Arial" w:eastAsia="仿宋_GB2312;仿宋" w:hAnsi="Arial" w:cs="Arial"/>
                <w:sz w:val="18"/>
                <w:szCs w:val="18"/>
              </w:rPr>
              <w:t>/</w:t>
            </w:r>
            <w:r>
              <w:rPr>
                <w:rFonts w:ascii="Arial" w:eastAsia="仿宋_GB2312;仿宋" w:hAnsi="Arial" w:cs="Arial"/>
                <w:sz w:val="18"/>
                <w:szCs w:val="18"/>
              </w:rPr>
              <w:t>平方米）</w:t>
            </w:r>
          </w:p>
        </w:tc>
        <w:tc>
          <w:tcPr>
            <w:tcW w:w="1977" w:type="dxa"/>
            <w:gridSpan w:val="2"/>
            <w:tcBorders>
              <w:top w:val="single" w:sz="6" w:space="0" w:color="404040"/>
              <w:left w:val="single" w:sz="6" w:space="0" w:color="404040"/>
              <w:bottom w:val="single" w:sz="2" w:space="0" w:color="404040"/>
            </w:tcBorders>
            <w:shd w:val="clear" w:color="auto" w:fill="auto"/>
            <w:vAlign w:val="center"/>
          </w:tcPr>
          <w:p w14:paraId="7095A640" w14:textId="77777777" w:rsidR="00E70101" w:rsidRDefault="0060680B">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4659</w:t>
            </w:r>
          </w:p>
        </w:tc>
        <w:tc>
          <w:tcPr>
            <w:tcW w:w="1998" w:type="dxa"/>
            <w:gridSpan w:val="2"/>
            <w:tcBorders>
              <w:top w:val="single" w:sz="6" w:space="0" w:color="404040"/>
              <w:left w:val="single" w:sz="6" w:space="0" w:color="404040"/>
              <w:bottom w:val="single" w:sz="2" w:space="0" w:color="404040"/>
            </w:tcBorders>
            <w:shd w:val="clear" w:color="auto" w:fill="auto"/>
            <w:vAlign w:val="center"/>
          </w:tcPr>
          <w:p w14:paraId="3817CFF3" w14:textId="77777777" w:rsidR="00E70101" w:rsidRDefault="0060680B">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4659</w:t>
            </w:r>
          </w:p>
        </w:tc>
        <w:tc>
          <w:tcPr>
            <w:tcW w:w="2003" w:type="dxa"/>
            <w:gridSpan w:val="2"/>
            <w:tcBorders>
              <w:top w:val="single" w:sz="6" w:space="0" w:color="404040"/>
              <w:left w:val="single" w:sz="6" w:space="0" w:color="404040"/>
              <w:bottom w:val="single" w:sz="2" w:space="0" w:color="404040"/>
              <w:right w:val="single" w:sz="2" w:space="0" w:color="404040"/>
            </w:tcBorders>
            <w:shd w:val="clear" w:color="auto" w:fill="auto"/>
            <w:vAlign w:val="center"/>
          </w:tcPr>
          <w:p w14:paraId="049169EF" w14:textId="77777777" w:rsidR="00E70101" w:rsidRDefault="0060680B">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4804</w:t>
            </w:r>
          </w:p>
        </w:tc>
      </w:tr>
    </w:tbl>
    <w:p w14:paraId="75F56CAB" w14:textId="77777777" w:rsidR="00E70101" w:rsidRDefault="0060680B">
      <w:pPr>
        <w:spacing w:before="120" w:line="360" w:lineRule="auto"/>
        <w:ind w:firstLine="560"/>
        <w:jc w:val="both"/>
        <w:rPr>
          <w:rFonts w:ascii="Arial" w:eastAsia="仿宋_GB2312;仿宋" w:hAnsi="Arial" w:cs="Arial"/>
          <w:bCs/>
          <w:sz w:val="28"/>
        </w:rPr>
      </w:pPr>
      <w:r>
        <w:rPr>
          <w:rFonts w:ascii="Arial" w:eastAsia="仿宋_GB2312;仿宋" w:hAnsi="Arial" w:cs="Arial"/>
          <w:sz w:val="28"/>
          <w:szCs w:val="28"/>
        </w:rPr>
        <w:t>3.</w:t>
      </w:r>
      <w:r>
        <w:rPr>
          <w:rFonts w:ascii="Arial" w:eastAsia="仿宋_GB2312;仿宋" w:hAnsi="Arial" w:cs="Arial"/>
          <w:bCs/>
          <w:sz w:val="28"/>
        </w:rPr>
        <w:t>咨询对象比准价格</w:t>
      </w:r>
    </w:p>
    <w:p w14:paraId="6356DB7F"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本次评估所选取的各可比实例与咨询对象相似程度接近；通过前述各因素的修正及调整，各可比实例比较价值差异程度较小。因此，本次评估取三个比较价值的简单算术平均值作为咨询对象的最终结果。</w:t>
      </w:r>
    </w:p>
    <w:p w14:paraId="162F8F40" w14:textId="77777777" w:rsidR="00E70101" w:rsidRDefault="0060680B">
      <w:pPr>
        <w:spacing w:line="360" w:lineRule="auto"/>
        <w:ind w:firstLine="560"/>
        <w:jc w:val="both"/>
        <w:rPr>
          <w:rFonts w:ascii="Arial" w:eastAsia="仿宋_GB2312;仿宋" w:hAnsi="Arial" w:cs="Arial"/>
          <w:sz w:val="28"/>
          <w:szCs w:val="28"/>
        </w:rPr>
      </w:pPr>
      <w:r>
        <w:rPr>
          <w:rFonts w:ascii="Arial" w:eastAsia="仿宋_GB2312;仿宋" w:hAnsi="Arial" w:cs="Arial"/>
          <w:sz w:val="28"/>
          <w:szCs w:val="28"/>
        </w:rPr>
        <w:t>单位面积地价</w:t>
      </w:r>
      <w:r>
        <w:rPr>
          <w:rFonts w:ascii="Arial" w:eastAsia="仿宋_GB2312;仿宋" w:hAnsi="Arial" w:cs="Arial"/>
          <w:bCs/>
          <w:sz w:val="28"/>
        </w:rPr>
        <w:t>＝</w:t>
      </w:r>
      <w:r>
        <w:rPr>
          <w:rFonts w:ascii="Arial" w:eastAsia="仿宋_GB2312;仿宋" w:hAnsi="Arial" w:cs="Arial"/>
          <w:bCs/>
          <w:sz w:val="28"/>
        </w:rPr>
        <w:t>(4882+4882+4293)÷3</w:t>
      </w:r>
      <w:r>
        <w:rPr>
          <w:rFonts w:ascii="Arial" w:eastAsia="仿宋_GB2312;仿宋" w:hAnsi="Arial" w:cs="Arial"/>
          <w:bCs/>
          <w:sz w:val="28"/>
        </w:rPr>
        <w:t>＝</w:t>
      </w:r>
      <w:r>
        <w:rPr>
          <w:rFonts w:ascii="Arial" w:eastAsia="仿宋_GB2312;仿宋" w:hAnsi="Arial" w:cs="Arial"/>
          <w:bCs/>
          <w:sz w:val="28"/>
        </w:rPr>
        <w:t>4686(</w:t>
      </w:r>
      <w:r>
        <w:rPr>
          <w:rFonts w:ascii="Arial" w:eastAsia="仿宋_GB2312;仿宋" w:hAnsi="Arial" w:cs="Arial"/>
          <w:bCs/>
          <w:sz w:val="28"/>
        </w:rPr>
        <w:t>元</w:t>
      </w:r>
      <w:r>
        <w:rPr>
          <w:rFonts w:ascii="Arial" w:eastAsia="仿宋_GB2312;仿宋" w:hAnsi="Arial" w:cs="Arial"/>
          <w:bCs/>
          <w:sz w:val="28"/>
        </w:rPr>
        <w:t>/</w:t>
      </w:r>
      <w:r>
        <w:rPr>
          <w:rFonts w:ascii="Arial" w:eastAsia="仿宋_GB2312;仿宋" w:hAnsi="Arial" w:cs="Arial"/>
          <w:bCs/>
          <w:sz w:val="28"/>
        </w:rPr>
        <w:t>平方米</w:t>
      </w:r>
      <w:r>
        <w:rPr>
          <w:rFonts w:ascii="Arial" w:eastAsia="仿宋_GB2312;仿宋" w:hAnsi="Arial" w:cs="Arial"/>
          <w:bCs/>
          <w:sz w:val="28"/>
        </w:rPr>
        <w:t>)</w:t>
      </w:r>
    </w:p>
    <w:p w14:paraId="3997443F" w14:textId="77777777" w:rsidR="00E70101" w:rsidRDefault="00E70101">
      <w:pPr>
        <w:spacing w:line="360" w:lineRule="auto"/>
        <w:jc w:val="both"/>
        <w:rPr>
          <w:rFonts w:ascii="Arial" w:eastAsia="仿宋_GB2312;仿宋" w:hAnsi="Arial" w:cs="Arial"/>
          <w:b/>
          <w:sz w:val="28"/>
          <w:szCs w:val="28"/>
        </w:rPr>
      </w:pPr>
    </w:p>
    <w:p w14:paraId="7B21EEFD" w14:textId="77777777" w:rsidR="00E70101" w:rsidRDefault="0060680B">
      <w:pPr>
        <w:spacing w:line="360" w:lineRule="auto"/>
      </w:pPr>
      <w:r>
        <w:rPr>
          <w:rFonts w:ascii="Arial" w:eastAsia="仿宋_GB2312;仿宋" w:hAnsi="Arial" w:cs="Arial"/>
          <w:b/>
          <w:sz w:val="28"/>
        </w:rPr>
        <w:t>二、运用成本逼近法求取土地使用权价格</w:t>
      </w:r>
    </w:p>
    <w:p w14:paraId="5FDA5266" w14:textId="77777777" w:rsidR="00E70101" w:rsidRDefault="0060680B">
      <w:pPr>
        <w:spacing w:line="360" w:lineRule="auto"/>
        <w:ind w:firstLine="565"/>
      </w:pPr>
      <w:r>
        <w:rPr>
          <w:rFonts w:ascii="Arial" w:eastAsia="仿宋_GB2312;仿宋" w:hAnsi="Arial" w:cs="Arial"/>
          <w:b/>
          <w:sz w:val="28"/>
        </w:rPr>
        <w:t>1.</w:t>
      </w:r>
      <w:r>
        <w:rPr>
          <w:rFonts w:ascii="Arial" w:eastAsia="仿宋_GB2312;仿宋" w:hAnsi="Arial" w:cs="Arial"/>
          <w:b/>
          <w:sz w:val="28"/>
        </w:rPr>
        <w:t>土地取得费及相关税费</w:t>
      </w:r>
    </w:p>
    <w:p w14:paraId="559801DF" w14:textId="0BF66B1B" w:rsidR="00E70101" w:rsidRDefault="000B7BF1">
      <w:pPr>
        <w:spacing w:line="360" w:lineRule="auto"/>
        <w:ind w:firstLine="563"/>
        <w:rPr>
          <w:rFonts w:ascii="Arial" w:eastAsia="仿宋_GB2312;仿宋" w:hAnsi="Arial" w:cs="Arial"/>
          <w:sz w:val="28"/>
        </w:rPr>
      </w:pPr>
      <w:r>
        <w:rPr>
          <w:rFonts w:ascii="Arial" w:eastAsia="仿宋_GB2312;仿宋" w:hAnsi="Arial" w:cs="Arial"/>
          <w:sz w:val="28"/>
        </w:rPr>
        <w:t>根据《城镇土地估价</w:t>
      </w:r>
      <w:r w:rsidR="0060680B">
        <w:rPr>
          <w:rFonts w:ascii="Arial" w:eastAsia="仿宋_GB2312;仿宋" w:hAnsi="Arial" w:cs="Arial"/>
          <w:sz w:val="28"/>
        </w:rPr>
        <w:t>规程》</w:t>
      </w:r>
      <w:r w:rsidR="0060680B">
        <w:rPr>
          <w:rFonts w:ascii="Arial" w:eastAsia="仿宋_GB2312;仿宋" w:hAnsi="Arial" w:cs="Arial"/>
          <w:sz w:val="28"/>
        </w:rPr>
        <w:t>[GB/T 18508-2014]</w:t>
      </w:r>
      <w:r w:rsidR="0060680B">
        <w:rPr>
          <w:rFonts w:ascii="Arial" w:eastAsia="仿宋_GB2312;仿宋" w:hAnsi="Arial" w:cs="Arial"/>
          <w:sz w:val="28"/>
        </w:rPr>
        <w:t>，土地取得费按取得土地权利而支付的各项客观费用计算，不同情况如下：</w:t>
      </w:r>
    </w:p>
    <w:p w14:paraId="438CBAA7" w14:textId="77777777" w:rsidR="00E70101" w:rsidRDefault="0060680B">
      <w:pPr>
        <w:spacing w:line="360" w:lineRule="auto"/>
        <w:ind w:firstLine="563"/>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1</w:t>
      </w:r>
      <w:r>
        <w:rPr>
          <w:rFonts w:ascii="Arial" w:eastAsia="仿宋_GB2312;仿宋" w:hAnsi="Arial" w:cs="Arial"/>
          <w:sz w:val="28"/>
        </w:rPr>
        <w:t>）征收农村集体土地时，土地取得费即为征收补偿安置费用，主要包括被征收土地、地上青苗、建筑物及构筑物的补偿费用及涉及人员的安置补助费。各项费用应按有关规定，依据待估宗地所在区域政府规定的相关标准，以应当支付的区域客观费用确定。</w:t>
      </w:r>
    </w:p>
    <w:p w14:paraId="08E16F10" w14:textId="77777777" w:rsidR="00E70101" w:rsidRDefault="0060680B">
      <w:pPr>
        <w:spacing w:line="360" w:lineRule="auto"/>
        <w:ind w:firstLine="563"/>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2</w:t>
      </w:r>
      <w:r>
        <w:rPr>
          <w:rFonts w:ascii="Arial" w:eastAsia="仿宋_GB2312;仿宋" w:hAnsi="Arial" w:cs="Arial"/>
          <w:sz w:val="28"/>
        </w:rPr>
        <w:t>）征收国有土地使用权时，土地取得费即为征收补偿安置费用，主要包括被征收土地使用权、地上青苗、建筑物及构筑物的补偿费用及涉及人员的安置补助费。各项费用应按有关规定，依据待估宗地所在区域政府规定的相关标准，以应当支付的区域客观费用确定。</w:t>
      </w:r>
    </w:p>
    <w:p w14:paraId="4B6E7CD9" w14:textId="77777777" w:rsidR="00E70101" w:rsidRDefault="0060680B">
      <w:pPr>
        <w:spacing w:line="360" w:lineRule="auto"/>
        <w:ind w:firstLine="563"/>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3</w:t>
      </w:r>
      <w:r>
        <w:rPr>
          <w:rFonts w:ascii="Arial" w:eastAsia="仿宋_GB2312;仿宋" w:hAnsi="Arial" w:cs="Arial"/>
          <w:sz w:val="28"/>
        </w:rPr>
        <w:t>）通过市场交易获得土地时，土地取得费既是咨询期日土地的客观市场购置价格。</w:t>
      </w:r>
    </w:p>
    <w:p w14:paraId="68B867F9" w14:textId="77777777" w:rsidR="00E70101" w:rsidRDefault="0060680B">
      <w:pPr>
        <w:spacing w:line="360" w:lineRule="auto"/>
        <w:ind w:firstLine="563"/>
        <w:jc w:val="both"/>
        <w:rPr>
          <w:rFonts w:cs="Arial"/>
        </w:rPr>
        <w:sectPr w:rsidR="00E70101">
          <w:headerReference w:type="default" r:id="rId68"/>
          <w:footerReference w:type="default" r:id="rId69"/>
          <w:pgSz w:w="11906" w:h="16838"/>
          <w:pgMar w:top="1440" w:right="1440" w:bottom="1440" w:left="1803" w:header="851" w:footer="1134" w:gutter="0"/>
          <w:cols w:space="720"/>
          <w:formProt w:val="0"/>
          <w:docGrid w:linePitch="326"/>
        </w:sectPr>
      </w:pPr>
      <w:r>
        <w:rPr>
          <w:rFonts w:ascii="Arial" w:eastAsia="仿宋_GB2312;仿宋" w:hAnsi="Arial" w:cs="Arial"/>
          <w:sz w:val="28"/>
        </w:rPr>
        <w:t>根据</w:t>
      </w:r>
      <w:r>
        <w:rPr>
          <w:rFonts w:ascii="Arial" w:eastAsia="仿宋_GB2312;仿宋" w:hAnsi="Arial" w:cs="Arial"/>
          <w:sz w:val="28"/>
        </w:rPr>
        <w:t>“</w:t>
      </w:r>
      <w:r>
        <w:rPr>
          <w:rFonts w:ascii="Arial" w:eastAsia="仿宋_GB2312;仿宋" w:hAnsi="Arial" w:cs="Arial"/>
          <w:sz w:val="28"/>
        </w:rPr>
        <w:t>收购补偿价格评估技术指引</w:t>
      </w:r>
      <w:r>
        <w:rPr>
          <w:rFonts w:ascii="Arial" w:eastAsia="仿宋_GB2312;仿宋" w:hAnsi="Arial" w:cs="Arial"/>
          <w:sz w:val="28"/>
        </w:rPr>
        <w:t>”</w:t>
      </w:r>
      <w:r>
        <w:rPr>
          <w:rFonts w:ascii="Arial" w:eastAsia="仿宋_GB2312;仿宋" w:hAnsi="Arial" w:cs="Arial"/>
          <w:sz w:val="28"/>
        </w:rPr>
        <w:t>，成本逼近法中土地取得费，可选用同区域或类似区域内三个（含）以上经审定后的土地一级开发项目的成本数据进行修正后确定。经评估专业人员收集整理，实例情况如下：</w:t>
      </w:r>
    </w:p>
    <w:tbl>
      <w:tblPr>
        <w:tblW w:w="14186" w:type="dxa"/>
        <w:jc w:val="center"/>
        <w:tblLook w:val="0000" w:firstRow="0" w:lastRow="0" w:firstColumn="0" w:lastColumn="0" w:noHBand="0" w:noVBand="0"/>
      </w:tblPr>
      <w:tblGrid>
        <w:gridCol w:w="530"/>
        <w:gridCol w:w="2698"/>
        <w:gridCol w:w="992"/>
        <w:gridCol w:w="1012"/>
        <w:gridCol w:w="1255"/>
        <w:gridCol w:w="1276"/>
        <w:gridCol w:w="992"/>
        <w:gridCol w:w="992"/>
        <w:gridCol w:w="851"/>
        <w:gridCol w:w="567"/>
        <w:gridCol w:w="992"/>
        <w:gridCol w:w="2029"/>
      </w:tblGrid>
      <w:tr w:rsidR="00E70101" w14:paraId="6CD60E11" w14:textId="77777777">
        <w:trPr>
          <w:trHeight w:val="540"/>
          <w:tblHeader/>
          <w:jc w:val="center"/>
        </w:trPr>
        <w:tc>
          <w:tcPr>
            <w:tcW w:w="530" w:type="dxa"/>
            <w:vMerge w:val="restart"/>
            <w:tcBorders>
              <w:top w:val="single" w:sz="4" w:space="0" w:color="000000"/>
              <w:left w:val="single" w:sz="4" w:space="0" w:color="000000"/>
              <w:bottom w:val="single" w:sz="4" w:space="0" w:color="000000"/>
            </w:tcBorders>
            <w:shd w:val="clear" w:color="auto" w:fill="auto"/>
            <w:vAlign w:val="center"/>
          </w:tcPr>
          <w:p w14:paraId="05799ED1"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序号</w:t>
            </w:r>
          </w:p>
        </w:tc>
        <w:tc>
          <w:tcPr>
            <w:tcW w:w="2698" w:type="dxa"/>
            <w:vMerge w:val="restart"/>
            <w:tcBorders>
              <w:top w:val="single" w:sz="4" w:space="0" w:color="000000"/>
              <w:left w:val="single" w:sz="4" w:space="0" w:color="000000"/>
              <w:bottom w:val="single" w:sz="4" w:space="0" w:color="000000"/>
            </w:tcBorders>
            <w:shd w:val="clear" w:color="auto" w:fill="auto"/>
            <w:vAlign w:val="center"/>
          </w:tcPr>
          <w:p w14:paraId="25CE65DC"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项目名称</w:t>
            </w:r>
          </w:p>
        </w:tc>
        <w:tc>
          <w:tcPr>
            <w:tcW w:w="2004" w:type="dxa"/>
            <w:gridSpan w:val="2"/>
            <w:tcBorders>
              <w:top w:val="single" w:sz="4" w:space="0" w:color="000000"/>
              <w:left w:val="single" w:sz="4" w:space="0" w:color="000000"/>
              <w:bottom w:val="single" w:sz="4" w:space="0" w:color="000000"/>
            </w:tcBorders>
            <w:shd w:val="clear" w:color="auto" w:fill="auto"/>
            <w:vAlign w:val="center"/>
          </w:tcPr>
          <w:p w14:paraId="7A2669A8"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项目土地面积</w:t>
            </w:r>
          </w:p>
        </w:tc>
        <w:tc>
          <w:tcPr>
            <w:tcW w:w="2531" w:type="dxa"/>
            <w:gridSpan w:val="2"/>
            <w:tcBorders>
              <w:top w:val="single" w:sz="4" w:space="0" w:color="000000"/>
              <w:left w:val="single" w:sz="4" w:space="0" w:color="000000"/>
              <w:bottom w:val="single" w:sz="4" w:space="0" w:color="000000"/>
            </w:tcBorders>
            <w:shd w:val="clear" w:color="auto" w:fill="auto"/>
            <w:vAlign w:val="center"/>
          </w:tcPr>
          <w:p w14:paraId="2EB04FD6"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土地开发成本</w:t>
            </w:r>
          </w:p>
        </w:tc>
        <w:tc>
          <w:tcPr>
            <w:tcW w:w="1984" w:type="dxa"/>
            <w:gridSpan w:val="2"/>
            <w:tcBorders>
              <w:top w:val="single" w:sz="4" w:space="0" w:color="000000"/>
              <w:left w:val="single" w:sz="4" w:space="0" w:color="000000"/>
              <w:bottom w:val="single" w:sz="4" w:space="0" w:color="000000"/>
            </w:tcBorders>
            <w:shd w:val="clear" w:color="auto" w:fill="auto"/>
            <w:vAlign w:val="center"/>
          </w:tcPr>
          <w:p w14:paraId="3CF39DAF"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地面单价（元</w:t>
            </w:r>
            <w:r>
              <w:rPr>
                <w:rFonts w:ascii="Arial" w:eastAsia="仿宋_GB2312;仿宋" w:hAnsi="Arial" w:cs="Arial"/>
                <w:sz w:val="22"/>
                <w:szCs w:val="16"/>
              </w:rPr>
              <w:t>/</w:t>
            </w:r>
            <w:r>
              <w:rPr>
                <w:rFonts w:ascii="Arial" w:eastAsia="仿宋_GB2312;仿宋" w:hAnsi="Arial" w:cs="Arial"/>
                <w:sz w:val="22"/>
                <w:szCs w:val="16"/>
              </w:rPr>
              <w:t>平方米）</w:t>
            </w:r>
          </w:p>
        </w:tc>
        <w:tc>
          <w:tcPr>
            <w:tcW w:w="851" w:type="dxa"/>
            <w:vMerge w:val="restart"/>
            <w:tcBorders>
              <w:top w:val="single" w:sz="4" w:space="0" w:color="000000"/>
              <w:left w:val="single" w:sz="4" w:space="0" w:color="000000"/>
            </w:tcBorders>
            <w:shd w:val="clear" w:color="auto" w:fill="auto"/>
            <w:vAlign w:val="center"/>
          </w:tcPr>
          <w:p w14:paraId="68F50D5A" w14:textId="77777777" w:rsidR="00E70101" w:rsidRDefault="0060680B">
            <w:pPr>
              <w:widowControl/>
              <w:spacing w:line="240" w:lineRule="auto"/>
              <w:jc w:val="center"/>
              <w:textAlignment w:val="auto"/>
              <w:rPr>
                <w:rFonts w:ascii="Arial" w:eastAsia="仿宋_GB2312;仿宋" w:hAnsi="Arial" w:cs="Arial"/>
                <w:sz w:val="22"/>
                <w:szCs w:val="16"/>
              </w:rPr>
            </w:pPr>
            <w:bookmarkStart w:id="43" w:name="_Hlk148085150"/>
            <w:r>
              <w:rPr>
                <w:rFonts w:ascii="Arial" w:eastAsia="仿宋_GB2312;仿宋" w:hAnsi="Arial" w:cs="Arial"/>
                <w:sz w:val="22"/>
                <w:szCs w:val="16"/>
              </w:rPr>
              <w:t>财务费用占总成本比例</w:t>
            </w:r>
            <w:bookmarkEnd w:id="43"/>
          </w:p>
        </w:tc>
        <w:tc>
          <w:tcPr>
            <w:tcW w:w="567" w:type="dxa"/>
            <w:vMerge w:val="restart"/>
            <w:tcBorders>
              <w:top w:val="single" w:sz="4" w:space="0" w:color="000000"/>
              <w:left w:val="single" w:sz="4" w:space="0" w:color="000000"/>
            </w:tcBorders>
            <w:shd w:val="clear" w:color="auto" w:fill="auto"/>
            <w:vAlign w:val="center"/>
          </w:tcPr>
          <w:p w14:paraId="1C0E1A2D" w14:textId="77777777" w:rsidR="00E70101" w:rsidRDefault="0060680B">
            <w:pPr>
              <w:spacing w:line="240" w:lineRule="auto"/>
              <w:jc w:val="center"/>
              <w:rPr>
                <w:rFonts w:ascii="Arial" w:eastAsia="仿宋_GB2312;仿宋" w:hAnsi="Arial" w:cs="Arial"/>
                <w:sz w:val="22"/>
                <w:szCs w:val="16"/>
              </w:rPr>
            </w:pPr>
            <w:r>
              <w:rPr>
                <w:rFonts w:ascii="Arial" w:eastAsia="仿宋_GB2312;仿宋" w:hAnsi="Arial" w:cs="Arial"/>
                <w:sz w:val="22"/>
                <w:szCs w:val="16"/>
              </w:rPr>
              <w:t>实物还建</w:t>
            </w:r>
          </w:p>
        </w:tc>
        <w:tc>
          <w:tcPr>
            <w:tcW w:w="992" w:type="dxa"/>
            <w:vMerge w:val="restart"/>
            <w:tcBorders>
              <w:top w:val="single" w:sz="4" w:space="0" w:color="000000"/>
              <w:left w:val="single" w:sz="4" w:space="0" w:color="000000"/>
              <w:bottom w:val="single" w:sz="4" w:space="0" w:color="000000"/>
            </w:tcBorders>
            <w:shd w:val="clear" w:color="auto" w:fill="auto"/>
            <w:vAlign w:val="center"/>
          </w:tcPr>
          <w:p w14:paraId="640EFA13"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审定日期</w:t>
            </w:r>
          </w:p>
        </w:tc>
        <w:tc>
          <w:tcPr>
            <w:tcW w:w="2029" w:type="dxa"/>
            <w:vMerge w:val="restart"/>
            <w:tcBorders>
              <w:top w:val="single" w:sz="4" w:space="0" w:color="000000"/>
              <w:left w:val="single" w:sz="4" w:space="0" w:color="000000"/>
              <w:right w:val="single" w:sz="4" w:space="0" w:color="000000"/>
            </w:tcBorders>
            <w:shd w:val="clear" w:color="auto" w:fill="auto"/>
            <w:vAlign w:val="center"/>
          </w:tcPr>
          <w:p w14:paraId="2D9CA0EA"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拆迁内容</w:t>
            </w:r>
          </w:p>
        </w:tc>
      </w:tr>
      <w:tr w:rsidR="00E70101" w14:paraId="3AD3805E" w14:textId="77777777">
        <w:trPr>
          <w:trHeight w:val="1620"/>
          <w:tblHeader/>
          <w:jc w:val="center"/>
        </w:trPr>
        <w:tc>
          <w:tcPr>
            <w:tcW w:w="530" w:type="dxa"/>
            <w:vMerge/>
            <w:tcBorders>
              <w:top w:val="single" w:sz="4" w:space="0" w:color="000000"/>
              <w:left w:val="single" w:sz="4" w:space="0" w:color="000000"/>
              <w:bottom w:val="single" w:sz="4" w:space="0" w:color="000000"/>
            </w:tcBorders>
            <w:shd w:val="clear" w:color="auto" w:fill="auto"/>
            <w:vAlign w:val="center"/>
          </w:tcPr>
          <w:p w14:paraId="6AE692F1" w14:textId="77777777" w:rsidR="00E70101" w:rsidRDefault="00E70101">
            <w:pPr>
              <w:widowControl/>
              <w:snapToGrid w:val="0"/>
              <w:spacing w:line="240" w:lineRule="auto"/>
              <w:jc w:val="center"/>
              <w:textAlignment w:val="auto"/>
              <w:rPr>
                <w:rFonts w:ascii="Arial" w:eastAsia="仿宋_GB2312;仿宋" w:hAnsi="Arial" w:cs="Arial"/>
                <w:sz w:val="22"/>
                <w:szCs w:val="16"/>
              </w:rPr>
            </w:pPr>
          </w:p>
        </w:tc>
        <w:tc>
          <w:tcPr>
            <w:tcW w:w="2698" w:type="dxa"/>
            <w:vMerge/>
            <w:tcBorders>
              <w:top w:val="single" w:sz="4" w:space="0" w:color="000000"/>
              <w:left w:val="single" w:sz="4" w:space="0" w:color="000000"/>
              <w:bottom w:val="single" w:sz="4" w:space="0" w:color="000000"/>
            </w:tcBorders>
            <w:shd w:val="clear" w:color="auto" w:fill="auto"/>
            <w:vAlign w:val="center"/>
          </w:tcPr>
          <w:p w14:paraId="2AA00FA1" w14:textId="77777777" w:rsidR="00E70101" w:rsidRDefault="00E70101">
            <w:pPr>
              <w:widowControl/>
              <w:snapToGrid w:val="0"/>
              <w:spacing w:line="240" w:lineRule="auto"/>
              <w:jc w:val="center"/>
              <w:textAlignment w:val="auto"/>
              <w:rPr>
                <w:rFonts w:ascii="Arial" w:eastAsia="仿宋_GB2312;仿宋" w:hAnsi="Arial" w:cs="Arial"/>
                <w:sz w:val="22"/>
                <w:szCs w:val="16"/>
              </w:rPr>
            </w:pPr>
          </w:p>
        </w:tc>
        <w:tc>
          <w:tcPr>
            <w:tcW w:w="992" w:type="dxa"/>
            <w:tcBorders>
              <w:left w:val="single" w:sz="4" w:space="0" w:color="000000"/>
              <w:bottom w:val="single" w:sz="4" w:space="0" w:color="000000"/>
            </w:tcBorders>
            <w:shd w:val="clear" w:color="auto" w:fill="auto"/>
            <w:vAlign w:val="center"/>
          </w:tcPr>
          <w:p w14:paraId="59845280"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总用地面积（公顷）</w:t>
            </w:r>
          </w:p>
        </w:tc>
        <w:tc>
          <w:tcPr>
            <w:tcW w:w="1012" w:type="dxa"/>
            <w:tcBorders>
              <w:left w:val="single" w:sz="4" w:space="0" w:color="000000"/>
              <w:bottom w:val="single" w:sz="4" w:space="0" w:color="000000"/>
            </w:tcBorders>
            <w:shd w:val="clear" w:color="auto" w:fill="auto"/>
            <w:vAlign w:val="center"/>
          </w:tcPr>
          <w:p w14:paraId="445DEF7C"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建设用地面积（公顷）</w:t>
            </w:r>
          </w:p>
        </w:tc>
        <w:tc>
          <w:tcPr>
            <w:tcW w:w="1255" w:type="dxa"/>
            <w:tcBorders>
              <w:left w:val="single" w:sz="4" w:space="0" w:color="000000"/>
              <w:bottom w:val="single" w:sz="4" w:space="0" w:color="000000"/>
            </w:tcBorders>
            <w:shd w:val="clear" w:color="auto" w:fill="auto"/>
            <w:vAlign w:val="center"/>
          </w:tcPr>
          <w:p w14:paraId="62B952F8"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征地补偿及相关税费（万元）</w:t>
            </w:r>
          </w:p>
        </w:tc>
        <w:tc>
          <w:tcPr>
            <w:tcW w:w="1276" w:type="dxa"/>
            <w:tcBorders>
              <w:left w:val="single" w:sz="4" w:space="0" w:color="000000"/>
              <w:bottom w:val="single" w:sz="4" w:space="0" w:color="000000"/>
            </w:tcBorders>
            <w:shd w:val="clear" w:color="auto" w:fill="auto"/>
            <w:vAlign w:val="center"/>
          </w:tcPr>
          <w:p w14:paraId="7AB0D5A6"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收购补偿费、房屋征收（拆迁）补偿费及相关费用（万元）</w:t>
            </w:r>
          </w:p>
        </w:tc>
        <w:tc>
          <w:tcPr>
            <w:tcW w:w="992" w:type="dxa"/>
            <w:tcBorders>
              <w:top w:val="single" w:sz="4" w:space="0" w:color="000000"/>
              <w:left w:val="single" w:sz="4" w:space="0" w:color="000000"/>
              <w:bottom w:val="single" w:sz="4" w:space="0" w:color="000000"/>
            </w:tcBorders>
            <w:shd w:val="clear" w:color="auto" w:fill="auto"/>
            <w:vAlign w:val="center"/>
          </w:tcPr>
          <w:p w14:paraId="6D012E2C"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期日修正前</w:t>
            </w:r>
          </w:p>
        </w:tc>
        <w:tc>
          <w:tcPr>
            <w:tcW w:w="992" w:type="dxa"/>
            <w:tcBorders>
              <w:top w:val="single" w:sz="4" w:space="0" w:color="000000"/>
              <w:left w:val="single" w:sz="4" w:space="0" w:color="000000"/>
              <w:bottom w:val="single" w:sz="4" w:space="0" w:color="000000"/>
            </w:tcBorders>
            <w:shd w:val="clear" w:color="auto" w:fill="auto"/>
            <w:vAlign w:val="center"/>
          </w:tcPr>
          <w:p w14:paraId="61554B56"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期日修正后</w:t>
            </w:r>
          </w:p>
        </w:tc>
        <w:tc>
          <w:tcPr>
            <w:tcW w:w="851" w:type="dxa"/>
            <w:vMerge/>
            <w:tcBorders>
              <w:top w:val="single" w:sz="4" w:space="0" w:color="000000"/>
              <w:left w:val="single" w:sz="4" w:space="0" w:color="000000"/>
            </w:tcBorders>
            <w:shd w:val="clear" w:color="auto" w:fill="auto"/>
            <w:vAlign w:val="center"/>
          </w:tcPr>
          <w:p w14:paraId="20381E1A" w14:textId="77777777" w:rsidR="00E70101" w:rsidRDefault="00E70101">
            <w:pPr>
              <w:widowControl/>
              <w:snapToGrid w:val="0"/>
              <w:spacing w:line="240" w:lineRule="auto"/>
              <w:jc w:val="center"/>
              <w:textAlignment w:val="auto"/>
              <w:rPr>
                <w:rFonts w:ascii="Arial" w:eastAsia="仿宋_GB2312;仿宋" w:hAnsi="Arial" w:cs="Arial"/>
                <w:sz w:val="22"/>
                <w:szCs w:val="16"/>
              </w:rPr>
            </w:pPr>
          </w:p>
        </w:tc>
        <w:tc>
          <w:tcPr>
            <w:tcW w:w="567" w:type="dxa"/>
            <w:vMerge/>
            <w:tcBorders>
              <w:top w:val="single" w:sz="4" w:space="0" w:color="000000"/>
              <w:left w:val="single" w:sz="4" w:space="0" w:color="000000"/>
            </w:tcBorders>
            <w:shd w:val="clear" w:color="auto" w:fill="auto"/>
            <w:vAlign w:val="center"/>
          </w:tcPr>
          <w:p w14:paraId="23E78897" w14:textId="77777777" w:rsidR="00E70101" w:rsidRDefault="00E70101">
            <w:pPr>
              <w:widowControl/>
              <w:snapToGrid w:val="0"/>
              <w:spacing w:line="240" w:lineRule="auto"/>
              <w:jc w:val="center"/>
              <w:textAlignment w:val="auto"/>
              <w:rPr>
                <w:rFonts w:ascii="Arial" w:eastAsia="仿宋_GB2312;仿宋" w:hAnsi="Arial" w:cs="Arial"/>
                <w:sz w:val="22"/>
                <w:szCs w:val="16"/>
              </w:rPr>
            </w:pPr>
          </w:p>
        </w:tc>
        <w:tc>
          <w:tcPr>
            <w:tcW w:w="992" w:type="dxa"/>
            <w:vMerge/>
            <w:tcBorders>
              <w:top w:val="single" w:sz="4" w:space="0" w:color="000000"/>
              <w:left w:val="single" w:sz="4" w:space="0" w:color="000000"/>
              <w:bottom w:val="single" w:sz="4" w:space="0" w:color="000000"/>
            </w:tcBorders>
            <w:shd w:val="clear" w:color="auto" w:fill="auto"/>
            <w:vAlign w:val="center"/>
          </w:tcPr>
          <w:p w14:paraId="046FC4BA" w14:textId="77777777" w:rsidR="00E70101" w:rsidRDefault="00E70101">
            <w:pPr>
              <w:widowControl/>
              <w:snapToGrid w:val="0"/>
              <w:spacing w:line="240" w:lineRule="auto"/>
              <w:jc w:val="center"/>
              <w:textAlignment w:val="auto"/>
              <w:rPr>
                <w:rFonts w:ascii="Arial" w:eastAsia="仿宋_GB2312;仿宋" w:hAnsi="Arial" w:cs="Arial"/>
                <w:sz w:val="22"/>
                <w:szCs w:val="16"/>
              </w:rPr>
            </w:pPr>
          </w:p>
        </w:tc>
        <w:tc>
          <w:tcPr>
            <w:tcW w:w="2029" w:type="dxa"/>
            <w:vMerge/>
            <w:tcBorders>
              <w:top w:val="single" w:sz="4" w:space="0" w:color="000000"/>
              <w:left w:val="single" w:sz="4" w:space="0" w:color="000000"/>
              <w:right w:val="single" w:sz="4" w:space="0" w:color="000000"/>
            </w:tcBorders>
            <w:shd w:val="clear" w:color="auto" w:fill="auto"/>
            <w:vAlign w:val="center"/>
          </w:tcPr>
          <w:p w14:paraId="4EDACC11" w14:textId="77777777" w:rsidR="00E70101" w:rsidRDefault="00E70101">
            <w:pPr>
              <w:widowControl/>
              <w:snapToGrid w:val="0"/>
              <w:spacing w:line="240" w:lineRule="auto"/>
              <w:jc w:val="center"/>
              <w:textAlignment w:val="auto"/>
              <w:rPr>
                <w:rFonts w:ascii="Arial" w:eastAsia="仿宋_GB2312;仿宋" w:hAnsi="Arial" w:cs="Arial"/>
                <w:sz w:val="22"/>
                <w:szCs w:val="16"/>
              </w:rPr>
            </w:pPr>
          </w:p>
        </w:tc>
      </w:tr>
      <w:tr w:rsidR="00E70101" w14:paraId="1469FC39" w14:textId="77777777">
        <w:trPr>
          <w:trHeight w:val="948"/>
          <w:jc w:val="center"/>
        </w:trPr>
        <w:tc>
          <w:tcPr>
            <w:tcW w:w="530" w:type="dxa"/>
            <w:tcBorders>
              <w:left w:val="single" w:sz="4" w:space="0" w:color="000000"/>
              <w:bottom w:val="single" w:sz="4" w:space="0" w:color="000000"/>
            </w:tcBorders>
            <w:shd w:val="clear" w:color="auto" w:fill="auto"/>
            <w:vAlign w:val="center"/>
          </w:tcPr>
          <w:p w14:paraId="5EF067F8"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1</w:t>
            </w:r>
          </w:p>
        </w:tc>
        <w:tc>
          <w:tcPr>
            <w:tcW w:w="2698" w:type="dxa"/>
            <w:tcBorders>
              <w:left w:val="single" w:sz="4" w:space="0" w:color="000000"/>
              <w:bottom w:val="single" w:sz="4" w:space="0" w:color="000000"/>
            </w:tcBorders>
            <w:shd w:val="clear" w:color="auto" w:fill="auto"/>
            <w:vAlign w:val="center"/>
          </w:tcPr>
          <w:p w14:paraId="47D17C6B" w14:textId="77777777" w:rsidR="00E70101" w:rsidRDefault="0060680B">
            <w:pPr>
              <w:widowControl/>
              <w:spacing w:line="240" w:lineRule="auto"/>
              <w:jc w:val="center"/>
              <w:textAlignment w:val="auto"/>
              <w:rPr>
                <w:rFonts w:ascii="Arial" w:eastAsia="仿宋_GB2312;仿宋" w:hAnsi="Arial" w:cs="Arial"/>
                <w:sz w:val="22"/>
                <w:szCs w:val="16"/>
              </w:rPr>
            </w:pPr>
            <w:bookmarkStart w:id="44" w:name="_Hlk142747374"/>
            <w:r>
              <w:rPr>
                <w:rFonts w:ascii="Arial" w:eastAsia="仿宋_GB2312;仿宋" w:hAnsi="Arial" w:cs="Arial"/>
                <w:sz w:val="22"/>
                <w:szCs w:val="16"/>
              </w:rPr>
              <w:t>顺义区国展预留地剩余地块土地一级开发项目</w:t>
            </w:r>
            <w:bookmarkEnd w:id="44"/>
          </w:p>
        </w:tc>
        <w:tc>
          <w:tcPr>
            <w:tcW w:w="992" w:type="dxa"/>
            <w:tcBorders>
              <w:left w:val="single" w:sz="4" w:space="0" w:color="000000"/>
              <w:bottom w:val="single" w:sz="4" w:space="0" w:color="000000"/>
            </w:tcBorders>
            <w:shd w:val="clear" w:color="auto" w:fill="auto"/>
            <w:vAlign w:val="center"/>
          </w:tcPr>
          <w:p w14:paraId="4A9F0138"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12.9</w:t>
            </w:r>
          </w:p>
        </w:tc>
        <w:tc>
          <w:tcPr>
            <w:tcW w:w="1012" w:type="dxa"/>
            <w:tcBorders>
              <w:left w:val="single" w:sz="4" w:space="0" w:color="000000"/>
              <w:bottom w:val="single" w:sz="4" w:space="0" w:color="000000"/>
            </w:tcBorders>
            <w:shd w:val="clear" w:color="auto" w:fill="auto"/>
            <w:vAlign w:val="center"/>
          </w:tcPr>
          <w:p w14:paraId="50FE8DD8"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10.44</w:t>
            </w:r>
          </w:p>
        </w:tc>
        <w:tc>
          <w:tcPr>
            <w:tcW w:w="1255" w:type="dxa"/>
            <w:tcBorders>
              <w:left w:val="single" w:sz="4" w:space="0" w:color="000000"/>
              <w:bottom w:val="single" w:sz="4" w:space="0" w:color="000000"/>
            </w:tcBorders>
            <w:shd w:val="clear" w:color="auto" w:fill="auto"/>
            <w:vAlign w:val="center"/>
          </w:tcPr>
          <w:p w14:paraId="509482C4"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5061.88</w:t>
            </w:r>
          </w:p>
        </w:tc>
        <w:tc>
          <w:tcPr>
            <w:tcW w:w="1276" w:type="dxa"/>
            <w:tcBorders>
              <w:left w:val="single" w:sz="4" w:space="0" w:color="000000"/>
              <w:bottom w:val="single" w:sz="4" w:space="0" w:color="000000"/>
            </w:tcBorders>
            <w:shd w:val="clear" w:color="auto" w:fill="auto"/>
            <w:vAlign w:val="center"/>
          </w:tcPr>
          <w:p w14:paraId="6C69773C"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31557.84</w:t>
            </w:r>
          </w:p>
        </w:tc>
        <w:tc>
          <w:tcPr>
            <w:tcW w:w="992" w:type="dxa"/>
            <w:tcBorders>
              <w:top w:val="single" w:sz="4" w:space="0" w:color="000000"/>
              <w:left w:val="single" w:sz="4" w:space="0" w:color="000000"/>
              <w:bottom w:val="single" w:sz="4" w:space="0" w:color="000000"/>
            </w:tcBorders>
            <w:shd w:val="clear" w:color="auto" w:fill="auto"/>
            <w:vAlign w:val="center"/>
          </w:tcPr>
          <w:p w14:paraId="2510376D"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2838.7</w:t>
            </w:r>
          </w:p>
        </w:tc>
        <w:tc>
          <w:tcPr>
            <w:tcW w:w="992" w:type="dxa"/>
            <w:tcBorders>
              <w:top w:val="single" w:sz="4" w:space="0" w:color="000000"/>
              <w:left w:val="single" w:sz="4" w:space="0" w:color="000000"/>
              <w:bottom w:val="single" w:sz="4" w:space="0" w:color="000000"/>
            </w:tcBorders>
            <w:shd w:val="clear" w:color="auto" w:fill="auto"/>
            <w:vAlign w:val="center"/>
          </w:tcPr>
          <w:p w14:paraId="7A2B2989"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3041.4</w:t>
            </w:r>
          </w:p>
        </w:tc>
        <w:tc>
          <w:tcPr>
            <w:tcW w:w="851" w:type="dxa"/>
            <w:tcBorders>
              <w:top w:val="single" w:sz="4" w:space="0" w:color="000000"/>
              <w:left w:val="single" w:sz="4" w:space="0" w:color="000000"/>
              <w:bottom w:val="single" w:sz="4" w:space="0" w:color="000000"/>
            </w:tcBorders>
            <w:shd w:val="clear" w:color="auto" w:fill="auto"/>
            <w:vAlign w:val="center"/>
          </w:tcPr>
          <w:p w14:paraId="64E55DE9"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0%</w:t>
            </w:r>
          </w:p>
        </w:tc>
        <w:tc>
          <w:tcPr>
            <w:tcW w:w="567" w:type="dxa"/>
            <w:tcBorders>
              <w:left w:val="single" w:sz="4" w:space="0" w:color="000000"/>
              <w:bottom w:val="single" w:sz="4" w:space="0" w:color="000000"/>
            </w:tcBorders>
            <w:shd w:val="clear" w:color="auto" w:fill="auto"/>
            <w:vAlign w:val="center"/>
          </w:tcPr>
          <w:p w14:paraId="4E509846"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无</w:t>
            </w:r>
          </w:p>
        </w:tc>
        <w:tc>
          <w:tcPr>
            <w:tcW w:w="992" w:type="dxa"/>
            <w:tcBorders>
              <w:left w:val="single" w:sz="4" w:space="0" w:color="000000"/>
              <w:bottom w:val="single" w:sz="4" w:space="0" w:color="000000"/>
            </w:tcBorders>
            <w:shd w:val="clear" w:color="auto" w:fill="auto"/>
            <w:vAlign w:val="center"/>
          </w:tcPr>
          <w:p w14:paraId="04EE8D1A"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2020</w:t>
            </w:r>
            <w:r>
              <w:rPr>
                <w:rFonts w:ascii="Arial" w:eastAsia="仿宋_GB2312;仿宋" w:hAnsi="Arial" w:cs="Arial"/>
                <w:sz w:val="22"/>
                <w:szCs w:val="16"/>
              </w:rPr>
              <w:t>年</w:t>
            </w:r>
            <w:r>
              <w:rPr>
                <w:rFonts w:ascii="Arial" w:eastAsia="仿宋_GB2312;仿宋" w:hAnsi="Arial" w:cs="Arial"/>
                <w:sz w:val="22"/>
                <w:szCs w:val="16"/>
              </w:rPr>
              <w:t>10</w:t>
            </w:r>
            <w:r>
              <w:rPr>
                <w:rFonts w:ascii="Arial" w:eastAsia="仿宋_GB2312;仿宋" w:hAnsi="Arial" w:cs="Arial"/>
                <w:sz w:val="22"/>
                <w:szCs w:val="16"/>
              </w:rPr>
              <w:t>月</w:t>
            </w:r>
          </w:p>
        </w:tc>
        <w:tc>
          <w:tcPr>
            <w:tcW w:w="2029" w:type="dxa"/>
            <w:tcBorders>
              <w:left w:val="single" w:sz="4" w:space="0" w:color="000000"/>
              <w:bottom w:val="single" w:sz="4" w:space="0" w:color="000000"/>
              <w:right w:val="single" w:sz="4" w:space="0" w:color="000000"/>
            </w:tcBorders>
            <w:shd w:val="clear" w:color="auto" w:fill="auto"/>
            <w:vAlign w:val="center"/>
          </w:tcPr>
          <w:p w14:paraId="4EA7BF7D"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拆迁总量为</w:t>
            </w:r>
            <w:r>
              <w:rPr>
                <w:rFonts w:ascii="Arial" w:eastAsia="仿宋_GB2312;仿宋" w:hAnsi="Arial" w:cs="Arial"/>
                <w:sz w:val="22"/>
                <w:szCs w:val="16"/>
              </w:rPr>
              <w:t>2</w:t>
            </w:r>
            <w:r>
              <w:rPr>
                <w:rFonts w:ascii="Arial" w:eastAsia="仿宋_GB2312;仿宋" w:hAnsi="Arial" w:cs="Arial"/>
                <w:sz w:val="22"/>
                <w:szCs w:val="16"/>
              </w:rPr>
              <w:t>户，均为非宅。</w:t>
            </w:r>
          </w:p>
        </w:tc>
      </w:tr>
      <w:tr w:rsidR="00E70101" w14:paraId="77703BC2" w14:textId="77777777">
        <w:trPr>
          <w:trHeight w:val="270"/>
          <w:jc w:val="center"/>
        </w:trPr>
        <w:tc>
          <w:tcPr>
            <w:tcW w:w="530" w:type="dxa"/>
            <w:tcBorders>
              <w:left w:val="single" w:sz="4" w:space="0" w:color="000000"/>
              <w:bottom w:val="single" w:sz="4" w:space="0" w:color="000000"/>
            </w:tcBorders>
            <w:shd w:val="clear" w:color="auto" w:fill="auto"/>
            <w:vAlign w:val="center"/>
          </w:tcPr>
          <w:p w14:paraId="40FDDA11"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w:t>
            </w:r>
          </w:p>
        </w:tc>
        <w:tc>
          <w:tcPr>
            <w:tcW w:w="2698" w:type="dxa"/>
            <w:tcBorders>
              <w:left w:val="single" w:sz="4" w:space="0" w:color="000000"/>
              <w:bottom w:val="single" w:sz="4" w:space="0" w:color="000000"/>
            </w:tcBorders>
            <w:shd w:val="clear" w:color="auto" w:fill="auto"/>
            <w:vAlign w:val="center"/>
          </w:tcPr>
          <w:p w14:paraId="65A3A354"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顺义区仁和镇平各庄村</w:t>
            </w:r>
            <w:r>
              <w:rPr>
                <w:rFonts w:ascii="Arial" w:eastAsia="仿宋_GB2312;仿宋" w:hAnsi="Arial" w:cs="Arial"/>
                <w:sz w:val="22"/>
                <w:szCs w:val="16"/>
              </w:rPr>
              <w:t>B</w:t>
            </w:r>
            <w:r>
              <w:rPr>
                <w:rFonts w:ascii="Arial" w:eastAsia="仿宋_GB2312;仿宋" w:hAnsi="Arial" w:cs="Arial"/>
                <w:sz w:val="22"/>
                <w:szCs w:val="16"/>
              </w:rPr>
              <w:t>地块土地一级开发项目</w:t>
            </w:r>
          </w:p>
        </w:tc>
        <w:tc>
          <w:tcPr>
            <w:tcW w:w="992" w:type="dxa"/>
            <w:tcBorders>
              <w:left w:val="single" w:sz="4" w:space="0" w:color="000000"/>
              <w:bottom w:val="single" w:sz="4" w:space="0" w:color="000000"/>
            </w:tcBorders>
            <w:shd w:val="clear" w:color="auto" w:fill="auto"/>
            <w:vAlign w:val="center"/>
          </w:tcPr>
          <w:p w14:paraId="51BDAF99"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36.15</w:t>
            </w:r>
          </w:p>
        </w:tc>
        <w:tc>
          <w:tcPr>
            <w:tcW w:w="1012" w:type="dxa"/>
            <w:tcBorders>
              <w:left w:val="single" w:sz="4" w:space="0" w:color="000000"/>
              <w:bottom w:val="single" w:sz="4" w:space="0" w:color="000000"/>
            </w:tcBorders>
            <w:shd w:val="clear" w:color="auto" w:fill="auto"/>
            <w:vAlign w:val="center"/>
          </w:tcPr>
          <w:p w14:paraId="75065180"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16.55</w:t>
            </w:r>
          </w:p>
        </w:tc>
        <w:tc>
          <w:tcPr>
            <w:tcW w:w="1255" w:type="dxa"/>
            <w:tcBorders>
              <w:left w:val="single" w:sz="4" w:space="0" w:color="000000"/>
              <w:bottom w:val="single" w:sz="4" w:space="0" w:color="000000"/>
            </w:tcBorders>
            <w:shd w:val="clear" w:color="auto" w:fill="auto"/>
            <w:vAlign w:val="center"/>
          </w:tcPr>
          <w:p w14:paraId="0E71A24D"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41086.4</w:t>
            </w:r>
          </w:p>
        </w:tc>
        <w:tc>
          <w:tcPr>
            <w:tcW w:w="1276" w:type="dxa"/>
            <w:tcBorders>
              <w:left w:val="single" w:sz="4" w:space="0" w:color="000000"/>
              <w:bottom w:val="single" w:sz="4" w:space="0" w:color="000000"/>
            </w:tcBorders>
            <w:shd w:val="clear" w:color="auto" w:fill="auto"/>
            <w:vAlign w:val="center"/>
          </w:tcPr>
          <w:p w14:paraId="386C0EC2"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47612.92</w:t>
            </w:r>
          </w:p>
        </w:tc>
        <w:tc>
          <w:tcPr>
            <w:tcW w:w="992" w:type="dxa"/>
            <w:tcBorders>
              <w:top w:val="single" w:sz="4" w:space="0" w:color="000000"/>
              <w:left w:val="single" w:sz="4" w:space="0" w:color="000000"/>
              <w:bottom w:val="single" w:sz="4" w:space="0" w:color="000000"/>
            </w:tcBorders>
            <w:shd w:val="clear" w:color="auto" w:fill="auto"/>
            <w:vAlign w:val="center"/>
          </w:tcPr>
          <w:p w14:paraId="247EF774"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2453.6</w:t>
            </w:r>
          </w:p>
        </w:tc>
        <w:tc>
          <w:tcPr>
            <w:tcW w:w="992" w:type="dxa"/>
            <w:tcBorders>
              <w:top w:val="single" w:sz="4" w:space="0" w:color="000000"/>
              <w:left w:val="single" w:sz="4" w:space="0" w:color="000000"/>
              <w:bottom w:val="single" w:sz="4" w:space="0" w:color="000000"/>
            </w:tcBorders>
            <w:shd w:val="clear" w:color="auto" w:fill="auto"/>
            <w:vAlign w:val="center"/>
          </w:tcPr>
          <w:p w14:paraId="35E7E1DA"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2523.1</w:t>
            </w:r>
          </w:p>
        </w:tc>
        <w:tc>
          <w:tcPr>
            <w:tcW w:w="851" w:type="dxa"/>
            <w:tcBorders>
              <w:top w:val="single" w:sz="4" w:space="0" w:color="000000"/>
              <w:left w:val="single" w:sz="4" w:space="0" w:color="000000"/>
              <w:bottom w:val="single" w:sz="4" w:space="0" w:color="000000"/>
            </w:tcBorders>
            <w:shd w:val="clear" w:color="auto" w:fill="auto"/>
            <w:vAlign w:val="center"/>
          </w:tcPr>
          <w:p w14:paraId="1BD03154"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13%</w:t>
            </w:r>
          </w:p>
        </w:tc>
        <w:tc>
          <w:tcPr>
            <w:tcW w:w="567" w:type="dxa"/>
            <w:tcBorders>
              <w:left w:val="single" w:sz="4" w:space="0" w:color="000000"/>
              <w:bottom w:val="single" w:sz="4" w:space="0" w:color="000000"/>
            </w:tcBorders>
            <w:shd w:val="clear" w:color="auto" w:fill="auto"/>
            <w:vAlign w:val="center"/>
          </w:tcPr>
          <w:p w14:paraId="1D0121C9"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无</w:t>
            </w:r>
          </w:p>
        </w:tc>
        <w:tc>
          <w:tcPr>
            <w:tcW w:w="992" w:type="dxa"/>
            <w:tcBorders>
              <w:left w:val="single" w:sz="4" w:space="0" w:color="000000"/>
              <w:bottom w:val="single" w:sz="4" w:space="0" w:color="000000"/>
            </w:tcBorders>
            <w:shd w:val="clear" w:color="auto" w:fill="auto"/>
            <w:vAlign w:val="center"/>
          </w:tcPr>
          <w:p w14:paraId="4F79CD52"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2022</w:t>
            </w:r>
            <w:r>
              <w:rPr>
                <w:rFonts w:ascii="Arial" w:eastAsia="仿宋_GB2312;仿宋" w:hAnsi="Arial" w:cs="Arial"/>
                <w:sz w:val="22"/>
                <w:szCs w:val="16"/>
              </w:rPr>
              <w:t>年</w:t>
            </w:r>
            <w:r>
              <w:rPr>
                <w:rFonts w:ascii="Arial" w:eastAsia="仿宋_GB2312;仿宋" w:hAnsi="Arial" w:cs="Arial"/>
                <w:sz w:val="22"/>
                <w:szCs w:val="16"/>
              </w:rPr>
              <w:t>4</w:t>
            </w:r>
            <w:r>
              <w:rPr>
                <w:rFonts w:ascii="Arial" w:eastAsia="仿宋_GB2312;仿宋" w:hAnsi="Arial" w:cs="Arial"/>
                <w:sz w:val="22"/>
                <w:szCs w:val="16"/>
              </w:rPr>
              <w:t>月</w:t>
            </w:r>
          </w:p>
        </w:tc>
        <w:tc>
          <w:tcPr>
            <w:tcW w:w="2029" w:type="dxa"/>
            <w:tcBorders>
              <w:left w:val="single" w:sz="4" w:space="0" w:color="000000"/>
              <w:bottom w:val="single" w:sz="4" w:space="0" w:color="000000"/>
              <w:right w:val="single" w:sz="4" w:space="0" w:color="000000"/>
            </w:tcBorders>
            <w:shd w:val="clear" w:color="auto" w:fill="auto"/>
            <w:vAlign w:val="center"/>
          </w:tcPr>
          <w:p w14:paraId="0EC6B090"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涉及拆迁总量共计</w:t>
            </w:r>
            <w:r>
              <w:rPr>
                <w:rFonts w:ascii="Arial" w:eastAsia="仿宋_GB2312;仿宋" w:hAnsi="Arial" w:cs="Arial"/>
                <w:sz w:val="22"/>
                <w:szCs w:val="16"/>
              </w:rPr>
              <w:t>29</w:t>
            </w:r>
            <w:r>
              <w:rPr>
                <w:rFonts w:ascii="Arial" w:eastAsia="仿宋_GB2312;仿宋" w:hAnsi="Arial" w:cs="Arial"/>
                <w:sz w:val="22"/>
                <w:szCs w:val="16"/>
              </w:rPr>
              <w:t>户，其中国有土地性质</w:t>
            </w:r>
            <w:r>
              <w:rPr>
                <w:rFonts w:ascii="Arial" w:eastAsia="仿宋_GB2312;仿宋" w:hAnsi="Arial" w:cs="Arial"/>
                <w:sz w:val="22"/>
                <w:szCs w:val="16"/>
              </w:rPr>
              <w:t>10</w:t>
            </w:r>
            <w:r>
              <w:rPr>
                <w:rFonts w:ascii="Arial" w:eastAsia="仿宋_GB2312;仿宋" w:hAnsi="Arial" w:cs="Arial"/>
                <w:sz w:val="22"/>
                <w:szCs w:val="16"/>
              </w:rPr>
              <w:t>户，集体土地性质</w:t>
            </w:r>
            <w:r>
              <w:rPr>
                <w:rFonts w:ascii="Arial" w:eastAsia="仿宋_GB2312;仿宋" w:hAnsi="Arial" w:cs="Arial"/>
                <w:sz w:val="22"/>
                <w:szCs w:val="16"/>
              </w:rPr>
              <w:t>19</w:t>
            </w:r>
            <w:r>
              <w:rPr>
                <w:rFonts w:ascii="Arial" w:eastAsia="仿宋_GB2312;仿宋" w:hAnsi="Arial" w:cs="Arial"/>
                <w:sz w:val="22"/>
                <w:szCs w:val="16"/>
              </w:rPr>
              <w:t>户。</w:t>
            </w:r>
          </w:p>
        </w:tc>
      </w:tr>
      <w:tr w:rsidR="00E70101" w14:paraId="7D9FDCDD" w14:textId="77777777">
        <w:trPr>
          <w:trHeight w:val="270"/>
          <w:jc w:val="center"/>
        </w:trPr>
        <w:tc>
          <w:tcPr>
            <w:tcW w:w="530" w:type="dxa"/>
            <w:tcBorders>
              <w:left w:val="single" w:sz="4" w:space="0" w:color="000000"/>
              <w:bottom w:val="single" w:sz="4" w:space="0" w:color="000000"/>
            </w:tcBorders>
            <w:shd w:val="clear" w:color="auto" w:fill="auto"/>
            <w:vAlign w:val="center"/>
          </w:tcPr>
          <w:p w14:paraId="27B16B34"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3</w:t>
            </w:r>
          </w:p>
        </w:tc>
        <w:tc>
          <w:tcPr>
            <w:tcW w:w="2698" w:type="dxa"/>
            <w:tcBorders>
              <w:left w:val="single" w:sz="4" w:space="0" w:color="000000"/>
              <w:bottom w:val="single" w:sz="4" w:space="0" w:color="000000"/>
            </w:tcBorders>
            <w:shd w:val="clear" w:color="auto" w:fill="auto"/>
            <w:vAlign w:val="center"/>
          </w:tcPr>
          <w:p w14:paraId="5C6A68C1" w14:textId="77777777" w:rsidR="00E70101" w:rsidRDefault="0060680B">
            <w:pPr>
              <w:widowControl/>
              <w:spacing w:line="240" w:lineRule="auto"/>
              <w:jc w:val="center"/>
              <w:textAlignment w:val="auto"/>
              <w:rPr>
                <w:rFonts w:ascii="Arial" w:eastAsia="仿宋_GB2312;仿宋" w:hAnsi="Arial" w:cs="Arial"/>
                <w:sz w:val="22"/>
                <w:szCs w:val="16"/>
              </w:rPr>
            </w:pPr>
            <w:bookmarkStart w:id="45" w:name="_Hlk142914586"/>
            <w:r>
              <w:rPr>
                <w:rFonts w:ascii="Arial" w:eastAsia="仿宋_GB2312;仿宋" w:hAnsi="Arial" w:cs="Arial"/>
                <w:sz w:val="22"/>
                <w:szCs w:val="16"/>
              </w:rPr>
              <w:t>顺义区</w:t>
            </w:r>
            <w:r>
              <w:rPr>
                <w:rFonts w:ascii="Arial" w:eastAsia="仿宋_GB2312;仿宋" w:hAnsi="Arial" w:cs="Arial"/>
                <w:sz w:val="22"/>
                <w:szCs w:val="16"/>
              </w:rPr>
              <w:t>M15</w:t>
            </w:r>
            <w:r>
              <w:rPr>
                <w:rFonts w:ascii="Arial" w:eastAsia="仿宋_GB2312;仿宋" w:hAnsi="Arial" w:cs="Arial"/>
                <w:sz w:val="22"/>
                <w:szCs w:val="16"/>
              </w:rPr>
              <w:t>号线顺西路</w:t>
            </w:r>
            <w:r>
              <w:rPr>
                <w:rFonts w:ascii="Arial" w:eastAsia="仿宋_GB2312;仿宋" w:hAnsi="Arial" w:cs="Arial"/>
                <w:sz w:val="22"/>
                <w:szCs w:val="16"/>
              </w:rPr>
              <w:t>-</w:t>
            </w:r>
            <w:r>
              <w:rPr>
                <w:rFonts w:ascii="Arial" w:eastAsia="仿宋_GB2312;仿宋" w:hAnsi="Arial" w:cs="Arial"/>
                <w:sz w:val="22"/>
                <w:szCs w:val="16"/>
              </w:rPr>
              <w:t>府前街站</w:t>
            </w:r>
            <w:bookmarkEnd w:id="45"/>
            <w:r>
              <w:rPr>
                <w:rFonts w:ascii="Arial" w:eastAsia="仿宋_GB2312;仿宋" w:hAnsi="Arial" w:cs="Arial"/>
                <w:sz w:val="22"/>
                <w:szCs w:val="16"/>
              </w:rPr>
              <w:t>土地一级开发项目</w:t>
            </w:r>
          </w:p>
        </w:tc>
        <w:tc>
          <w:tcPr>
            <w:tcW w:w="992" w:type="dxa"/>
            <w:tcBorders>
              <w:left w:val="single" w:sz="4" w:space="0" w:color="000000"/>
              <w:bottom w:val="single" w:sz="4" w:space="0" w:color="000000"/>
            </w:tcBorders>
            <w:shd w:val="clear" w:color="auto" w:fill="auto"/>
            <w:vAlign w:val="center"/>
          </w:tcPr>
          <w:p w14:paraId="79419D29"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151.51</w:t>
            </w:r>
          </w:p>
        </w:tc>
        <w:tc>
          <w:tcPr>
            <w:tcW w:w="1012" w:type="dxa"/>
            <w:tcBorders>
              <w:left w:val="single" w:sz="4" w:space="0" w:color="000000"/>
              <w:bottom w:val="single" w:sz="4" w:space="0" w:color="000000"/>
            </w:tcBorders>
            <w:shd w:val="clear" w:color="auto" w:fill="auto"/>
            <w:vAlign w:val="center"/>
          </w:tcPr>
          <w:p w14:paraId="6537210F"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103.45</w:t>
            </w:r>
          </w:p>
        </w:tc>
        <w:tc>
          <w:tcPr>
            <w:tcW w:w="1255" w:type="dxa"/>
            <w:tcBorders>
              <w:left w:val="single" w:sz="4" w:space="0" w:color="000000"/>
              <w:bottom w:val="single" w:sz="4" w:space="0" w:color="000000"/>
            </w:tcBorders>
            <w:shd w:val="clear" w:color="auto" w:fill="auto"/>
            <w:vAlign w:val="center"/>
          </w:tcPr>
          <w:p w14:paraId="0EFC1D56"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78200.91</w:t>
            </w:r>
          </w:p>
        </w:tc>
        <w:tc>
          <w:tcPr>
            <w:tcW w:w="1276" w:type="dxa"/>
            <w:tcBorders>
              <w:left w:val="single" w:sz="4" w:space="0" w:color="000000"/>
              <w:bottom w:val="single" w:sz="4" w:space="0" w:color="000000"/>
            </w:tcBorders>
            <w:shd w:val="clear" w:color="auto" w:fill="auto"/>
            <w:vAlign w:val="center"/>
          </w:tcPr>
          <w:p w14:paraId="78FE1A65"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971721.1</w:t>
            </w:r>
          </w:p>
        </w:tc>
        <w:tc>
          <w:tcPr>
            <w:tcW w:w="992" w:type="dxa"/>
            <w:tcBorders>
              <w:top w:val="single" w:sz="4" w:space="0" w:color="000000"/>
              <w:left w:val="single" w:sz="4" w:space="0" w:color="000000"/>
              <w:bottom w:val="single" w:sz="4" w:space="0" w:color="000000"/>
            </w:tcBorders>
            <w:shd w:val="clear" w:color="auto" w:fill="auto"/>
            <w:vAlign w:val="center"/>
          </w:tcPr>
          <w:p w14:paraId="474790B3"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6929.7</w:t>
            </w:r>
          </w:p>
        </w:tc>
        <w:tc>
          <w:tcPr>
            <w:tcW w:w="992" w:type="dxa"/>
            <w:tcBorders>
              <w:top w:val="single" w:sz="4" w:space="0" w:color="000000"/>
              <w:left w:val="single" w:sz="4" w:space="0" w:color="000000"/>
              <w:bottom w:val="single" w:sz="4" w:space="0" w:color="000000"/>
            </w:tcBorders>
            <w:shd w:val="clear" w:color="auto" w:fill="auto"/>
            <w:vAlign w:val="center"/>
          </w:tcPr>
          <w:p w14:paraId="1F86EE2F"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7125.9</w:t>
            </w:r>
          </w:p>
        </w:tc>
        <w:tc>
          <w:tcPr>
            <w:tcW w:w="851" w:type="dxa"/>
            <w:tcBorders>
              <w:top w:val="single" w:sz="4" w:space="0" w:color="000000"/>
              <w:left w:val="single" w:sz="4" w:space="0" w:color="000000"/>
              <w:bottom w:val="single" w:sz="4" w:space="0" w:color="000000"/>
            </w:tcBorders>
            <w:shd w:val="clear" w:color="auto" w:fill="auto"/>
            <w:vAlign w:val="center"/>
          </w:tcPr>
          <w:p w14:paraId="166C3BAC"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16%</w:t>
            </w:r>
          </w:p>
        </w:tc>
        <w:tc>
          <w:tcPr>
            <w:tcW w:w="567" w:type="dxa"/>
            <w:tcBorders>
              <w:left w:val="single" w:sz="4" w:space="0" w:color="000000"/>
              <w:bottom w:val="single" w:sz="4" w:space="0" w:color="000000"/>
            </w:tcBorders>
            <w:shd w:val="clear" w:color="auto" w:fill="auto"/>
            <w:vAlign w:val="center"/>
          </w:tcPr>
          <w:p w14:paraId="5139EA9C"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无</w:t>
            </w:r>
          </w:p>
        </w:tc>
        <w:tc>
          <w:tcPr>
            <w:tcW w:w="992" w:type="dxa"/>
            <w:tcBorders>
              <w:left w:val="single" w:sz="4" w:space="0" w:color="000000"/>
              <w:bottom w:val="single" w:sz="4" w:space="0" w:color="000000"/>
            </w:tcBorders>
            <w:shd w:val="clear" w:color="auto" w:fill="auto"/>
            <w:vAlign w:val="center"/>
          </w:tcPr>
          <w:p w14:paraId="35EA3432"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2022</w:t>
            </w:r>
            <w:r>
              <w:rPr>
                <w:rFonts w:ascii="Arial" w:eastAsia="仿宋_GB2312;仿宋" w:hAnsi="Arial" w:cs="Arial"/>
                <w:sz w:val="22"/>
                <w:szCs w:val="16"/>
              </w:rPr>
              <w:t>年</w:t>
            </w:r>
            <w:r>
              <w:rPr>
                <w:rFonts w:ascii="Arial" w:eastAsia="仿宋_GB2312;仿宋" w:hAnsi="Arial" w:cs="Arial"/>
                <w:sz w:val="22"/>
                <w:szCs w:val="16"/>
              </w:rPr>
              <w:t>6</w:t>
            </w:r>
            <w:r>
              <w:rPr>
                <w:rFonts w:ascii="Arial" w:eastAsia="仿宋_GB2312;仿宋" w:hAnsi="Arial" w:cs="Arial"/>
                <w:sz w:val="22"/>
                <w:szCs w:val="16"/>
              </w:rPr>
              <w:t>月</w:t>
            </w:r>
          </w:p>
        </w:tc>
        <w:tc>
          <w:tcPr>
            <w:tcW w:w="2029" w:type="dxa"/>
            <w:tcBorders>
              <w:left w:val="single" w:sz="4" w:space="0" w:color="000000"/>
              <w:bottom w:val="single" w:sz="4" w:space="0" w:color="000000"/>
              <w:right w:val="single" w:sz="4" w:space="0" w:color="000000"/>
            </w:tcBorders>
            <w:shd w:val="clear" w:color="auto" w:fill="auto"/>
            <w:vAlign w:val="center"/>
          </w:tcPr>
          <w:p w14:paraId="74E12D9D"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涉及拆迁总量是</w:t>
            </w:r>
            <w:r>
              <w:rPr>
                <w:rFonts w:ascii="Arial" w:eastAsia="仿宋_GB2312;仿宋" w:hAnsi="Arial" w:cs="Arial"/>
                <w:sz w:val="22"/>
                <w:szCs w:val="16"/>
              </w:rPr>
              <w:t>2111</w:t>
            </w:r>
            <w:r>
              <w:rPr>
                <w:rFonts w:ascii="Arial" w:eastAsia="仿宋_GB2312;仿宋" w:hAnsi="Arial" w:cs="Arial"/>
                <w:sz w:val="22"/>
                <w:szCs w:val="16"/>
              </w:rPr>
              <w:t>户，其中集体住宅</w:t>
            </w:r>
            <w:r>
              <w:rPr>
                <w:rFonts w:ascii="Arial" w:eastAsia="仿宋_GB2312;仿宋" w:hAnsi="Arial" w:cs="Arial"/>
                <w:sz w:val="22"/>
                <w:szCs w:val="16"/>
              </w:rPr>
              <w:t>1656</w:t>
            </w:r>
            <w:r>
              <w:rPr>
                <w:rFonts w:ascii="Arial" w:eastAsia="仿宋_GB2312;仿宋" w:hAnsi="Arial" w:cs="Arial"/>
                <w:sz w:val="22"/>
                <w:szCs w:val="16"/>
              </w:rPr>
              <w:t>宗，集体非宅</w:t>
            </w:r>
            <w:r>
              <w:rPr>
                <w:rFonts w:ascii="Arial" w:eastAsia="仿宋_GB2312;仿宋" w:hAnsi="Arial" w:cs="Arial"/>
                <w:sz w:val="22"/>
                <w:szCs w:val="16"/>
              </w:rPr>
              <w:t>61</w:t>
            </w:r>
            <w:r>
              <w:rPr>
                <w:rFonts w:ascii="Arial" w:eastAsia="仿宋_GB2312;仿宋" w:hAnsi="Arial" w:cs="Arial"/>
                <w:sz w:val="22"/>
                <w:szCs w:val="16"/>
              </w:rPr>
              <w:t>户；国有住宅</w:t>
            </w:r>
            <w:r>
              <w:rPr>
                <w:rFonts w:ascii="Arial" w:eastAsia="仿宋_GB2312;仿宋" w:hAnsi="Arial" w:cs="Arial"/>
                <w:sz w:val="22"/>
                <w:szCs w:val="16"/>
              </w:rPr>
              <w:t>367</w:t>
            </w:r>
            <w:r>
              <w:rPr>
                <w:rFonts w:ascii="Arial" w:eastAsia="仿宋_GB2312;仿宋" w:hAnsi="Arial" w:cs="Arial"/>
                <w:sz w:val="22"/>
                <w:szCs w:val="16"/>
              </w:rPr>
              <w:t>户，国有非宅</w:t>
            </w:r>
            <w:r>
              <w:rPr>
                <w:rFonts w:ascii="Arial" w:eastAsia="仿宋_GB2312;仿宋" w:hAnsi="Arial" w:cs="Arial"/>
                <w:sz w:val="22"/>
                <w:szCs w:val="16"/>
              </w:rPr>
              <w:t>27</w:t>
            </w:r>
            <w:r>
              <w:rPr>
                <w:rFonts w:ascii="Arial" w:eastAsia="仿宋_GB2312;仿宋" w:hAnsi="Arial" w:cs="Arial"/>
                <w:sz w:val="22"/>
                <w:szCs w:val="16"/>
              </w:rPr>
              <w:t>户。已完成总拆迁量的</w:t>
            </w:r>
            <w:r>
              <w:rPr>
                <w:rFonts w:ascii="Arial" w:eastAsia="仿宋_GB2312;仿宋" w:hAnsi="Arial" w:cs="Arial"/>
                <w:sz w:val="22"/>
                <w:szCs w:val="16"/>
              </w:rPr>
              <w:t>97%</w:t>
            </w:r>
            <w:r>
              <w:rPr>
                <w:rFonts w:ascii="Arial" w:eastAsia="仿宋_GB2312;仿宋" w:hAnsi="Arial" w:cs="Arial"/>
                <w:sz w:val="22"/>
                <w:szCs w:val="16"/>
              </w:rPr>
              <w:t>。</w:t>
            </w:r>
          </w:p>
        </w:tc>
      </w:tr>
      <w:tr w:rsidR="00E70101" w14:paraId="380F763A" w14:textId="77777777">
        <w:trPr>
          <w:trHeight w:val="270"/>
          <w:jc w:val="center"/>
        </w:trPr>
        <w:tc>
          <w:tcPr>
            <w:tcW w:w="530" w:type="dxa"/>
            <w:tcBorders>
              <w:left w:val="single" w:sz="4" w:space="0" w:color="000000"/>
              <w:bottom w:val="single" w:sz="4" w:space="0" w:color="000000"/>
            </w:tcBorders>
            <w:shd w:val="clear" w:color="auto" w:fill="auto"/>
            <w:vAlign w:val="center"/>
          </w:tcPr>
          <w:p w14:paraId="78E8FBCC"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4</w:t>
            </w:r>
          </w:p>
        </w:tc>
        <w:tc>
          <w:tcPr>
            <w:tcW w:w="2698" w:type="dxa"/>
            <w:tcBorders>
              <w:left w:val="single" w:sz="4" w:space="0" w:color="000000"/>
              <w:bottom w:val="single" w:sz="4" w:space="0" w:color="000000"/>
            </w:tcBorders>
            <w:shd w:val="clear" w:color="auto" w:fill="auto"/>
            <w:vAlign w:val="center"/>
          </w:tcPr>
          <w:p w14:paraId="1D10C882" w14:textId="77777777" w:rsidR="00E70101" w:rsidRDefault="0060680B">
            <w:pPr>
              <w:widowControl/>
              <w:spacing w:line="240" w:lineRule="auto"/>
              <w:jc w:val="center"/>
              <w:textAlignment w:val="auto"/>
              <w:rPr>
                <w:rFonts w:ascii="Arial" w:eastAsia="仿宋_GB2312;仿宋" w:hAnsi="Arial" w:cs="Arial"/>
                <w:sz w:val="22"/>
                <w:szCs w:val="16"/>
              </w:rPr>
            </w:pPr>
            <w:bookmarkStart w:id="46" w:name="_Hlk142748226"/>
            <w:r>
              <w:rPr>
                <w:rFonts w:ascii="Arial" w:eastAsia="仿宋_GB2312;仿宋" w:hAnsi="Arial" w:cs="Arial"/>
                <w:sz w:val="22"/>
                <w:szCs w:val="16"/>
              </w:rPr>
              <w:t>顺义区</w:t>
            </w:r>
            <w:r>
              <w:rPr>
                <w:rFonts w:ascii="Arial" w:eastAsia="仿宋_GB2312;仿宋" w:hAnsi="Arial" w:cs="Arial"/>
                <w:sz w:val="22"/>
                <w:szCs w:val="16"/>
              </w:rPr>
              <w:t>M15</w:t>
            </w:r>
            <w:r>
              <w:rPr>
                <w:rFonts w:ascii="Arial" w:eastAsia="仿宋_GB2312;仿宋" w:hAnsi="Arial" w:cs="Arial"/>
                <w:sz w:val="22"/>
                <w:szCs w:val="16"/>
              </w:rPr>
              <w:t>号线后沙峪站</w:t>
            </w:r>
            <w:r>
              <w:rPr>
                <w:rFonts w:ascii="Arial" w:eastAsia="仿宋_GB2312;仿宋" w:hAnsi="Arial" w:cs="Arial"/>
                <w:sz w:val="22"/>
                <w:szCs w:val="16"/>
              </w:rPr>
              <w:t>ABC</w:t>
            </w:r>
            <w:r>
              <w:rPr>
                <w:rFonts w:ascii="Arial" w:eastAsia="仿宋_GB2312;仿宋" w:hAnsi="Arial" w:cs="Arial"/>
                <w:sz w:val="22"/>
                <w:szCs w:val="16"/>
              </w:rPr>
              <w:t>地块</w:t>
            </w:r>
            <w:bookmarkEnd w:id="46"/>
          </w:p>
        </w:tc>
        <w:tc>
          <w:tcPr>
            <w:tcW w:w="992" w:type="dxa"/>
            <w:tcBorders>
              <w:left w:val="single" w:sz="4" w:space="0" w:color="000000"/>
              <w:bottom w:val="single" w:sz="4" w:space="0" w:color="000000"/>
            </w:tcBorders>
            <w:shd w:val="clear" w:color="auto" w:fill="auto"/>
            <w:vAlign w:val="center"/>
          </w:tcPr>
          <w:p w14:paraId="27E8DF65"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84.72</w:t>
            </w:r>
          </w:p>
        </w:tc>
        <w:tc>
          <w:tcPr>
            <w:tcW w:w="1012" w:type="dxa"/>
            <w:tcBorders>
              <w:left w:val="single" w:sz="4" w:space="0" w:color="000000"/>
              <w:bottom w:val="single" w:sz="4" w:space="0" w:color="000000"/>
            </w:tcBorders>
            <w:shd w:val="clear" w:color="auto" w:fill="auto"/>
            <w:vAlign w:val="center"/>
          </w:tcPr>
          <w:p w14:paraId="2BCEFA10"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44.73</w:t>
            </w:r>
          </w:p>
        </w:tc>
        <w:tc>
          <w:tcPr>
            <w:tcW w:w="1255" w:type="dxa"/>
            <w:tcBorders>
              <w:left w:val="single" w:sz="4" w:space="0" w:color="000000"/>
              <w:bottom w:val="single" w:sz="4" w:space="0" w:color="000000"/>
            </w:tcBorders>
            <w:shd w:val="clear" w:color="auto" w:fill="auto"/>
            <w:vAlign w:val="center"/>
          </w:tcPr>
          <w:p w14:paraId="3E5BFF85"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36436.78</w:t>
            </w:r>
          </w:p>
        </w:tc>
        <w:tc>
          <w:tcPr>
            <w:tcW w:w="1276" w:type="dxa"/>
            <w:tcBorders>
              <w:left w:val="single" w:sz="4" w:space="0" w:color="000000"/>
              <w:bottom w:val="single" w:sz="4" w:space="0" w:color="000000"/>
            </w:tcBorders>
            <w:shd w:val="clear" w:color="auto" w:fill="auto"/>
            <w:vAlign w:val="center"/>
          </w:tcPr>
          <w:p w14:paraId="6A6664A2"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98258.5</w:t>
            </w:r>
          </w:p>
        </w:tc>
        <w:tc>
          <w:tcPr>
            <w:tcW w:w="992" w:type="dxa"/>
            <w:tcBorders>
              <w:top w:val="single" w:sz="4" w:space="0" w:color="000000"/>
              <w:left w:val="single" w:sz="4" w:space="0" w:color="000000"/>
              <w:bottom w:val="single" w:sz="4" w:space="0" w:color="000000"/>
            </w:tcBorders>
            <w:shd w:val="clear" w:color="auto" w:fill="auto"/>
            <w:vAlign w:val="center"/>
          </w:tcPr>
          <w:p w14:paraId="752F9A74"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1589.9</w:t>
            </w:r>
          </w:p>
        </w:tc>
        <w:tc>
          <w:tcPr>
            <w:tcW w:w="992" w:type="dxa"/>
            <w:tcBorders>
              <w:top w:val="single" w:sz="4" w:space="0" w:color="000000"/>
              <w:left w:val="single" w:sz="4" w:space="0" w:color="000000"/>
              <w:bottom w:val="single" w:sz="4" w:space="0" w:color="000000"/>
            </w:tcBorders>
            <w:shd w:val="clear" w:color="auto" w:fill="auto"/>
            <w:vAlign w:val="center"/>
          </w:tcPr>
          <w:p w14:paraId="3E453ACB"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1608.1</w:t>
            </w:r>
          </w:p>
        </w:tc>
        <w:tc>
          <w:tcPr>
            <w:tcW w:w="851" w:type="dxa"/>
            <w:tcBorders>
              <w:top w:val="single" w:sz="4" w:space="0" w:color="000000"/>
              <w:left w:val="single" w:sz="4" w:space="0" w:color="000000"/>
              <w:bottom w:val="single" w:sz="4" w:space="0" w:color="000000"/>
            </w:tcBorders>
            <w:shd w:val="clear" w:color="auto" w:fill="auto"/>
            <w:vAlign w:val="center"/>
          </w:tcPr>
          <w:p w14:paraId="00ED51E5"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18%</w:t>
            </w:r>
          </w:p>
        </w:tc>
        <w:tc>
          <w:tcPr>
            <w:tcW w:w="567" w:type="dxa"/>
            <w:tcBorders>
              <w:left w:val="single" w:sz="4" w:space="0" w:color="000000"/>
              <w:bottom w:val="single" w:sz="4" w:space="0" w:color="000000"/>
            </w:tcBorders>
            <w:shd w:val="clear" w:color="auto" w:fill="auto"/>
            <w:vAlign w:val="center"/>
          </w:tcPr>
          <w:p w14:paraId="2B6B70FF"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无</w:t>
            </w:r>
          </w:p>
        </w:tc>
        <w:tc>
          <w:tcPr>
            <w:tcW w:w="992" w:type="dxa"/>
            <w:tcBorders>
              <w:left w:val="single" w:sz="4" w:space="0" w:color="000000"/>
              <w:bottom w:val="single" w:sz="4" w:space="0" w:color="000000"/>
            </w:tcBorders>
            <w:shd w:val="clear" w:color="auto" w:fill="auto"/>
            <w:vAlign w:val="center"/>
          </w:tcPr>
          <w:p w14:paraId="53DA9FF5"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2023</w:t>
            </w:r>
            <w:r>
              <w:rPr>
                <w:rFonts w:ascii="Arial" w:eastAsia="仿宋_GB2312;仿宋" w:hAnsi="Arial" w:cs="Arial"/>
                <w:sz w:val="22"/>
                <w:szCs w:val="16"/>
              </w:rPr>
              <w:t>年</w:t>
            </w:r>
            <w:r>
              <w:rPr>
                <w:rFonts w:ascii="Arial" w:eastAsia="仿宋_GB2312;仿宋" w:hAnsi="Arial" w:cs="Arial"/>
                <w:sz w:val="22"/>
                <w:szCs w:val="16"/>
              </w:rPr>
              <w:t>3</w:t>
            </w:r>
            <w:r>
              <w:rPr>
                <w:rFonts w:ascii="Arial" w:eastAsia="仿宋_GB2312;仿宋" w:hAnsi="Arial" w:cs="Arial"/>
                <w:sz w:val="22"/>
                <w:szCs w:val="16"/>
              </w:rPr>
              <w:t>月</w:t>
            </w:r>
          </w:p>
        </w:tc>
        <w:tc>
          <w:tcPr>
            <w:tcW w:w="2029" w:type="dxa"/>
            <w:tcBorders>
              <w:left w:val="single" w:sz="4" w:space="0" w:color="000000"/>
              <w:bottom w:val="single" w:sz="4" w:space="0" w:color="000000"/>
              <w:right w:val="single" w:sz="4" w:space="0" w:color="000000"/>
            </w:tcBorders>
            <w:shd w:val="clear" w:color="auto" w:fill="auto"/>
            <w:vAlign w:val="center"/>
          </w:tcPr>
          <w:p w14:paraId="05375DA0"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拆迁总量</w:t>
            </w:r>
            <w:r>
              <w:rPr>
                <w:rFonts w:ascii="Arial" w:eastAsia="仿宋_GB2312;仿宋" w:hAnsi="Arial" w:cs="Arial"/>
                <w:sz w:val="22"/>
                <w:szCs w:val="16"/>
              </w:rPr>
              <w:t>389</w:t>
            </w:r>
            <w:r>
              <w:rPr>
                <w:rFonts w:ascii="Arial" w:eastAsia="仿宋_GB2312;仿宋" w:hAnsi="Arial" w:cs="Arial"/>
                <w:sz w:val="22"/>
                <w:szCs w:val="16"/>
              </w:rPr>
              <w:t>户，其中宅基地</w:t>
            </w:r>
            <w:r>
              <w:rPr>
                <w:rFonts w:ascii="Arial" w:eastAsia="仿宋_GB2312;仿宋" w:hAnsi="Arial" w:cs="Arial"/>
                <w:sz w:val="22"/>
                <w:szCs w:val="16"/>
              </w:rPr>
              <w:t>341</w:t>
            </w:r>
            <w:r>
              <w:rPr>
                <w:rFonts w:ascii="Arial" w:eastAsia="仿宋_GB2312;仿宋" w:hAnsi="Arial" w:cs="Arial"/>
                <w:sz w:val="22"/>
                <w:szCs w:val="16"/>
              </w:rPr>
              <w:t>宗，集体</w:t>
            </w:r>
            <w:r>
              <w:rPr>
                <w:rFonts w:ascii="Arial" w:eastAsia="仿宋_GB2312;仿宋" w:hAnsi="Arial" w:cs="Arial"/>
                <w:sz w:val="22"/>
                <w:szCs w:val="16"/>
              </w:rPr>
              <w:t>45</w:t>
            </w:r>
            <w:r>
              <w:rPr>
                <w:rFonts w:ascii="Arial" w:eastAsia="仿宋_GB2312;仿宋" w:hAnsi="Arial" w:cs="Arial"/>
                <w:sz w:val="22"/>
                <w:szCs w:val="16"/>
              </w:rPr>
              <w:t>户，国有</w:t>
            </w:r>
            <w:r>
              <w:rPr>
                <w:rFonts w:ascii="Arial" w:eastAsia="仿宋_GB2312;仿宋" w:hAnsi="Arial" w:cs="Arial"/>
                <w:sz w:val="22"/>
                <w:szCs w:val="16"/>
              </w:rPr>
              <w:t>3</w:t>
            </w:r>
            <w:r>
              <w:rPr>
                <w:rFonts w:ascii="Arial" w:eastAsia="仿宋_GB2312;仿宋" w:hAnsi="Arial" w:cs="Arial"/>
                <w:sz w:val="22"/>
                <w:szCs w:val="16"/>
              </w:rPr>
              <w:t>户。</w:t>
            </w:r>
          </w:p>
        </w:tc>
      </w:tr>
      <w:tr w:rsidR="00E70101" w14:paraId="57E27A3F" w14:textId="77777777">
        <w:trPr>
          <w:trHeight w:val="270"/>
          <w:jc w:val="center"/>
        </w:trPr>
        <w:tc>
          <w:tcPr>
            <w:tcW w:w="530" w:type="dxa"/>
            <w:tcBorders>
              <w:top w:val="single" w:sz="4" w:space="0" w:color="000000"/>
              <w:left w:val="single" w:sz="4" w:space="0" w:color="000000"/>
              <w:bottom w:val="single" w:sz="4" w:space="0" w:color="000000"/>
            </w:tcBorders>
            <w:shd w:val="clear" w:color="auto" w:fill="auto"/>
            <w:vAlign w:val="center"/>
          </w:tcPr>
          <w:p w14:paraId="44376444"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5</w:t>
            </w:r>
          </w:p>
        </w:tc>
        <w:tc>
          <w:tcPr>
            <w:tcW w:w="2698" w:type="dxa"/>
            <w:tcBorders>
              <w:top w:val="single" w:sz="4" w:space="0" w:color="000000"/>
              <w:left w:val="single" w:sz="4" w:space="0" w:color="000000"/>
              <w:bottom w:val="single" w:sz="4" w:space="0" w:color="000000"/>
            </w:tcBorders>
            <w:shd w:val="clear" w:color="auto" w:fill="auto"/>
            <w:vAlign w:val="center"/>
          </w:tcPr>
          <w:p w14:paraId="1C0E4C56" w14:textId="77777777" w:rsidR="00E70101" w:rsidRDefault="0060680B">
            <w:pPr>
              <w:widowControl/>
              <w:spacing w:line="240" w:lineRule="auto"/>
              <w:jc w:val="center"/>
              <w:textAlignment w:val="auto"/>
              <w:rPr>
                <w:rFonts w:ascii="Arial" w:eastAsia="仿宋_GB2312;仿宋" w:hAnsi="Arial" w:cs="Arial"/>
                <w:sz w:val="22"/>
                <w:szCs w:val="16"/>
              </w:rPr>
            </w:pPr>
            <w:bookmarkStart w:id="47" w:name="_Hlk142748346"/>
            <w:r>
              <w:rPr>
                <w:rFonts w:ascii="Arial" w:eastAsia="仿宋_GB2312;仿宋" w:hAnsi="Arial" w:cs="Arial"/>
                <w:sz w:val="22"/>
                <w:szCs w:val="16"/>
              </w:rPr>
              <w:t>顺义区后沙峪镇后沙峪村</w:t>
            </w:r>
            <w:r>
              <w:rPr>
                <w:rFonts w:ascii="Arial" w:eastAsia="仿宋_GB2312;仿宋" w:hAnsi="Arial" w:cs="Arial"/>
                <w:sz w:val="22"/>
                <w:szCs w:val="16"/>
              </w:rPr>
              <w:t>A</w:t>
            </w:r>
            <w:r>
              <w:rPr>
                <w:rFonts w:ascii="Arial" w:eastAsia="仿宋_GB2312;仿宋" w:hAnsi="Arial" w:cs="Arial"/>
                <w:sz w:val="22"/>
                <w:szCs w:val="16"/>
              </w:rPr>
              <w:t>地块</w:t>
            </w:r>
            <w:bookmarkEnd w:id="47"/>
          </w:p>
        </w:tc>
        <w:tc>
          <w:tcPr>
            <w:tcW w:w="992" w:type="dxa"/>
            <w:tcBorders>
              <w:top w:val="single" w:sz="4" w:space="0" w:color="000000"/>
              <w:left w:val="single" w:sz="4" w:space="0" w:color="000000"/>
              <w:bottom w:val="single" w:sz="4" w:space="0" w:color="000000"/>
            </w:tcBorders>
            <w:shd w:val="clear" w:color="auto" w:fill="auto"/>
            <w:vAlign w:val="center"/>
          </w:tcPr>
          <w:p w14:paraId="6B934B97"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29.09</w:t>
            </w:r>
          </w:p>
        </w:tc>
        <w:tc>
          <w:tcPr>
            <w:tcW w:w="1012" w:type="dxa"/>
            <w:tcBorders>
              <w:top w:val="single" w:sz="4" w:space="0" w:color="000000"/>
              <w:left w:val="single" w:sz="4" w:space="0" w:color="000000"/>
              <w:bottom w:val="single" w:sz="4" w:space="0" w:color="000000"/>
            </w:tcBorders>
            <w:shd w:val="clear" w:color="auto" w:fill="auto"/>
            <w:vAlign w:val="center"/>
          </w:tcPr>
          <w:p w14:paraId="0CC7E395"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21.8193</w:t>
            </w:r>
          </w:p>
        </w:tc>
        <w:tc>
          <w:tcPr>
            <w:tcW w:w="1255" w:type="dxa"/>
            <w:tcBorders>
              <w:top w:val="single" w:sz="4" w:space="0" w:color="000000"/>
              <w:left w:val="single" w:sz="4" w:space="0" w:color="000000"/>
              <w:bottom w:val="single" w:sz="4" w:space="0" w:color="000000"/>
            </w:tcBorders>
            <w:shd w:val="clear" w:color="auto" w:fill="auto"/>
            <w:vAlign w:val="center"/>
          </w:tcPr>
          <w:p w14:paraId="6B728B31"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12773.36</w:t>
            </w:r>
          </w:p>
        </w:tc>
        <w:tc>
          <w:tcPr>
            <w:tcW w:w="1276" w:type="dxa"/>
            <w:tcBorders>
              <w:top w:val="single" w:sz="4" w:space="0" w:color="000000"/>
              <w:left w:val="single" w:sz="4" w:space="0" w:color="000000"/>
              <w:bottom w:val="single" w:sz="4" w:space="0" w:color="000000"/>
            </w:tcBorders>
            <w:shd w:val="clear" w:color="auto" w:fill="auto"/>
            <w:vAlign w:val="center"/>
          </w:tcPr>
          <w:p w14:paraId="2452BC41"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207435.6</w:t>
            </w:r>
          </w:p>
        </w:tc>
        <w:tc>
          <w:tcPr>
            <w:tcW w:w="992" w:type="dxa"/>
            <w:tcBorders>
              <w:top w:val="single" w:sz="4" w:space="0" w:color="000000"/>
              <w:left w:val="single" w:sz="4" w:space="0" w:color="000000"/>
              <w:bottom w:val="single" w:sz="4" w:space="0" w:color="000000"/>
            </w:tcBorders>
            <w:shd w:val="clear" w:color="auto" w:fill="auto"/>
            <w:vAlign w:val="center"/>
          </w:tcPr>
          <w:p w14:paraId="150CE15B"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7569.9</w:t>
            </w:r>
          </w:p>
        </w:tc>
        <w:tc>
          <w:tcPr>
            <w:tcW w:w="992" w:type="dxa"/>
            <w:tcBorders>
              <w:top w:val="single" w:sz="4" w:space="0" w:color="000000"/>
              <w:left w:val="single" w:sz="4" w:space="0" w:color="000000"/>
              <w:bottom w:val="single" w:sz="4" w:space="0" w:color="000000"/>
            </w:tcBorders>
            <w:shd w:val="clear" w:color="auto" w:fill="auto"/>
            <w:vAlign w:val="center"/>
          </w:tcPr>
          <w:p w14:paraId="2A2E2E6F"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7656.4</w:t>
            </w:r>
          </w:p>
        </w:tc>
        <w:tc>
          <w:tcPr>
            <w:tcW w:w="851" w:type="dxa"/>
            <w:tcBorders>
              <w:top w:val="single" w:sz="4" w:space="0" w:color="000000"/>
              <w:left w:val="single" w:sz="4" w:space="0" w:color="000000"/>
              <w:bottom w:val="single" w:sz="4" w:space="0" w:color="000000"/>
            </w:tcBorders>
            <w:shd w:val="clear" w:color="auto" w:fill="auto"/>
            <w:vAlign w:val="center"/>
          </w:tcPr>
          <w:p w14:paraId="48B83203"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17%</w:t>
            </w:r>
          </w:p>
        </w:tc>
        <w:tc>
          <w:tcPr>
            <w:tcW w:w="567" w:type="dxa"/>
            <w:tcBorders>
              <w:top w:val="single" w:sz="4" w:space="0" w:color="000000"/>
              <w:left w:val="single" w:sz="4" w:space="0" w:color="000000"/>
              <w:bottom w:val="single" w:sz="4" w:space="0" w:color="000000"/>
            </w:tcBorders>
            <w:shd w:val="clear" w:color="auto" w:fill="auto"/>
            <w:vAlign w:val="center"/>
          </w:tcPr>
          <w:p w14:paraId="5D638730"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无</w:t>
            </w:r>
          </w:p>
        </w:tc>
        <w:tc>
          <w:tcPr>
            <w:tcW w:w="992" w:type="dxa"/>
            <w:tcBorders>
              <w:top w:val="single" w:sz="4" w:space="0" w:color="000000"/>
              <w:left w:val="single" w:sz="4" w:space="0" w:color="000000"/>
              <w:bottom w:val="single" w:sz="4" w:space="0" w:color="000000"/>
            </w:tcBorders>
            <w:shd w:val="clear" w:color="auto" w:fill="auto"/>
            <w:vAlign w:val="center"/>
          </w:tcPr>
          <w:p w14:paraId="4E461E12"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2023</w:t>
            </w:r>
            <w:r>
              <w:rPr>
                <w:rFonts w:ascii="Arial" w:eastAsia="仿宋_GB2312;仿宋" w:hAnsi="Arial" w:cs="Arial"/>
                <w:sz w:val="22"/>
                <w:szCs w:val="16"/>
              </w:rPr>
              <w:t>年</w:t>
            </w:r>
            <w:r>
              <w:rPr>
                <w:rFonts w:ascii="Arial" w:eastAsia="仿宋_GB2312;仿宋" w:hAnsi="Arial" w:cs="Arial"/>
                <w:sz w:val="22"/>
                <w:szCs w:val="16"/>
              </w:rPr>
              <w:t>3</w:t>
            </w:r>
            <w:r>
              <w:rPr>
                <w:rFonts w:ascii="Arial" w:eastAsia="仿宋_GB2312;仿宋" w:hAnsi="Arial" w:cs="Arial"/>
                <w:sz w:val="22"/>
                <w:szCs w:val="16"/>
              </w:rPr>
              <w:t>月</w:t>
            </w:r>
          </w:p>
        </w:tc>
        <w:tc>
          <w:tcPr>
            <w:tcW w:w="2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C6603"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涉及</w:t>
            </w:r>
            <w:r>
              <w:rPr>
                <w:rFonts w:ascii="Arial" w:eastAsia="仿宋_GB2312;仿宋" w:hAnsi="Arial" w:cs="Arial"/>
                <w:sz w:val="22"/>
                <w:szCs w:val="16"/>
              </w:rPr>
              <w:t>270</w:t>
            </w:r>
            <w:r>
              <w:rPr>
                <w:rFonts w:ascii="Arial" w:eastAsia="仿宋_GB2312;仿宋" w:hAnsi="Arial" w:cs="Arial"/>
                <w:sz w:val="22"/>
                <w:szCs w:val="16"/>
              </w:rPr>
              <w:t>宗宅基地补偿协议、</w:t>
            </w:r>
            <w:r>
              <w:rPr>
                <w:rFonts w:ascii="Arial" w:eastAsia="仿宋_GB2312;仿宋" w:hAnsi="Arial" w:cs="Arial"/>
                <w:sz w:val="22"/>
                <w:szCs w:val="16"/>
              </w:rPr>
              <w:t>16</w:t>
            </w:r>
            <w:r>
              <w:rPr>
                <w:rFonts w:ascii="Arial" w:eastAsia="仿宋_GB2312;仿宋" w:hAnsi="Arial" w:cs="Arial"/>
                <w:sz w:val="22"/>
                <w:szCs w:val="16"/>
              </w:rPr>
              <w:t>家集体非住宅补偿协议。</w:t>
            </w:r>
          </w:p>
        </w:tc>
      </w:tr>
      <w:tr w:rsidR="00E70101" w14:paraId="05A2B3EE" w14:textId="77777777">
        <w:trPr>
          <w:trHeight w:val="270"/>
          <w:jc w:val="center"/>
        </w:trPr>
        <w:tc>
          <w:tcPr>
            <w:tcW w:w="530" w:type="dxa"/>
            <w:tcBorders>
              <w:left w:val="single" w:sz="4" w:space="0" w:color="000000"/>
              <w:bottom w:val="single" w:sz="4" w:space="0" w:color="000000"/>
            </w:tcBorders>
            <w:shd w:val="clear" w:color="auto" w:fill="auto"/>
            <w:vAlign w:val="center"/>
          </w:tcPr>
          <w:p w14:paraId="2678B827"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6</w:t>
            </w:r>
          </w:p>
        </w:tc>
        <w:tc>
          <w:tcPr>
            <w:tcW w:w="2698" w:type="dxa"/>
            <w:tcBorders>
              <w:left w:val="single" w:sz="4" w:space="0" w:color="000000"/>
              <w:bottom w:val="single" w:sz="4" w:space="0" w:color="000000"/>
            </w:tcBorders>
            <w:shd w:val="clear" w:color="auto" w:fill="auto"/>
            <w:vAlign w:val="center"/>
          </w:tcPr>
          <w:p w14:paraId="003D6DEA" w14:textId="77777777" w:rsidR="00E70101" w:rsidRDefault="0060680B">
            <w:pPr>
              <w:widowControl/>
              <w:spacing w:line="240" w:lineRule="auto"/>
              <w:jc w:val="center"/>
              <w:textAlignment w:val="auto"/>
            </w:pPr>
            <w:r>
              <w:rPr>
                <w:rFonts w:ascii="Arial" w:eastAsia="仿宋_GB2312;仿宋" w:hAnsi="Arial" w:cs="Arial"/>
                <w:sz w:val="22"/>
                <w:szCs w:val="16"/>
              </w:rPr>
              <w:t>顺义区中关村临空国际高新技术产业基地工业用地</w:t>
            </w:r>
          </w:p>
        </w:tc>
        <w:tc>
          <w:tcPr>
            <w:tcW w:w="992" w:type="dxa"/>
            <w:tcBorders>
              <w:left w:val="single" w:sz="4" w:space="0" w:color="000000"/>
              <w:bottom w:val="single" w:sz="4" w:space="0" w:color="000000"/>
            </w:tcBorders>
            <w:shd w:val="clear" w:color="auto" w:fill="auto"/>
            <w:vAlign w:val="center"/>
          </w:tcPr>
          <w:p w14:paraId="4FAE50E5"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113.57</w:t>
            </w:r>
          </w:p>
        </w:tc>
        <w:tc>
          <w:tcPr>
            <w:tcW w:w="1012" w:type="dxa"/>
            <w:tcBorders>
              <w:left w:val="single" w:sz="4" w:space="0" w:color="000000"/>
              <w:bottom w:val="single" w:sz="4" w:space="0" w:color="000000"/>
            </w:tcBorders>
            <w:shd w:val="clear" w:color="auto" w:fill="auto"/>
            <w:vAlign w:val="center"/>
          </w:tcPr>
          <w:p w14:paraId="6D624572"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83.53</w:t>
            </w:r>
          </w:p>
        </w:tc>
        <w:tc>
          <w:tcPr>
            <w:tcW w:w="1255" w:type="dxa"/>
            <w:tcBorders>
              <w:left w:val="single" w:sz="4" w:space="0" w:color="000000"/>
              <w:bottom w:val="single" w:sz="4" w:space="0" w:color="000000"/>
            </w:tcBorders>
            <w:shd w:val="clear" w:color="auto" w:fill="auto"/>
            <w:vAlign w:val="center"/>
          </w:tcPr>
          <w:p w14:paraId="6E0F0FFC"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23802.01</w:t>
            </w:r>
          </w:p>
        </w:tc>
        <w:tc>
          <w:tcPr>
            <w:tcW w:w="1276" w:type="dxa"/>
            <w:tcBorders>
              <w:left w:val="single" w:sz="4" w:space="0" w:color="000000"/>
              <w:bottom w:val="single" w:sz="4" w:space="0" w:color="000000"/>
            </w:tcBorders>
            <w:shd w:val="clear" w:color="auto" w:fill="auto"/>
            <w:vAlign w:val="center"/>
          </w:tcPr>
          <w:p w14:paraId="52E53433"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50480.46</w:t>
            </w:r>
          </w:p>
        </w:tc>
        <w:tc>
          <w:tcPr>
            <w:tcW w:w="992" w:type="dxa"/>
            <w:tcBorders>
              <w:top w:val="single" w:sz="4" w:space="0" w:color="000000"/>
              <w:left w:val="single" w:sz="4" w:space="0" w:color="000000"/>
              <w:bottom w:val="single" w:sz="4" w:space="0" w:color="000000"/>
            </w:tcBorders>
            <w:shd w:val="clear" w:color="auto" w:fill="auto"/>
            <w:vAlign w:val="center"/>
          </w:tcPr>
          <w:p w14:paraId="3E1079E5"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654.1</w:t>
            </w:r>
          </w:p>
        </w:tc>
        <w:tc>
          <w:tcPr>
            <w:tcW w:w="992" w:type="dxa"/>
            <w:tcBorders>
              <w:top w:val="single" w:sz="4" w:space="0" w:color="000000"/>
              <w:left w:val="single" w:sz="4" w:space="0" w:color="000000"/>
              <w:bottom w:val="single" w:sz="4" w:space="0" w:color="000000"/>
            </w:tcBorders>
            <w:shd w:val="clear" w:color="auto" w:fill="auto"/>
            <w:vAlign w:val="center"/>
          </w:tcPr>
          <w:p w14:paraId="19211937"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679.9</w:t>
            </w:r>
          </w:p>
        </w:tc>
        <w:tc>
          <w:tcPr>
            <w:tcW w:w="851" w:type="dxa"/>
            <w:tcBorders>
              <w:top w:val="single" w:sz="4" w:space="0" w:color="000000"/>
              <w:left w:val="single" w:sz="4" w:space="0" w:color="000000"/>
              <w:bottom w:val="single" w:sz="4" w:space="0" w:color="000000"/>
            </w:tcBorders>
            <w:shd w:val="clear" w:color="auto" w:fill="auto"/>
            <w:vAlign w:val="center"/>
          </w:tcPr>
          <w:p w14:paraId="25D11059"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13%</w:t>
            </w:r>
          </w:p>
        </w:tc>
        <w:tc>
          <w:tcPr>
            <w:tcW w:w="567" w:type="dxa"/>
            <w:tcBorders>
              <w:left w:val="single" w:sz="4" w:space="0" w:color="000000"/>
              <w:bottom w:val="single" w:sz="4" w:space="0" w:color="000000"/>
            </w:tcBorders>
            <w:shd w:val="clear" w:color="auto" w:fill="auto"/>
            <w:vAlign w:val="center"/>
          </w:tcPr>
          <w:p w14:paraId="606CF71A"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无</w:t>
            </w:r>
          </w:p>
        </w:tc>
        <w:tc>
          <w:tcPr>
            <w:tcW w:w="992" w:type="dxa"/>
            <w:tcBorders>
              <w:left w:val="single" w:sz="4" w:space="0" w:color="000000"/>
              <w:bottom w:val="single" w:sz="4" w:space="0" w:color="000000"/>
            </w:tcBorders>
            <w:shd w:val="clear" w:color="auto" w:fill="auto"/>
            <w:vAlign w:val="center"/>
          </w:tcPr>
          <w:p w14:paraId="4F50994E"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2022</w:t>
            </w:r>
            <w:r>
              <w:rPr>
                <w:rFonts w:ascii="Arial" w:eastAsia="仿宋_GB2312;仿宋" w:hAnsi="Arial" w:cs="Arial"/>
                <w:sz w:val="22"/>
                <w:szCs w:val="16"/>
              </w:rPr>
              <w:t>年</w:t>
            </w:r>
            <w:r>
              <w:rPr>
                <w:rFonts w:ascii="Arial" w:eastAsia="仿宋_GB2312;仿宋" w:hAnsi="Arial" w:cs="Arial"/>
                <w:sz w:val="22"/>
                <w:szCs w:val="16"/>
              </w:rPr>
              <w:t>3</w:t>
            </w:r>
            <w:r>
              <w:rPr>
                <w:rFonts w:ascii="Arial" w:eastAsia="仿宋_GB2312;仿宋" w:hAnsi="Arial" w:cs="Arial"/>
                <w:sz w:val="22"/>
                <w:szCs w:val="16"/>
              </w:rPr>
              <w:t>月</w:t>
            </w:r>
          </w:p>
        </w:tc>
        <w:tc>
          <w:tcPr>
            <w:tcW w:w="2029" w:type="dxa"/>
            <w:tcBorders>
              <w:left w:val="single" w:sz="4" w:space="0" w:color="000000"/>
              <w:bottom w:val="single" w:sz="4" w:space="0" w:color="000000"/>
              <w:right w:val="single" w:sz="4" w:space="0" w:color="000000"/>
            </w:tcBorders>
            <w:shd w:val="clear" w:color="auto" w:fill="auto"/>
            <w:vAlign w:val="center"/>
          </w:tcPr>
          <w:p w14:paraId="62161EA6"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涉及拆迁总量是</w:t>
            </w:r>
            <w:r>
              <w:rPr>
                <w:rFonts w:ascii="Arial" w:eastAsia="仿宋_GB2312;仿宋" w:hAnsi="Arial" w:cs="Arial"/>
                <w:sz w:val="22"/>
                <w:szCs w:val="16"/>
              </w:rPr>
              <w:t>2</w:t>
            </w:r>
            <w:r>
              <w:rPr>
                <w:rFonts w:ascii="Arial" w:eastAsia="仿宋_GB2312;仿宋" w:hAnsi="Arial" w:cs="Arial"/>
                <w:sz w:val="22"/>
                <w:szCs w:val="16"/>
              </w:rPr>
              <w:t>户（北京市良种繁殖场、北京市良种繁殖场文化营村经济合作社）。</w:t>
            </w:r>
          </w:p>
        </w:tc>
      </w:tr>
      <w:tr w:rsidR="00E70101" w14:paraId="34E162D4" w14:textId="77777777">
        <w:trPr>
          <w:trHeight w:val="270"/>
          <w:jc w:val="center"/>
        </w:trPr>
        <w:tc>
          <w:tcPr>
            <w:tcW w:w="530" w:type="dxa"/>
            <w:tcBorders>
              <w:left w:val="single" w:sz="4" w:space="0" w:color="000000"/>
              <w:bottom w:val="single" w:sz="4" w:space="0" w:color="000000"/>
            </w:tcBorders>
            <w:shd w:val="clear" w:color="auto" w:fill="auto"/>
            <w:vAlign w:val="center"/>
          </w:tcPr>
          <w:p w14:paraId="4DDD5AF8"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7</w:t>
            </w:r>
          </w:p>
        </w:tc>
        <w:tc>
          <w:tcPr>
            <w:tcW w:w="2698" w:type="dxa"/>
            <w:tcBorders>
              <w:left w:val="single" w:sz="4" w:space="0" w:color="000000"/>
              <w:bottom w:val="single" w:sz="4" w:space="0" w:color="000000"/>
            </w:tcBorders>
            <w:shd w:val="clear" w:color="auto" w:fill="auto"/>
            <w:vAlign w:val="center"/>
          </w:tcPr>
          <w:p w14:paraId="3FF7CE0F" w14:textId="77777777" w:rsidR="00E70101" w:rsidRDefault="0060680B">
            <w:pPr>
              <w:widowControl/>
              <w:spacing w:line="240" w:lineRule="auto"/>
              <w:jc w:val="center"/>
              <w:textAlignment w:val="auto"/>
            </w:pPr>
            <w:r>
              <w:rPr>
                <w:rFonts w:ascii="Arial" w:eastAsia="仿宋_GB2312;仿宋" w:hAnsi="Arial" w:cs="Arial"/>
                <w:sz w:val="22"/>
                <w:szCs w:val="16"/>
              </w:rPr>
              <w:t>顺义区北京市顺义区空港木林高端制造业基地一期工业用地项目</w:t>
            </w:r>
          </w:p>
        </w:tc>
        <w:tc>
          <w:tcPr>
            <w:tcW w:w="992" w:type="dxa"/>
            <w:tcBorders>
              <w:left w:val="single" w:sz="4" w:space="0" w:color="000000"/>
              <w:bottom w:val="single" w:sz="4" w:space="0" w:color="000000"/>
            </w:tcBorders>
            <w:shd w:val="clear" w:color="auto" w:fill="auto"/>
            <w:vAlign w:val="center"/>
          </w:tcPr>
          <w:p w14:paraId="20A8F9DB"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17.36</w:t>
            </w:r>
          </w:p>
        </w:tc>
        <w:tc>
          <w:tcPr>
            <w:tcW w:w="1012" w:type="dxa"/>
            <w:tcBorders>
              <w:left w:val="single" w:sz="4" w:space="0" w:color="000000"/>
              <w:bottom w:val="single" w:sz="4" w:space="0" w:color="000000"/>
            </w:tcBorders>
            <w:shd w:val="clear" w:color="auto" w:fill="auto"/>
            <w:vAlign w:val="center"/>
          </w:tcPr>
          <w:p w14:paraId="0D860953"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13.09</w:t>
            </w:r>
          </w:p>
        </w:tc>
        <w:tc>
          <w:tcPr>
            <w:tcW w:w="1255" w:type="dxa"/>
            <w:tcBorders>
              <w:left w:val="single" w:sz="4" w:space="0" w:color="000000"/>
              <w:bottom w:val="single" w:sz="4" w:space="0" w:color="000000"/>
            </w:tcBorders>
            <w:shd w:val="clear" w:color="auto" w:fill="auto"/>
            <w:vAlign w:val="center"/>
          </w:tcPr>
          <w:p w14:paraId="6A20628F"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3173.01</w:t>
            </w:r>
          </w:p>
        </w:tc>
        <w:tc>
          <w:tcPr>
            <w:tcW w:w="1276" w:type="dxa"/>
            <w:tcBorders>
              <w:left w:val="single" w:sz="4" w:space="0" w:color="000000"/>
              <w:bottom w:val="single" w:sz="4" w:space="0" w:color="000000"/>
            </w:tcBorders>
            <w:shd w:val="clear" w:color="auto" w:fill="auto"/>
            <w:vAlign w:val="center"/>
          </w:tcPr>
          <w:p w14:paraId="7771E4A2"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644.98</w:t>
            </w:r>
          </w:p>
        </w:tc>
        <w:tc>
          <w:tcPr>
            <w:tcW w:w="992" w:type="dxa"/>
            <w:tcBorders>
              <w:top w:val="single" w:sz="4" w:space="0" w:color="000000"/>
              <w:left w:val="single" w:sz="4" w:space="0" w:color="000000"/>
              <w:bottom w:val="single" w:sz="4" w:space="0" w:color="000000"/>
            </w:tcBorders>
            <w:shd w:val="clear" w:color="auto" w:fill="auto"/>
            <w:vAlign w:val="center"/>
          </w:tcPr>
          <w:p w14:paraId="675D0F23"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219.9</w:t>
            </w:r>
          </w:p>
        </w:tc>
        <w:tc>
          <w:tcPr>
            <w:tcW w:w="992" w:type="dxa"/>
            <w:tcBorders>
              <w:top w:val="single" w:sz="4" w:space="0" w:color="000000"/>
              <w:left w:val="single" w:sz="4" w:space="0" w:color="000000"/>
              <w:bottom w:val="single" w:sz="4" w:space="0" w:color="000000"/>
            </w:tcBorders>
            <w:shd w:val="clear" w:color="auto" w:fill="auto"/>
            <w:vAlign w:val="center"/>
          </w:tcPr>
          <w:p w14:paraId="781AAE51"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228.6</w:t>
            </w:r>
          </w:p>
        </w:tc>
        <w:tc>
          <w:tcPr>
            <w:tcW w:w="851" w:type="dxa"/>
            <w:tcBorders>
              <w:top w:val="single" w:sz="4" w:space="0" w:color="000000"/>
              <w:left w:val="single" w:sz="4" w:space="0" w:color="000000"/>
              <w:bottom w:val="single" w:sz="4" w:space="0" w:color="000000"/>
            </w:tcBorders>
            <w:shd w:val="clear" w:color="auto" w:fill="auto"/>
            <w:vAlign w:val="center"/>
          </w:tcPr>
          <w:p w14:paraId="329E5C40"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23%</w:t>
            </w:r>
          </w:p>
        </w:tc>
        <w:tc>
          <w:tcPr>
            <w:tcW w:w="567" w:type="dxa"/>
            <w:tcBorders>
              <w:left w:val="single" w:sz="4" w:space="0" w:color="000000"/>
              <w:bottom w:val="single" w:sz="4" w:space="0" w:color="000000"/>
            </w:tcBorders>
            <w:shd w:val="clear" w:color="auto" w:fill="auto"/>
            <w:vAlign w:val="center"/>
          </w:tcPr>
          <w:p w14:paraId="0045E2CA"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无</w:t>
            </w:r>
          </w:p>
        </w:tc>
        <w:tc>
          <w:tcPr>
            <w:tcW w:w="992" w:type="dxa"/>
            <w:tcBorders>
              <w:left w:val="single" w:sz="4" w:space="0" w:color="000000"/>
              <w:bottom w:val="single" w:sz="4" w:space="0" w:color="000000"/>
            </w:tcBorders>
            <w:shd w:val="clear" w:color="auto" w:fill="auto"/>
            <w:vAlign w:val="center"/>
          </w:tcPr>
          <w:p w14:paraId="141A0334"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2022</w:t>
            </w:r>
            <w:r>
              <w:rPr>
                <w:rFonts w:ascii="Arial" w:eastAsia="仿宋_GB2312;仿宋" w:hAnsi="Arial" w:cs="Arial"/>
                <w:sz w:val="22"/>
                <w:szCs w:val="16"/>
              </w:rPr>
              <w:t>年</w:t>
            </w:r>
            <w:r>
              <w:rPr>
                <w:rFonts w:ascii="Arial" w:eastAsia="仿宋_GB2312;仿宋" w:hAnsi="Arial" w:cs="Arial"/>
                <w:sz w:val="22"/>
                <w:szCs w:val="16"/>
              </w:rPr>
              <w:t>1</w:t>
            </w:r>
            <w:r>
              <w:rPr>
                <w:rFonts w:ascii="Arial" w:eastAsia="仿宋_GB2312;仿宋" w:hAnsi="Arial" w:cs="Arial"/>
                <w:sz w:val="22"/>
                <w:szCs w:val="16"/>
              </w:rPr>
              <w:t>月</w:t>
            </w:r>
          </w:p>
        </w:tc>
        <w:tc>
          <w:tcPr>
            <w:tcW w:w="2029" w:type="dxa"/>
            <w:tcBorders>
              <w:left w:val="single" w:sz="4" w:space="0" w:color="000000"/>
              <w:bottom w:val="single" w:sz="4" w:space="0" w:color="000000"/>
              <w:right w:val="single" w:sz="4" w:space="0" w:color="000000"/>
            </w:tcBorders>
            <w:shd w:val="clear" w:color="auto" w:fill="auto"/>
            <w:vAlign w:val="center"/>
          </w:tcPr>
          <w:p w14:paraId="44F98EA0"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涉及拆迁项目包括：</w:t>
            </w:r>
            <w:r>
              <w:rPr>
                <w:rFonts w:ascii="Arial" w:eastAsia="仿宋_GB2312;仿宋" w:hAnsi="Arial" w:cs="Arial"/>
                <w:sz w:val="22"/>
                <w:szCs w:val="16"/>
              </w:rPr>
              <w:t>10KV</w:t>
            </w:r>
            <w:r>
              <w:rPr>
                <w:rFonts w:ascii="Arial" w:eastAsia="仿宋_GB2312;仿宋" w:hAnsi="Arial" w:cs="Arial"/>
                <w:sz w:val="22"/>
                <w:szCs w:val="16"/>
              </w:rPr>
              <w:t>线路切改工程、</w:t>
            </w:r>
            <w:r>
              <w:rPr>
                <w:rFonts w:ascii="Arial" w:eastAsia="仿宋_GB2312;仿宋" w:hAnsi="Arial" w:cs="Arial"/>
                <w:sz w:val="22"/>
                <w:szCs w:val="16"/>
              </w:rPr>
              <w:t>630KVA</w:t>
            </w:r>
            <w:r>
              <w:rPr>
                <w:rFonts w:ascii="Arial" w:eastAsia="仿宋_GB2312;仿宋" w:hAnsi="Arial" w:cs="Arial"/>
                <w:sz w:val="22"/>
                <w:szCs w:val="16"/>
              </w:rPr>
              <w:t>箱边迁改工程、歌华有线迁改工程以及林木补偿。</w:t>
            </w:r>
          </w:p>
        </w:tc>
      </w:tr>
      <w:tr w:rsidR="00E70101" w14:paraId="60A8AD0A" w14:textId="77777777">
        <w:trPr>
          <w:trHeight w:val="270"/>
          <w:jc w:val="center"/>
        </w:trPr>
        <w:tc>
          <w:tcPr>
            <w:tcW w:w="530" w:type="dxa"/>
            <w:tcBorders>
              <w:left w:val="single" w:sz="4" w:space="0" w:color="000000"/>
              <w:bottom w:val="single" w:sz="4" w:space="0" w:color="000000"/>
            </w:tcBorders>
            <w:shd w:val="clear" w:color="auto" w:fill="auto"/>
            <w:vAlign w:val="center"/>
          </w:tcPr>
          <w:p w14:paraId="45992EBD"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8</w:t>
            </w:r>
          </w:p>
        </w:tc>
        <w:tc>
          <w:tcPr>
            <w:tcW w:w="2698" w:type="dxa"/>
            <w:tcBorders>
              <w:left w:val="single" w:sz="4" w:space="0" w:color="000000"/>
              <w:bottom w:val="single" w:sz="4" w:space="0" w:color="000000"/>
            </w:tcBorders>
            <w:shd w:val="clear" w:color="auto" w:fill="auto"/>
            <w:vAlign w:val="center"/>
          </w:tcPr>
          <w:p w14:paraId="20A2ECB1"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顺义新城</w:t>
            </w:r>
            <w:r>
              <w:rPr>
                <w:rFonts w:ascii="Arial" w:eastAsia="仿宋_GB2312;仿宋" w:hAnsi="Arial" w:cs="Arial"/>
                <w:sz w:val="22"/>
                <w:szCs w:val="16"/>
              </w:rPr>
              <w:t>30</w:t>
            </w:r>
            <w:r>
              <w:rPr>
                <w:rFonts w:ascii="Arial" w:eastAsia="仿宋_GB2312;仿宋" w:hAnsi="Arial" w:cs="Arial"/>
                <w:sz w:val="22"/>
                <w:szCs w:val="16"/>
              </w:rPr>
              <w:t>街区控规范围内剩余工业用地土地一级开发项目（</w:t>
            </w:r>
            <w:r>
              <w:rPr>
                <w:rFonts w:ascii="Arial" w:eastAsia="仿宋_GB2312;仿宋" w:hAnsi="Arial" w:cs="Arial"/>
                <w:sz w:val="22"/>
                <w:szCs w:val="16"/>
              </w:rPr>
              <w:t>30-27-02</w:t>
            </w:r>
            <w:r>
              <w:rPr>
                <w:rFonts w:ascii="Arial" w:eastAsia="仿宋_GB2312;仿宋" w:hAnsi="Arial" w:cs="Arial"/>
                <w:sz w:val="22"/>
                <w:szCs w:val="16"/>
              </w:rPr>
              <w:t>地块）</w:t>
            </w:r>
          </w:p>
        </w:tc>
        <w:tc>
          <w:tcPr>
            <w:tcW w:w="992" w:type="dxa"/>
            <w:tcBorders>
              <w:left w:val="single" w:sz="4" w:space="0" w:color="000000"/>
              <w:bottom w:val="single" w:sz="4" w:space="0" w:color="000000"/>
            </w:tcBorders>
            <w:shd w:val="clear" w:color="auto" w:fill="auto"/>
            <w:vAlign w:val="center"/>
          </w:tcPr>
          <w:p w14:paraId="255F0896"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56.75</w:t>
            </w:r>
          </w:p>
        </w:tc>
        <w:tc>
          <w:tcPr>
            <w:tcW w:w="1012" w:type="dxa"/>
            <w:tcBorders>
              <w:left w:val="single" w:sz="4" w:space="0" w:color="000000"/>
              <w:bottom w:val="single" w:sz="4" w:space="0" w:color="000000"/>
            </w:tcBorders>
            <w:shd w:val="clear" w:color="auto" w:fill="auto"/>
            <w:vAlign w:val="center"/>
          </w:tcPr>
          <w:p w14:paraId="49D92481"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38.92</w:t>
            </w:r>
          </w:p>
        </w:tc>
        <w:tc>
          <w:tcPr>
            <w:tcW w:w="1255" w:type="dxa"/>
            <w:tcBorders>
              <w:left w:val="single" w:sz="4" w:space="0" w:color="000000"/>
              <w:bottom w:val="single" w:sz="4" w:space="0" w:color="000000"/>
            </w:tcBorders>
            <w:shd w:val="clear" w:color="auto" w:fill="auto"/>
            <w:vAlign w:val="center"/>
          </w:tcPr>
          <w:p w14:paraId="2A5A43AE"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11601.87</w:t>
            </w:r>
          </w:p>
        </w:tc>
        <w:tc>
          <w:tcPr>
            <w:tcW w:w="1276" w:type="dxa"/>
            <w:tcBorders>
              <w:left w:val="single" w:sz="4" w:space="0" w:color="000000"/>
              <w:bottom w:val="single" w:sz="4" w:space="0" w:color="000000"/>
            </w:tcBorders>
            <w:shd w:val="clear" w:color="auto" w:fill="auto"/>
            <w:vAlign w:val="center"/>
          </w:tcPr>
          <w:p w14:paraId="63E32361"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4320.93</w:t>
            </w:r>
          </w:p>
        </w:tc>
        <w:tc>
          <w:tcPr>
            <w:tcW w:w="992" w:type="dxa"/>
            <w:tcBorders>
              <w:top w:val="single" w:sz="4" w:space="0" w:color="000000"/>
              <w:left w:val="single" w:sz="4" w:space="0" w:color="000000"/>
              <w:bottom w:val="single" w:sz="4" w:space="0" w:color="000000"/>
            </w:tcBorders>
            <w:shd w:val="clear" w:color="auto" w:fill="auto"/>
            <w:vAlign w:val="center"/>
          </w:tcPr>
          <w:p w14:paraId="1BD130C8"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280.6</w:t>
            </w:r>
          </w:p>
        </w:tc>
        <w:tc>
          <w:tcPr>
            <w:tcW w:w="992" w:type="dxa"/>
            <w:tcBorders>
              <w:top w:val="single" w:sz="4" w:space="0" w:color="000000"/>
              <w:left w:val="single" w:sz="4" w:space="0" w:color="000000"/>
              <w:bottom w:val="single" w:sz="4" w:space="0" w:color="000000"/>
            </w:tcBorders>
            <w:shd w:val="clear" w:color="auto" w:fill="auto"/>
            <w:vAlign w:val="center"/>
          </w:tcPr>
          <w:p w14:paraId="43493BC0"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291.7</w:t>
            </w:r>
          </w:p>
        </w:tc>
        <w:tc>
          <w:tcPr>
            <w:tcW w:w="851" w:type="dxa"/>
            <w:tcBorders>
              <w:top w:val="single" w:sz="4" w:space="0" w:color="000000"/>
              <w:left w:val="single" w:sz="4" w:space="0" w:color="000000"/>
              <w:bottom w:val="single" w:sz="4" w:space="0" w:color="000000"/>
            </w:tcBorders>
            <w:shd w:val="clear" w:color="auto" w:fill="auto"/>
            <w:vAlign w:val="center"/>
          </w:tcPr>
          <w:p w14:paraId="6B861F72"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3%</w:t>
            </w:r>
          </w:p>
        </w:tc>
        <w:tc>
          <w:tcPr>
            <w:tcW w:w="567" w:type="dxa"/>
            <w:tcBorders>
              <w:left w:val="single" w:sz="4" w:space="0" w:color="000000"/>
              <w:bottom w:val="single" w:sz="4" w:space="0" w:color="000000"/>
            </w:tcBorders>
            <w:shd w:val="clear" w:color="auto" w:fill="auto"/>
            <w:vAlign w:val="center"/>
          </w:tcPr>
          <w:p w14:paraId="13714B6F"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无</w:t>
            </w:r>
          </w:p>
        </w:tc>
        <w:tc>
          <w:tcPr>
            <w:tcW w:w="992" w:type="dxa"/>
            <w:tcBorders>
              <w:left w:val="single" w:sz="4" w:space="0" w:color="000000"/>
              <w:bottom w:val="single" w:sz="4" w:space="0" w:color="000000"/>
            </w:tcBorders>
            <w:shd w:val="clear" w:color="auto" w:fill="auto"/>
            <w:vAlign w:val="center"/>
          </w:tcPr>
          <w:p w14:paraId="7C678DE7"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2022</w:t>
            </w:r>
            <w:r>
              <w:rPr>
                <w:rFonts w:ascii="Arial" w:eastAsia="仿宋_GB2312;仿宋" w:hAnsi="Arial" w:cs="Arial"/>
                <w:sz w:val="22"/>
                <w:szCs w:val="16"/>
              </w:rPr>
              <w:t>年</w:t>
            </w:r>
            <w:r>
              <w:rPr>
                <w:rFonts w:ascii="Arial" w:eastAsia="仿宋_GB2312;仿宋" w:hAnsi="Arial" w:cs="Arial"/>
                <w:sz w:val="22"/>
                <w:szCs w:val="16"/>
              </w:rPr>
              <w:t>3</w:t>
            </w:r>
            <w:r>
              <w:rPr>
                <w:rFonts w:ascii="Arial" w:eastAsia="仿宋_GB2312;仿宋" w:hAnsi="Arial" w:cs="Arial"/>
                <w:sz w:val="22"/>
                <w:szCs w:val="16"/>
              </w:rPr>
              <w:t>月</w:t>
            </w:r>
          </w:p>
        </w:tc>
        <w:tc>
          <w:tcPr>
            <w:tcW w:w="2029" w:type="dxa"/>
            <w:tcBorders>
              <w:left w:val="single" w:sz="4" w:space="0" w:color="000000"/>
              <w:bottom w:val="single" w:sz="4" w:space="0" w:color="000000"/>
              <w:right w:val="single" w:sz="4" w:space="0" w:color="000000"/>
            </w:tcBorders>
            <w:shd w:val="clear" w:color="auto" w:fill="auto"/>
            <w:vAlign w:val="center"/>
          </w:tcPr>
          <w:p w14:paraId="2BBBDA0B"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涉及</w:t>
            </w:r>
            <w:r>
              <w:rPr>
                <w:rFonts w:ascii="Arial" w:eastAsia="仿宋_GB2312;仿宋" w:hAnsi="Arial" w:cs="Arial"/>
                <w:sz w:val="22"/>
                <w:szCs w:val="16"/>
              </w:rPr>
              <w:t>19</w:t>
            </w:r>
            <w:r>
              <w:rPr>
                <w:rFonts w:ascii="Arial" w:eastAsia="仿宋_GB2312;仿宋" w:hAnsi="Arial" w:cs="Arial"/>
                <w:sz w:val="22"/>
                <w:szCs w:val="16"/>
              </w:rPr>
              <w:t>家非住宅拆迁。</w:t>
            </w:r>
          </w:p>
        </w:tc>
      </w:tr>
    </w:tbl>
    <w:p w14:paraId="420338B1" w14:textId="77777777" w:rsidR="00E70101" w:rsidRDefault="00E70101">
      <w:pPr>
        <w:sectPr w:rsidR="00E70101">
          <w:headerReference w:type="default" r:id="rId70"/>
          <w:footerReference w:type="default" r:id="rId71"/>
          <w:pgSz w:w="16838" w:h="11906" w:orient="landscape"/>
          <w:pgMar w:top="1803" w:right="1440" w:bottom="1440" w:left="1440" w:header="851" w:footer="1134" w:gutter="0"/>
          <w:cols w:space="720"/>
          <w:formProt w:val="0"/>
          <w:docGrid w:linePitch="326"/>
        </w:sectPr>
      </w:pPr>
    </w:p>
    <w:p w14:paraId="10A2B2E6" w14:textId="77777777" w:rsidR="00E70101" w:rsidRDefault="0060680B">
      <w:pPr>
        <w:tabs>
          <w:tab w:val="left" w:pos="7644"/>
        </w:tabs>
        <w:spacing w:line="360" w:lineRule="auto"/>
        <w:ind w:firstLine="565"/>
        <w:jc w:val="both"/>
        <w:rPr>
          <w:rFonts w:ascii="仿宋" w:eastAsia="仿宋" w:hAnsi="仿宋" w:cs="仿宋"/>
          <w:b/>
          <w:bCs/>
          <w:sz w:val="28"/>
          <w:szCs w:val="28"/>
        </w:rPr>
      </w:pPr>
      <w:r>
        <w:rPr>
          <w:rFonts w:ascii="仿宋" w:eastAsia="仿宋" w:hAnsi="仿宋" w:cs="仿宋"/>
          <w:b/>
          <w:bCs/>
          <w:sz w:val="28"/>
          <w:szCs w:val="28"/>
        </w:rPr>
        <w:t>（4）比较实例的分析</w:t>
      </w:r>
      <w:r>
        <w:rPr>
          <w:rFonts w:ascii="仿宋" w:eastAsia="仿宋" w:hAnsi="仿宋" w:cs="仿宋"/>
          <w:b/>
          <w:bCs/>
          <w:sz w:val="28"/>
          <w:szCs w:val="28"/>
        </w:rPr>
        <w:tab/>
      </w:r>
    </w:p>
    <w:p w14:paraId="4CB5D7CD" w14:textId="77777777" w:rsidR="00E70101" w:rsidRDefault="0060680B">
      <w:pPr>
        <w:spacing w:line="360" w:lineRule="auto"/>
        <w:ind w:firstLine="563"/>
        <w:jc w:val="both"/>
        <w:rPr>
          <w:rFonts w:ascii="Arial" w:eastAsia="仿宋_GB2312;仿宋" w:hAnsi="Arial" w:cs="Arial"/>
          <w:sz w:val="28"/>
        </w:rPr>
      </w:pPr>
      <w:r>
        <w:rPr>
          <w:rFonts w:ascii="Arial" w:eastAsia="仿宋_GB2312;仿宋" w:hAnsi="Arial" w:cs="Arial"/>
          <w:sz w:val="28"/>
        </w:rPr>
        <w:t>根据上表，实例均位于昌平区，均为距价值时点三年内的的经审定后的土地一级开发项目。位置与咨询对象位置示意图如下：</w:t>
      </w:r>
    </w:p>
    <w:p w14:paraId="7724C0CA" w14:textId="77777777" w:rsidR="00E70101" w:rsidRDefault="0060680B">
      <w:pPr>
        <w:spacing w:line="360" w:lineRule="auto"/>
        <w:jc w:val="center"/>
        <w:rPr>
          <w:rFonts w:ascii="Arial" w:eastAsia="仿宋_GB2312;仿宋" w:hAnsi="Arial" w:cs="Arial"/>
          <w:sz w:val="28"/>
        </w:rPr>
      </w:pPr>
      <w:r>
        <w:rPr>
          <w:noProof/>
        </w:rPr>
        <w:drawing>
          <wp:inline distT="0" distB="0" distL="0" distR="0" wp14:anchorId="08B7B5FB" wp14:editId="0ACD03F3">
            <wp:extent cx="5906770" cy="3756025"/>
            <wp:effectExtent l="0" t="0" r="0" b="0"/>
            <wp:docPr id="37" name="图像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像10"/>
                    <pic:cNvPicPr>
                      <a:picLocks noChangeAspect="1" noChangeArrowheads="1"/>
                    </pic:cNvPicPr>
                  </pic:nvPicPr>
                  <pic:blipFill>
                    <a:blip r:embed="rId72"/>
                    <a:srcRect l="-5" t="-9" r="-5" b="-9"/>
                    <a:stretch>
                      <a:fillRect/>
                    </a:stretch>
                  </pic:blipFill>
                  <pic:spPr bwMode="auto">
                    <a:xfrm>
                      <a:off x="0" y="0"/>
                      <a:ext cx="5906770" cy="3756025"/>
                    </a:xfrm>
                    <a:prstGeom prst="rect">
                      <a:avLst/>
                    </a:prstGeom>
                  </pic:spPr>
                </pic:pic>
              </a:graphicData>
            </a:graphic>
          </wp:inline>
        </w:drawing>
      </w:r>
    </w:p>
    <w:p w14:paraId="5805061C" w14:textId="77777777" w:rsidR="00E70101" w:rsidRDefault="0060680B">
      <w:pPr>
        <w:spacing w:line="360" w:lineRule="auto"/>
        <w:ind w:firstLine="565"/>
        <w:rPr>
          <w:rFonts w:ascii="Arial" w:eastAsia="仿宋_GB2312;仿宋" w:hAnsi="Arial" w:cs="Arial"/>
          <w:b/>
          <w:sz w:val="28"/>
        </w:rPr>
      </w:pPr>
      <w:r>
        <w:rPr>
          <w:rFonts w:ascii="Arial" w:eastAsia="仿宋_GB2312;仿宋" w:hAnsi="Arial" w:cs="Arial"/>
          <w:b/>
          <w:sz w:val="28"/>
        </w:rPr>
        <w:t>项目的基本情况如下：</w:t>
      </w:r>
    </w:p>
    <w:p w14:paraId="53C83C68" w14:textId="77777777" w:rsidR="00E70101" w:rsidRDefault="0060680B">
      <w:pPr>
        <w:spacing w:line="360" w:lineRule="auto"/>
        <w:ind w:firstLine="565"/>
        <w:rPr>
          <w:rFonts w:ascii="Arial" w:eastAsia="仿宋_GB2312;仿宋" w:hAnsi="Arial" w:cs="Arial"/>
          <w:b/>
          <w:sz w:val="28"/>
        </w:rPr>
      </w:pPr>
      <w:r>
        <w:rPr>
          <w:rFonts w:ascii="Arial" w:eastAsia="仿宋_GB2312;仿宋" w:hAnsi="Arial" w:cs="Arial"/>
          <w:b/>
          <w:sz w:val="28"/>
        </w:rPr>
        <w:t>序号</w:t>
      </w:r>
      <w:r>
        <w:rPr>
          <w:rFonts w:ascii="Arial" w:eastAsia="仿宋_GB2312;仿宋" w:hAnsi="Arial" w:cs="Arial"/>
          <w:b/>
          <w:sz w:val="28"/>
        </w:rPr>
        <w:t>1</w:t>
      </w:r>
      <w:r>
        <w:rPr>
          <w:rFonts w:ascii="Arial" w:eastAsia="仿宋_GB2312;仿宋" w:hAnsi="Arial" w:cs="Arial"/>
          <w:b/>
          <w:sz w:val="28"/>
        </w:rPr>
        <w:t>：顺义区国展预留地剩余地块</w:t>
      </w:r>
    </w:p>
    <w:p w14:paraId="43C252A0" w14:textId="77777777" w:rsidR="00E70101" w:rsidRDefault="0060680B">
      <w:pPr>
        <w:spacing w:line="360" w:lineRule="auto"/>
        <w:ind w:firstLine="563"/>
        <w:jc w:val="both"/>
        <w:rPr>
          <w:rFonts w:ascii="Arial" w:eastAsia="仿宋_GB2312;仿宋" w:hAnsi="Arial" w:cs="Arial"/>
          <w:sz w:val="28"/>
        </w:rPr>
      </w:pPr>
      <w:r>
        <w:rPr>
          <w:rFonts w:ascii="Arial" w:eastAsia="仿宋_GB2312;仿宋" w:hAnsi="Arial" w:cs="Arial"/>
          <w:sz w:val="28"/>
        </w:rPr>
        <w:t>该项目位于顺义区后沙峪镇，环线位置为东北六环以西南侧，项目类型为土地一级开发项目，审定时间为</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10</w:t>
      </w:r>
      <w:r>
        <w:rPr>
          <w:rFonts w:ascii="Arial" w:eastAsia="仿宋_GB2312;仿宋" w:hAnsi="Arial" w:cs="Arial"/>
          <w:sz w:val="28"/>
        </w:rPr>
        <w:t>月，土地级别为七级，所处区域目前已拥有较完善的基础设施配套保障，总用地面积</w:t>
      </w:r>
      <w:r>
        <w:rPr>
          <w:rFonts w:ascii="Arial" w:eastAsia="仿宋_GB2312;仿宋" w:hAnsi="Arial" w:cs="Arial"/>
          <w:sz w:val="28"/>
        </w:rPr>
        <w:t>12.9</w:t>
      </w:r>
      <w:r>
        <w:rPr>
          <w:rFonts w:ascii="Arial" w:eastAsia="仿宋_GB2312;仿宋" w:hAnsi="Arial" w:cs="Arial"/>
          <w:sz w:val="28"/>
        </w:rPr>
        <w:t>公顷。该项目审定的征地补偿及相关税费为</w:t>
      </w:r>
      <w:r>
        <w:rPr>
          <w:rFonts w:ascii="Arial" w:eastAsia="仿宋_GB2312;仿宋" w:hAnsi="Arial" w:cs="Arial"/>
          <w:sz w:val="28"/>
        </w:rPr>
        <w:t>5061.88</w:t>
      </w:r>
      <w:r>
        <w:rPr>
          <w:rFonts w:ascii="Arial" w:eastAsia="仿宋_GB2312;仿宋" w:hAnsi="Arial" w:cs="Arial"/>
          <w:sz w:val="28"/>
        </w:rPr>
        <w:t>万元，拆迁补偿费及相关税费为</w:t>
      </w:r>
      <w:r>
        <w:rPr>
          <w:rFonts w:ascii="Arial" w:eastAsia="仿宋_GB2312;仿宋" w:hAnsi="Arial" w:cs="Arial"/>
          <w:sz w:val="28"/>
        </w:rPr>
        <w:t>31557.84</w:t>
      </w:r>
      <w:r>
        <w:rPr>
          <w:rFonts w:ascii="Arial" w:eastAsia="仿宋_GB2312;仿宋" w:hAnsi="Arial" w:cs="Arial"/>
          <w:sz w:val="28"/>
        </w:rPr>
        <w:t>万元，无实物补偿。</w:t>
      </w:r>
    </w:p>
    <w:p w14:paraId="10E88CBC" w14:textId="77777777" w:rsidR="00E70101" w:rsidRDefault="0060680B">
      <w:pPr>
        <w:spacing w:line="360" w:lineRule="auto"/>
        <w:ind w:firstLine="563"/>
        <w:rPr>
          <w:rFonts w:ascii="Arial" w:eastAsia="仿宋_GB2312;仿宋" w:hAnsi="Arial" w:cs="Arial"/>
          <w:sz w:val="28"/>
        </w:rPr>
      </w:pPr>
      <w:r>
        <w:rPr>
          <w:rFonts w:ascii="Arial" w:eastAsia="仿宋_GB2312;仿宋" w:hAnsi="Arial" w:cs="Arial"/>
          <w:sz w:val="28"/>
        </w:rPr>
        <w:t>故该实例在审定时间</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10</w:t>
      </w:r>
      <w:r>
        <w:rPr>
          <w:rFonts w:ascii="Arial" w:eastAsia="仿宋_GB2312;仿宋" w:hAnsi="Arial" w:cs="Arial"/>
          <w:sz w:val="28"/>
        </w:rPr>
        <w:t>月的征地、拆迁补偿及相关税费单价</w:t>
      </w:r>
      <w:r>
        <w:rPr>
          <w:rFonts w:ascii="Arial" w:eastAsia="仿宋_GB2312;仿宋" w:hAnsi="Arial" w:cs="Arial"/>
          <w:sz w:val="28"/>
        </w:rPr>
        <w:t>=</w:t>
      </w:r>
      <w:r>
        <w:rPr>
          <w:rFonts w:ascii="Arial" w:eastAsia="仿宋_GB2312;仿宋" w:hAnsi="Arial" w:cs="Arial"/>
          <w:sz w:val="28"/>
        </w:rPr>
        <w:t>（</w:t>
      </w:r>
      <w:r>
        <w:rPr>
          <w:rFonts w:ascii="Arial" w:eastAsia="仿宋_GB2312;仿宋" w:hAnsi="Arial" w:cs="Arial"/>
          <w:sz w:val="28"/>
        </w:rPr>
        <w:t>5061.88+31557.84</w:t>
      </w:r>
      <w:r>
        <w:rPr>
          <w:rFonts w:ascii="Arial" w:eastAsia="仿宋_GB2312;仿宋" w:hAnsi="Arial" w:cs="Arial"/>
          <w:sz w:val="28"/>
        </w:rPr>
        <w:t>）</w:t>
      </w:r>
      <w:r>
        <w:rPr>
          <w:rFonts w:ascii="Arial" w:eastAsia="仿宋_GB2312;仿宋" w:hAnsi="Arial" w:cs="Arial"/>
          <w:sz w:val="28"/>
        </w:rPr>
        <w:t>÷12.9=2838.7</w:t>
      </w:r>
      <w:r>
        <w:rPr>
          <w:rFonts w:ascii="Arial" w:eastAsia="仿宋_GB2312;仿宋" w:hAnsi="Arial" w:cs="Arial"/>
          <w:sz w:val="28"/>
        </w:rPr>
        <w:t>（元</w:t>
      </w:r>
      <w:r>
        <w:rPr>
          <w:rFonts w:ascii="Arial" w:eastAsia="仿宋_GB2312;仿宋" w:hAnsi="Arial" w:cs="Arial"/>
          <w:sz w:val="28"/>
        </w:rPr>
        <w:t>/</w:t>
      </w:r>
      <w:r>
        <w:rPr>
          <w:rFonts w:ascii="Arial" w:eastAsia="仿宋_GB2312;仿宋" w:hAnsi="Arial" w:cs="Arial"/>
          <w:sz w:val="28"/>
        </w:rPr>
        <w:t>平方米）</w:t>
      </w:r>
    </w:p>
    <w:p w14:paraId="446BBC26" w14:textId="77777777" w:rsidR="00E70101" w:rsidRDefault="0060680B">
      <w:pPr>
        <w:spacing w:line="360" w:lineRule="auto"/>
        <w:ind w:firstLine="565"/>
        <w:rPr>
          <w:rFonts w:ascii="Arial" w:eastAsia="仿宋_GB2312;仿宋" w:hAnsi="Arial" w:cs="Arial"/>
          <w:b/>
          <w:sz w:val="28"/>
        </w:rPr>
      </w:pPr>
      <w:r>
        <w:rPr>
          <w:rFonts w:ascii="Arial" w:hAnsi="Arial" w:cs="Arial"/>
          <w:b/>
          <w:sz w:val="28"/>
        </w:rPr>
        <w:t>序号</w:t>
      </w:r>
      <w:r>
        <w:rPr>
          <w:rFonts w:ascii="Arial" w:hAnsi="Arial" w:cs="Arial"/>
          <w:b/>
          <w:sz w:val="28"/>
        </w:rPr>
        <w:t>2</w:t>
      </w:r>
      <w:r>
        <w:rPr>
          <w:rFonts w:ascii="Arial" w:hAnsi="Arial" w:cs="Arial"/>
          <w:b/>
          <w:sz w:val="28"/>
        </w:rPr>
        <w:t>：</w:t>
      </w:r>
      <w:r>
        <w:rPr>
          <w:rFonts w:ascii="Arial" w:eastAsia="仿宋_GB2312;仿宋" w:hAnsi="Arial" w:cs="Arial"/>
          <w:b/>
          <w:sz w:val="28"/>
        </w:rPr>
        <w:t>顺义区仁和镇平各庄村</w:t>
      </w:r>
      <w:r>
        <w:rPr>
          <w:rFonts w:ascii="Arial" w:eastAsia="仿宋_GB2312;仿宋" w:hAnsi="Arial" w:cs="Arial"/>
          <w:b/>
          <w:sz w:val="28"/>
        </w:rPr>
        <w:t>B</w:t>
      </w:r>
      <w:r>
        <w:rPr>
          <w:rFonts w:ascii="Arial" w:eastAsia="仿宋_GB2312;仿宋" w:hAnsi="Arial" w:cs="Arial"/>
          <w:b/>
          <w:sz w:val="28"/>
        </w:rPr>
        <w:t>地块</w:t>
      </w:r>
    </w:p>
    <w:p w14:paraId="741DCBF4" w14:textId="77777777" w:rsidR="00E70101" w:rsidRDefault="0060680B">
      <w:pPr>
        <w:spacing w:line="360" w:lineRule="auto"/>
        <w:ind w:firstLine="563"/>
        <w:jc w:val="both"/>
        <w:rPr>
          <w:rFonts w:ascii="Arial" w:eastAsia="仿宋_GB2312;仿宋" w:hAnsi="Arial" w:cs="Arial"/>
          <w:sz w:val="28"/>
        </w:rPr>
      </w:pPr>
      <w:r>
        <w:rPr>
          <w:rFonts w:ascii="Arial" w:eastAsia="仿宋_GB2312;仿宋" w:hAnsi="Arial" w:cs="Arial"/>
          <w:sz w:val="28"/>
        </w:rPr>
        <w:t>该项目位于顺义区仁和镇，环线位置为东北六环以东，项目类型为土地一级开发项目，审定时间为</w:t>
      </w:r>
      <w:r>
        <w:rPr>
          <w:rFonts w:ascii="Arial" w:eastAsia="仿宋_GB2312;仿宋" w:hAnsi="Arial" w:cs="Arial"/>
          <w:sz w:val="28"/>
        </w:rPr>
        <w:t>2022</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月，土地级别为七级，所处区域目前已拥有较完善的基础设施配套保障，总用地面积</w:t>
      </w:r>
      <w:r>
        <w:rPr>
          <w:rFonts w:ascii="Arial" w:eastAsia="仿宋_GB2312;仿宋" w:hAnsi="Arial" w:cs="Arial"/>
          <w:sz w:val="28"/>
        </w:rPr>
        <w:t>36.15</w:t>
      </w:r>
      <w:r>
        <w:rPr>
          <w:rFonts w:ascii="Arial" w:eastAsia="仿宋_GB2312;仿宋" w:hAnsi="Arial" w:cs="Arial"/>
          <w:sz w:val="28"/>
        </w:rPr>
        <w:t>公顷。该项目审定的征地补偿及相关税费为</w:t>
      </w:r>
      <w:r>
        <w:rPr>
          <w:rFonts w:ascii="Arial" w:eastAsia="仿宋_GB2312;仿宋" w:hAnsi="Arial" w:cs="Arial"/>
          <w:sz w:val="28"/>
        </w:rPr>
        <w:t>41086.4</w:t>
      </w:r>
      <w:r>
        <w:rPr>
          <w:rFonts w:ascii="Arial" w:eastAsia="仿宋_GB2312;仿宋" w:hAnsi="Arial" w:cs="Arial"/>
          <w:sz w:val="28"/>
        </w:rPr>
        <w:t>万元，拆迁补偿费及相关税费为</w:t>
      </w:r>
      <w:r>
        <w:rPr>
          <w:rFonts w:ascii="Arial" w:eastAsia="仿宋_GB2312;仿宋" w:hAnsi="Arial" w:cs="Arial"/>
          <w:sz w:val="28"/>
        </w:rPr>
        <w:t>47612.92</w:t>
      </w:r>
      <w:r>
        <w:rPr>
          <w:rFonts w:ascii="Arial" w:eastAsia="仿宋_GB2312;仿宋" w:hAnsi="Arial" w:cs="Arial"/>
          <w:sz w:val="28"/>
        </w:rPr>
        <w:t>万元，无实物补偿。</w:t>
      </w:r>
    </w:p>
    <w:p w14:paraId="36263ACA" w14:textId="77777777" w:rsidR="00E70101" w:rsidRDefault="0060680B">
      <w:pPr>
        <w:spacing w:line="360" w:lineRule="auto"/>
        <w:ind w:firstLine="563"/>
      </w:pPr>
      <w:r>
        <w:rPr>
          <w:rFonts w:ascii="Arial" w:eastAsia="仿宋_GB2312;仿宋" w:hAnsi="Arial" w:cs="Arial"/>
          <w:sz w:val="28"/>
        </w:rPr>
        <w:t>故该实例在审定时间</w:t>
      </w:r>
      <w:r>
        <w:rPr>
          <w:rFonts w:ascii="Arial" w:eastAsia="仿宋_GB2312;仿宋" w:hAnsi="Arial" w:cs="Arial"/>
          <w:sz w:val="28"/>
        </w:rPr>
        <w:t>2022</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月的征地、拆迁补偿及相关税费单价</w:t>
      </w:r>
      <w:r>
        <w:rPr>
          <w:rFonts w:ascii="Arial" w:eastAsia="仿宋_GB2312;仿宋" w:hAnsi="Arial" w:cs="Arial"/>
          <w:sz w:val="28"/>
        </w:rPr>
        <w:t>=</w:t>
      </w:r>
      <w:r>
        <w:rPr>
          <w:rFonts w:ascii="Arial" w:eastAsia="仿宋_GB2312;仿宋" w:hAnsi="Arial" w:cs="Arial"/>
          <w:sz w:val="28"/>
        </w:rPr>
        <w:t>（</w:t>
      </w:r>
      <w:r>
        <w:rPr>
          <w:rFonts w:ascii="Arial" w:eastAsia="仿宋_GB2312;仿宋" w:hAnsi="Arial" w:cs="Arial"/>
          <w:sz w:val="28"/>
        </w:rPr>
        <w:t>41086.4+47612.92</w:t>
      </w:r>
      <w:r>
        <w:rPr>
          <w:rFonts w:ascii="Arial" w:eastAsia="仿宋_GB2312;仿宋" w:hAnsi="Arial" w:cs="Arial"/>
          <w:sz w:val="28"/>
        </w:rPr>
        <w:t>）</w:t>
      </w:r>
      <w:r>
        <w:rPr>
          <w:rFonts w:ascii="Arial" w:eastAsia="仿宋_GB2312;仿宋" w:hAnsi="Arial" w:cs="Arial"/>
          <w:sz w:val="28"/>
        </w:rPr>
        <w:t>÷36.15=2453.6</w:t>
      </w:r>
      <w:r>
        <w:rPr>
          <w:rFonts w:ascii="Arial" w:eastAsia="仿宋_GB2312;仿宋" w:hAnsi="Arial" w:cs="Arial"/>
          <w:sz w:val="28"/>
        </w:rPr>
        <w:t>（元</w:t>
      </w:r>
      <w:r>
        <w:rPr>
          <w:rFonts w:ascii="Arial" w:eastAsia="仿宋_GB2312;仿宋" w:hAnsi="Arial" w:cs="Arial"/>
          <w:sz w:val="28"/>
        </w:rPr>
        <w:t>/</w:t>
      </w:r>
      <w:r>
        <w:rPr>
          <w:rFonts w:ascii="Arial" w:eastAsia="仿宋_GB2312;仿宋" w:hAnsi="Arial" w:cs="Arial"/>
          <w:sz w:val="28"/>
        </w:rPr>
        <w:t>平方米）</w:t>
      </w:r>
    </w:p>
    <w:p w14:paraId="73AA27A1" w14:textId="77777777" w:rsidR="00E70101" w:rsidRDefault="0060680B">
      <w:pPr>
        <w:spacing w:line="360" w:lineRule="auto"/>
        <w:ind w:firstLine="565"/>
        <w:rPr>
          <w:rFonts w:ascii="Arial" w:eastAsia="仿宋_GB2312;仿宋" w:hAnsi="Arial" w:cs="Arial"/>
          <w:b/>
          <w:sz w:val="28"/>
        </w:rPr>
      </w:pPr>
      <w:r>
        <w:rPr>
          <w:rFonts w:ascii="Arial" w:hAnsi="Arial" w:cs="Arial"/>
          <w:b/>
          <w:sz w:val="28"/>
        </w:rPr>
        <w:t>序号</w:t>
      </w:r>
      <w:r>
        <w:rPr>
          <w:rFonts w:ascii="Arial" w:hAnsi="Arial" w:cs="Arial"/>
          <w:b/>
          <w:sz w:val="28"/>
        </w:rPr>
        <w:t>4</w:t>
      </w:r>
      <w:r>
        <w:rPr>
          <w:rFonts w:ascii="Arial" w:hAnsi="Arial" w:cs="Arial"/>
          <w:b/>
          <w:sz w:val="28"/>
        </w:rPr>
        <w:t>：</w:t>
      </w:r>
      <w:r>
        <w:rPr>
          <w:rFonts w:ascii="Arial" w:eastAsia="仿宋_GB2312;仿宋" w:hAnsi="Arial" w:cs="Arial"/>
          <w:b/>
          <w:sz w:val="28"/>
        </w:rPr>
        <w:t>顺义区</w:t>
      </w:r>
      <w:r>
        <w:rPr>
          <w:rFonts w:ascii="Arial" w:eastAsia="仿宋_GB2312;仿宋" w:hAnsi="Arial" w:cs="Arial"/>
          <w:b/>
          <w:sz w:val="28"/>
        </w:rPr>
        <w:t>M15</w:t>
      </w:r>
      <w:r>
        <w:rPr>
          <w:rFonts w:ascii="Arial" w:eastAsia="仿宋_GB2312;仿宋" w:hAnsi="Arial" w:cs="Arial"/>
          <w:b/>
          <w:sz w:val="28"/>
        </w:rPr>
        <w:t>号线后沙峪站</w:t>
      </w:r>
      <w:r>
        <w:rPr>
          <w:rFonts w:ascii="Arial" w:eastAsia="仿宋_GB2312;仿宋" w:hAnsi="Arial" w:cs="Arial"/>
          <w:b/>
          <w:sz w:val="28"/>
        </w:rPr>
        <w:t>ABC</w:t>
      </w:r>
      <w:r>
        <w:rPr>
          <w:rFonts w:ascii="Arial" w:eastAsia="仿宋_GB2312;仿宋" w:hAnsi="Arial" w:cs="Arial"/>
          <w:b/>
          <w:sz w:val="28"/>
        </w:rPr>
        <w:t>地块</w:t>
      </w:r>
    </w:p>
    <w:p w14:paraId="61BF39EE" w14:textId="77777777" w:rsidR="00E70101" w:rsidRDefault="0060680B">
      <w:pPr>
        <w:spacing w:line="360" w:lineRule="auto"/>
        <w:ind w:firstLine="563"/>
        <w:jc w:val="both"/>
        <w:rPr>
          <w:rFonts w:ascii="Arial" w:eastAsia="仿宋_GB2312;仿宋" w:hAnsi="Arial" w:cs="Arial"/>
          <w:sz w:val="28"/>
        </w:rPr>
      </w:pPr>
      <w:r>
        <w:rPr>
          <w:rFonts w:ascii="Arial" w:eastAsia="仿宋_GB2312;仿宋" w:hAnsi="Arial" w:cs="Arial"/>
          <w:sz w:val="28"/>
        </w:rPr>
        <w:t>该项目位于顺义区后沙峪镇，环线位置为东北六环以西南侧，项目类型为土地一级开发项目，审定时间为</w:t>
      </w:r>
      <w:r>
        <w:rPr>
          <w:rFonts w:ascii="Arial" w:eastAsia="仿宋_GB2312;仿宋" w:hAnsi="Arial" w:cs="Arial"/>
          <w:sz w:val="28"/>
        </w:rPr>
        <w:t>2023</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月，土地级别为六级，所处区域目前已拥有完善的基础设施配套保障，总用地面积</w:t>
      </w:r>
      <w:r>
        <w:rPr>
          <w:rFonts w:ascii="Arial" w:eastAsia="仿宋_GB2312;仿宋" w:hAnsi="Arial" w:cs="Arial"/>
          <w:sz w:val="28"/>
        </w:rPr>
        <w:t>84.72</w:t>
      </w:r>
      <w:r>
        <w:rPr>
          <w:rFonts w:ascii="Arial" w:eastAsia="仿宋_GB2312;仿宋" w:hAnsi="Arial" w:cs="Arial"/>
          <w:sz w:val="28"/>
        </w:rPr>
        <w:t>公顷。该项目审定的征地补偿及相关税费为</w:t>
      </w:r>
      <w:r>
        <w:rPr>
          <w:rFonts w:ascii="Arial" w:eastAsia="仿宋_GB2312;仿宋" w:hAnsi="Arial" w:cs="Arial"/>
          <w:sz w:val="28"/>
        </w:rPr>
        <w:t>36436.78</w:t>
      </w:r>
      <w:r>
        <w:rPr>
          <w:rFonts w:ascii="Arial" w:eastAsia="仿宋_GB2312;仿宋" w:hAnsi="Arial" w:cs="Arial"/>
          <w:sz w:val="28"/>
        </w:rPr>
        <w:t>万元，拆迁补偿费及相关税费为</w:t>
      </w:r>
      <w:r>
        <w:rPr>
          <w:rFonts w:ascii="Arial" w:eastAsia="仿宋_GB2312;仿宋" w:hAnsi="Arial" w:cs="Arial"/>
          <w:sz w:val="28"/>
        </w:rPr>
        <w:t>98258.5</w:t>
      </w:r>
      <w:r>
        <w:rPr>
          <w:rFonts w:ascii="Arial" w:eastAsia="仿宋_GB2312;仿宋" w:hAnsi="Arial" w:cs="Arial"/>
          <w:sz w:val="28"/>
        </w:rPr>
        <w:t>万元，无实物补偿。</w:t>
      </w:r>
    </w:p>
    <w:p w14:paraId="001E55C7" w14:textId="77777777" w:rsidR="00E70101" w:rsidRDefault="0060680B">
      <w:pPr>
        <w:spacing w:line="360" w:lineRule="auto"/>
        <w:ind w:firstLine="563"/>
        <w:jc w:val="both"/>
        <w:rPr>
          <w:rFonts w:ascii="Arial" w:eastAsia="仿宋_GB2312;仿宋" w:hAnsi="Arial" w:cs="Arial"/>
          <w:sz w:val="28"/>
        </w:rPr>
      </w:pPr>
      <w:r>
        <w:rPr>
          <w:rFonts w:ascii="Arial" w:eastAsia="仿宋_GB2312;仿宋" w:hAnsi="Arial" w:cs="Arial"/>
          <w:sz w:val="28"/>
        </w:rPr>
        <w:t>故该实例在审定时间</w:t>
      </w:r>
      <w:r>
        <w:rPr>
          <w:rFonts w:ascii="Arial" w:eastAsia="仿宋_GB2312;仿宋" w:hAnsi="Arial" w:cs="Arial"/>
          <w:sz w:val="28"/>
        </w:rPr>
        <w:t>2023</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月的征地、拆迁补偿及相关税费单价</w:t>
      </w:r>
      <w:r>
        <w:rPr>
          <w:rFonts w:ascii="Arial" w:eastAsia="仿宋_GB2312;仿宋" w:hAnsi="Arial" w:cs="Arial"/>
          <w:sz w:val="28"/>
        </w:rPr>
        <w:t>=</w:t>
      </w:r>
      <w:r>
        <w:rPr>
          <w:rFonts w:ascii="Arial" w:eastAsia="仿宋_GB2312;仿宋" w:hAnsi="Arial" w:cs="Arial"/>
          <w:sz w:val="28"/>
        </w:rPr>
        <w:t>（</w:t>
      </w:r>
      <w:r>
        <w:rPr>
          <w:rFonts w:ascii="Arial" w:eastAsia="仿宋_GB2312;仿宋" w:hAnsi="Arial" w:cs="Arial"/>
          <w:sz w:val="28"/>
        </w:rPr>
        <w:t>36436.78+98258.5</w:t>
      </w:r>
      <w:r>
        <w:rPr>
          <w:rFonts w:ascii="Arial" w:eastAsia="仿宋_GB2312;仿宋" w:hAnsi="Arial" w:cs="Arial"/>
          <w:sz w:val="28"/>
        </w:rPr>
        <w:t>）</w:t>
      </w:r>
      <w:r>
        <w:rPr>
          <w:rFonts w:ascii="Arial" w:eastAsia="仿宋_GB2312;仿宋" w:hAnsi="Arial" w:cs="Arial"/>
          <w:sz w:val="28"/>
        </w:rPr>
        <w:t>÷84.72=1589.9</w:t>
      </w:r>
      <w:r>
        <w:rPr>
          <w:rFonts w:ascii="Arial" w:eastAsia="仿宋_GB2312;仿宋" w:hAnsi="Arial" w:cs="Arial"/>
          <w:sz w:val="28"/>
        </w:rPr>
        <w:t>（元</w:t>
      </w:r>
      <w:r>
        <w:rPr>
          <w:rFonts w:ascii="Arial" w:eastAsia="仿宋_GB2312;仿宋" w:hAnsi="Arial" w:cs="Arial"/>
          <w:sz w:val="28"/>
        </w:rPr>
        <w:t>/</w:t>
      </w:r>
      <w:r>
        <w:rPr>
          <w:rFonts w:ascii="Arial" w:eastAsia="仿宋_GB2312;仿宋" w:hAnsi="Arial" w:cs="Arial"/>
          <w:sz w:val="28"/>
        </w:rPr>
        <w:t>平方米）</w:t>
      </w:r>
    </w:p>
    <w:p w14:paraId="26CD5F81" w14:textId="77777777" w:rsidR="00E70101" w:rsidRDefault="00E70101">
      <w:pPr>
        <w:spacing w:line="360" w:lineRule="auto"/>
        <w:ind w:firstLine="560"/>
        <w:jc w:val="both"/>
        <w:rPr>
          <w:rFonts w:ascii="Arial" w:eastAsia="仿宋_GB2312;仿宋" w:hAnsi="Arial" w:cs="Arial"/>
          <w:sz w:val="28"/>
        </w:rPr>
      </w:pPr>
    </w:p>
    <w:p w14:paraId="2FD591C9" w14:textId="77777777" w:rsidR="00E70101" w:rsidRDefault="00E70101">
      <w:pPr>
        <w:spacing w:line="360" w:lineRule="auto"/>
        <w:ind w:firstLine="560"/>
        <w:jc w:val="both"/>
        <w:rPr>
          <w:rFonts w:ascii="Arial" w:eastAsia="仿宋_GB2312;仿宋" w:hAnsi="Arial" w:cs="Arial"/>
          <w:sz w:val="28"/>
        </w:rPr>
      </w:pPr>
    </w:p>
    <w:p w14:paraId="2F469D8B" w14:textId="77777777" w:rsidR="00E70101" w:rsidRDefault="00E70101">
      <w:pPr>
        <w:spacing w:line="360" w:lineRule="auto"/>
        <w:ind w:firstLine="560"/>
        <w:jc w:val="both"/>
        <w:rPr>
          <w:rFonts w:ascii="Arial" w:eastAsia="仿宋_GB2312;仿宋" w:hAnsi="Arial" w:cs="Arial"/>
          <w:sz w:val="28"/>
        </w:rPr>
      </w:pPr>
    </w:p>
    <w:p w14:paraId="4316A8F3" w14:textId="77777777" w:rsidR="00E70101" w:rsidRDefault="00E70101">
      <w:pPr>
        <w:spacing w:line="360" w:lineRule="auto"/>
        <w:ind w:firstLine="560"/>
        <w:jc w:val="both"/>
        <w:rPr>
          <w:rFonts w:ascii="Arial" w:eastAsia="仿宋_GB2312;仿宋" w:hAnsi="Arial" w:cs="Arial"/>
          <w:sz w:val="28"/>
        </w:rPr>
      </w:pPr>
    </w:p>
    <w:p w14:paraId="575C48BE" w14:textId="77777777" w:rsidR="00E70101" w:rsidRDefault="0060680B">
      <w:pPr>
        <w:spacing w:line="360" w:lineRule="auto"/>
        <w:ind w:firstLine="560"/>
        <w:jc w:val="both"/>
        <w:rPr>
          <w:rFonts w:ascii="Arial" w:eastAsia="仿宋_GB2312;仿宋" w:hAnsi="Arial" w:cs="Arial"/>
          <w:sz w:val="28"/>
        </w:rPr>
      </w:pPr>
      <w:r>
        <w:br w:type="page"/>
      </w:r>
    </w:p>
    <w:p w14:paraId="0A5F9265"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根据替代原则，对上述案例进行修正：</w:t>
      </w:r>
    </w:p>
    <w:p w14:paraId="0F7FD95A" w14:textId="77777777" w:rsidR="00E70101" w:rsidRDefault="0060680B">
      <w:pPr>
        <w:spacing w:line="360" w:lineRule="auto"/>
        <w:ind w:firstLine="482"/>
        <w:jc w:val="center"/>
        <w:rPr>
          <w:rFonts w:cs="Arial"/>
        </w:rPr>
      </w:pPr>
      <w:r>
        <w:rPr>
          <w:rFonts w:ascii="Arial" w:eastAsia="仿宋_GB2312;仿宋" w:hAnsi="Arial" w:cs="Arial"/>
          <w:b/>
          <w:bCs/>
          <w:sz w:val="28"/>
          <w:szCs w:val="24"/>
        </w:rPr>
        <w:t>比较因素条件说明及指数表</w:t>
      </w:r>
    </w:p>
    <w:tbl>
      <w:tblPr>
        <w:tblW w:w="5000" w:type="pct"/>
        <w:jc w:val="center"/>
        <w:tblCellMar>
          <w:top w:w="28" w:type="dxa"/>
          <w:left w:w="28" w:type="dxa"/>
          <w:bottom w:w="28" w:type="dxa"/>
          <w:right w:w="28" w:type="dxa"/>
        </w:tblCellMar>
        <w:tblLook w:val="0000" w:firstRow="0" w:lastRow="0" w:firstColumn="0" w:lastColumn="0" w:noHBand="0" w:noVBand="0"/>
      </w:tblPr>
      <w:tblGrid>
        <w:gridCol w:w="767"/>
        <w:gridCol w:w="1506"/>
        <w:gridCol w:w="1309"/>
        <w:gridCol w:w="417"/>
        <w:gridCol w:w="1291"/>
        <w:gridCol w:w="506"/>
        <w:gridCol w:w="1272"/>
        <w:gridCol w:w="506"/>
        <w:gridCol w:w="1210"/>
        <w:gridCol w:w="508"/>
      </w:tblGrid>
      <w:tr w:rsidR="00E70101" w14:paraId="0F698E65" w14:textId="77777777">
        <w:trPr>
          <w:cantSplit/>
          <w:jc w:val="center"/>
        </w:trPr>
        <w:tc>
          <w:tcPr>
            <w:tcW w:w="2279" w:type="dxa"/>
            <w:gridSpan w:val="2"/>
            <w:vMerge w:val="restart"/>
            <w:tcBorders>
              <w:top w:val="single" w:sz="2" w:space="0" w:color="404040"/>
              <w:left w:val="single" w:sz="2" w:space="0" w:color="404040"/>
              <w:bottom w:val="single" w:sz="2" w:space="0" w:color="404040"/>
            </w:tcBorders>
            <w:shd w:val="clear" w:color="auto" w:fill="auto"/>
            <w:vAlign w:val="center"/>
          </w:tcPr>
          <w:p w14:paraId="36C20F10" w14:textId="77777777" w:rsidR="00E70101" w:rsidRDefault="0060680B">
            <w:pPr>
              <w:widowControl/>
              <w:spacing w:line="240" w:lineRule="exact"/>
              <w:rPr>
                <w:rFonts w:ascii="仿宋" w:eastAsia="仿宋" w:hAnsi="仿宋" w:cs="Arial"/>
                <w:sz w:val="18"/>
                <w:szCs w:val="18"/>
              </w:rPr>
            </w:pPr>
            <w:r>
              <w:rPr>
                <w:rFonts w:ascii="仿宋" w:eastAsia="仿宋" w:hAnsi="仿宋" w:cs="Arial"/>
                <w:sz w:val="18"/>
                <w:szCs w:val="18"/>
              </w:rPr>
              <w:t>比较因素</w:t>
            </w:r>
          </w:p>
        </w:tc>
        <w:tc>
          <w:tcPr>
            <w:tcW w:w="1727" w:type="dxa"/>
            <w:gridSpan w:val="2"/>
            <w:tcBorders>
              <w:top w:val="single" w:sz="2" w:space="0" w:color="404040"/>
              <w:left w:val="single" w:sz="2" w:space="0" w:color="404040"/>
              <w:bottom w:val="single" w:sz="2" w:space="0" w:color="404040"/>
            </w:tcBorders>
            <w:shd w:val="clear" w:color="auto" w:fill="auto"/>
            <w:vAlign w:val="center"/>
          </w:tcPr>
          <w:p w14:paraId="4DC8A996"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估价对象</w:t>
            </w:r>
          </w:p>
        </w:tc>
        <w:tc>
          <w:tcPr>
            <w:tcW w:w="1795" w:type="dxa"/>
            <w:gridSpan w:val="2"/>
            <w:tcBorders>
              <w:top w:val="single" w:sz="2" w:space="0" w:color="404040"/>
              <w:left w:val="single" w:sz="2" w:space="0" w:color="404040"/>
              <w:bottom w:val="single" w:sz="2" w:space="0" w:color="404040"/>
            </w:tcBorders>
            <w:shd w:val="clear" w:color="auto" w:fill="auto"/>
            <w:vAlign w:val="center"/>
          </w:tcPr>
          <w:p w14:paraId="261EB1FD"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实例：D</w:t>
            </w:r>
          </w:p>
        </w:tc>
        <w:tc>
          <w:tcPr>
            <w:tcW w:w="1777" w:type="dxa"/>
            <w:gridSpan w:val="2"/>
            <w:tcBorders>
              <w:top w:val="single" w:sz="2" w:space="0" w:color="404040"/>
              <w:left w:val="single" w:sz="2" w:space="0" w:color="404040"/>
              <w:bottom w:val="single" w:sz="2" w:space="0" w:color="404040"/>
            </w:tcBorders>
            <w:shd w:val="clear" w:color="auto" w:fill="auto"/>
            <w:vAlign w:val="center"/>
          </w:tcPr>
          <w:p w14:paraId="029F103B"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实例：E</w:t>
            </w:r>
          </w:p>
        </w:tc>
        <w:tc>
          <w:tcPr>
            <w:tcW w:w="1720" w:type="dxa"/>
            <w:gridSpan w:val="2"/>
            <w:tcBorders>
              <w:top w:val="single" w:sz="2" w:space="0" w:color="404040"/>
              <w:left w:val="single" w:sz="2" w:space="0" w:color="404040"/>
              <w:bottom w:val="single" w:sz="2" w:space="0" w:color="404040"/>
              <w:right w:val="single" w:sz="2" w:space="0" w:color="404040"/>
            </w:tcBorders>
            <w:shd w:val="clear" w:color="auto" w:fill="auto"/>
            <w:vAlign w:val="center"/>
          </w:tcPr>
          <w:p w14:paraId="2B3E4854"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实例：F</w:t>
            </w:r>
          </w:p>
        </w:tc>
      </w:tr>
      <w:tr w:rsidR="00E70101" w14:paraId="0D43B020" w14:textId="77777777">
        <w:trPr>
          <w:cantSplit/>
          <w:trHeight w:val="964"/>
          <w:jc w:val="center"/>
        </w:trPr>
        <w:tc>
          <w:tcPr>
            <w:tcW w:w="2279" w:type="dxa"/>
            <w:gridSpan w:val="2"/>
            <w:vMerge/>
            <w:tcBorders>
              <w:top w:val="single" w:sz="2" w:space="0" w:color="404040"/>
              <w:left w:val="single" w:sz="2" w:space="0" w:color="404040"/>
              <w:bottom w:val="single" w:sz="2" w:space="0" w:color="404040"/>
            </w:tcBorders>
            <w:shd w:val="clear" w:color="auto" w:fill="auto"/>
            <w:vAlign w:val="center"/>
          </w:tcPr>
          <w:p w14:paraId="5F8874EF" w14:textId="77777777" w:rsidR="00E70101" w:rsidRDefault="00E70101">
            <w:pPr>
              <w:widowControl/>
              <w:snapToGrid w:val="0"/>
              <w:rPr>
                <w:rFonts w:ascii="仿宋" w:eastAsia="仿宋" w:hAnsi="仿宋" w:cs="Arial"/>
                <w:kern w:val="2"/>
                <w:sz w:val="18"/>
                <w:szCs w:val="18"/>
              </w:rPr>
            </w:pPr>
          </w:p>
        </w:tc>
        <w:tc>
          <w:tcPr>
            <w:tcW w:w="1310" w:type="dxa"/>
            <w:tcBorders>
              <w:top w:val="single" w:sz="2" w:space="0" w:color="808080"/>
              <w:left w:val="single" w:sz="2" w:space="0" w:color="808080"/>
              <w:bottom w:val="single" w:sz="2" w:space="0" w:color="404040"/>
            </w:tcBorders>
            <w:shd w:val="clear" w:color="auto" w:fill="auto"/>
            <w:vAlign w:val="center"/>
          </w:tcPr>
          <w:p w14:paraId="10FAD02A" w14:textId="77777777" w:rsidR="00E70101" w:rsidRDefault="0060680B">
            <w:pPr>
              <w:spacing w:line="240" w:lineRule="exact"/>
              <w:jc w:val="both"/>
              <w:rPr>
                <w:rFonts w:ascii="仿宋" w:eastAsia="仿宋" w:hAnsi="仿宋" w:cs="Arial"/>
                <w:sz w:val="18"/>
                <w:szCs w:val="18"/>
              </w:rPr>
            </w:pPr>
            <w:r>
              <w:rPr>
                <w:rFonts w:ascii="仿宋" w:eastAsia="仿宋" w:hAnsi="仿宋" w:cs="Arial"/>
                <w:sz w:val="18"/>
                <w:szCs w:val="18"/>
              </w:rPr>
              <w:t>北京市昌平区北七家镇八仙庄村仓储用地</w:t>
            </w:r>
          </w:p>
        </w:tc>
        <w:tc>
          <w:tcPr>
            <w:tcW w:w="417" w:type="dxa"/>
            <w:tcBorders>
              <w:top w:val="single" w:sz="2" w:space="0" w:color="808080"/>
              <w:left w:val="single" w:sz="2" w:space="0" w:color="808080"/>
              <w:bottom w:val="single" w:sz="2" w:space="0" w:color="808080"/>
            </w:tcBorders>
            <w:shd w:val="clear" w:color="auto" w:fill="auto"/>
            <w:vAlign w:val="center"/>
          </w:tcPr>
          <w:p w14:paraId="01109ED9" w14:textId="77777777" w:rsidR="00E70101" w:rsidRDefault="0060680B">
            <w:pPr>
              <w:spacing w:line="240" w:lineRule="exact"/>
              <w:jc w:val="both"/>
              <w:rPr>
                <w:rFonts w:ascii="仿宋" w:eastAsia="仿宋" w:hAnsi="仿宋" w:cs="Arial"/>
                <w:sz w:val="18"/>
                <w:szCs w:val="18"/>
              </w:rPr>
            </w:pPr>
            <w:r>
              <w:rPr>
                <w:rFonts w:ascii="仿宋" w:eastAsia="仿宋" w:hAnsi="仿宋" w:cs="Arial"/>
                <w:sz w:val="18"/>
                <w:szCs w:val="18"/>
              </w:rPr>
              <w:t>系数</w:t>
            </w:r>
          </w:p>
        </w:tc>
        <w:tc>
          <w:tcPr>
            <w:tcW w:w="1293" w:type="dxa"/>
            <w:tcBorders>
              <w:top w:val="single" w:sz="2" w:space="0" w:color="808080"/>
              <w:left w:val="single" w:sz="2" w:space="0" w:color="808080"/>
              <w:bottom w:val="single" w:sz="2" w:space="0" w:color="404040"/>
            </w:tcBorders>
            <w:shd w:val="clear" w:color="auto" w:fill="auto"/>
            <w:vAlign w:val="center"/>
          </w:tcPr>
          <w:p w14:paraId="75AA9829" w14:textId="77777777" w:rsidR="00E70101" w:rsidRDefault="0060680B">
            <w:pPr>
              <w:spacing w:line="240" w:lineRule="exact"/>
              <w:jc w:val="both"/>
              <w:rPr>
                <w:rFonts w:ascii="仿宋" w:eastAsia="仿宋" w:hAnsi="仿宋" w:cs="Arial"/>
                <w:sz w:val="18"/>
                <w:szCs w:val="18"/>
              </w:rPr>
            </w:pPr>
            <w:r>
              <w:rPr>
                <w:rFonts w:ascii="仿宋" w:eastAsia="仿宋" w:hAnsi="仿宋" w:cs="Arial"/>
                <w:sz w:val="18"/>
                <w:szCs w:val="18"/>
              </w:rPr>
              <w:t>北京市顺义区国展预留地剩余地块土地一级开发项目</w:t>
            </w:r>
          </w:p>
        </w:tc>
        <w:tc>
          <w:tcPr>
            <w:tcW w:w="502" w:type="dxa"/>
            <w:tcBorders>
              <w:top w:val="single" w:sz="2" w:space="0" w:color="808080"/>
              <w:left w:val="single" w:sz="2" w:space="0" w:color="808080"/>
              <w:bottom w:val="single" w:sz="2" w:space="0" w:color="808080"/>
            </w:tcBorders>
            <w:shd w:val="clear" w:color="auto" w:fill="auto"/>
            <w:vAlign w:val="center"/>
          </w:tcPr>
          <w:p w14:paraId="2C9C58FA" w14:textId="77777777" w:rsidR="00E70101" w:rsidRDefault="0060680B">
            <w:pPr>
              <w:spacing w:line="240" w:lineRule="exact"/>
              <w:jc w:val="both"/>
              <w:rPr>
                <w:rFonts w:ascii="仿宋" w:eastAsia="仿宋" w:hAnsi="仿宋" w:cs="Arial"/>
                <w:sz w:val="18"/>
                <w:szCs w:val="18"/>
              </w:rPr>
            </w:pPr>
            <w:r>
              <w:rPr>
                <w:rFonts w:ascii="仿宋" w:eastAsia="仿宋" w:hAnsi="仿宋" w:cs="Arial"/>
                <w:sz w:val="18"/>
                <w:szCs w:val="18"/>
              </w:rPr>
              <w:t>系数</w:t>
            </w:r>
          </w:p>
        </w:tc>
        <w:tc>
          <w:tcPr>
            <w:tcW w:w="1274" w:type="dxa"/>
            <w:tcBorders>
              <w:top w:val="single" w:sz="2" w:space="0" w:color="808080"/>
              <w:left w:val="single" w:sz="2" w:space="0" w:color="808080"/>
              <w:bottom w:val="single" w:sz="2" w:space="0" w:color="404040"/>
            </w:tcBorders>
            <w:shd w:val="clear" w:color="auto" w:fill="auto"/>
            <w:vAlign w:val="center"/>
          </w:tcPr>
          <w:p w14:paraId="050E4C69" w14:textId="77777777" w:rsidR="00E70101" w:rsidRDefault="0060680B">
            <w:pPr>
              <w:widowControl/>
              <w:spacing w:line="240" w:lineRule="auto"/>
              <w:jc w:val="both"/>
              <w:textAlignment w:val="auto"/>
              <w:rPr>
                <w:rFonts w:ascii="仿宋" w:eastAsia="仿宋" w:hAnsi="仿宋" w:cs="Arial"/>
                <w:sz w:val="18"/>
                <w:szCs w:val="18"/>
              </w:rPr>
            </w:pPr>
            <w:r>
              <w:rPr>
                <w:rFonts w:ascii="仿宋" w:eastAsia="仿宋" w:hAnsi="仿宋" w:cs="Arial"/>
                <w:sz w:val="18"/>
                <w:szCs w:val="18"/>
              </w:rPr>
              <w:t>北京市顺义区仁和镇平各庄村B地块土地一级开发项目</w:t>
            </w:r>
          </w:p>
        </w:tc>
        <w:tc>
          <w:tcPr>
            <w:tcW w:w="503" w:type="dxa"/>
            <w:tcBorders>
              <w:top w:val="single" w:sz="2" w:space="0" w:color="808080"/>
              <w:left w:val="single" w:sz="2" w:space="0" w:color="808080"/>
              <w:bottom w:val="single" w:sz="2" w:space="0" w:color="808080"/>
            </w:tcBorders>
            <w:shd w:val="clear" w:color="auto" w:fill="auto"/>
            <w:vAlign w:val="center"/>
          </w:tcPr>
          <w:p w14:paraId="1096069A" w14:textId="77777777" w:rsidR="00E70101" w:rsidRDefault="0060680B">
            <w:pPr>
              <w:spacing w:line="240" w:lineRule="auto"/>
              <w:jc w:val="both"/>
              <w:rPr>
                <w:rFonts w:ascii="仿宋" w:eastAsia="仿宋" w:hAnsi="仿宋" w:cs="Arial"/>
                <w:sz w:val="18"/>
                <w:szCs w:val="18"/>
              </w:rPr>
            </w:pPr>
            <w:r>
              <w:rPr>
                <w:rFonts w:ascii="仿宋" w:eastAsia="仿宋" w:hAnsi="仿宋" w:cs="Arial"/>
                <w:sz w:val="18"/>
                <w:szCs w:val="18"/>
              </w:rPr>
              <w:t>系数</w:t>
            </w:r>
          </w:p>
        </w:tc>
        <w:tc>
          <w:tcPr>
            <w:tcW w:w="1212" w:type="dxa"/>
            <w:tcBorders>
              <w:top w:val="single" w:sz="2" w:space="0" w:color="808080"/>
              <w:left w:val="single" w:sz="2" w:space="0" w:color="808080"/>
              <w:bottom w:val="single" w:sz="2" w:space="0" w:color="404040"/>
            </w:tcBorders>
            <w:shd w:val="clear" w:color="auto" w:fill="auto"/>
            <w:vAlign w:val="center"/>
          </w:tcPr>
          <w:p w14:paraId="66880D19" w14:textId="77777777" w:rsidR="00E70101" w:rsidRDefault="0060680B">
            <w:pPr>
              <w:widowControl/>
              <w:spacing w:line="240" w:lineRule="auto"/>
              <w:jc w:val="both"/>
              <w:textAlignment w:val="auto"/>
            </w:pPr>
            <w:r>
              <w:rPr>
                <w:rFonts w:ascii="仿宋" w:eastAsia="仿宋" w:hAnsi="仿宋" w:cs="Arial"/>
                <w:sz w:val="18"/>
                <w:szCs w:val="18"/>
              </w:rPr>
              <w:t>北京市顺义区M15号线后沙峪站ABC地块</w:t>
            </w:r>
          </w:p>
        </w:tc>
        <w:tc>
          <w:tcPr>
            <w:tcW w:w="508" w:type="dxa"/>
            <w:tcBorders>
              <w:top w:val="single" w:sz="2" w:space="0" w:color="808080"/>
              <w:left w:val="single" w:sz="2" w:space="0" w:color="808080"/>
              <w:bottom w:val="single" w:sz="2" w:space="0" w:color="808080"/>
              <w:right w:val="single" w:sz="2" w:space="0" w:color="808080"/>
            </w:tcBorders>
            <w:shd w:val="clear" w:color="auto" w:fill="auto"/>
            <w:vAlign w:val="center"/>
          </w:tcPr>
          <w:p w14:paraId="0C6B590B" w14:textId="77777777" w:rsidR="00E70101" w:rsidRDefault="0060680B">
            <w:pPr>
              <w:spacing w:line="240" w:lineRule="exact"/>
              <w:jc w:val="both"/>
              <w:rPr>
                <w:rFonts w:ascii="仿宋" w:eastAsia="仿宋" w:hAnsi="仿宋" w:cs="Arial"/>
                <w:sz w:val="18"/>
                <w:szCs w:val="18"/>
              </w:rPr>
            </w:pPr>
            <w:r>
              <w:rPr>
                <w:rFonts w:ascii="仿宋" w:eastAsia="仿宋" w:hAnsi="仿宋" w:cs="Arial"/>
                <w:sz w:val="18"/>
                <w:szCs w:val="18"/>
              </w:rPr>
              <w:t>系数</w:t>
            </w:r>
          </w:p>
        </w:tc>
      </w:tr>
      <w:tr w:rsidR="00E70101" w14:paraId="4C59C844" w14:textId="77777777">
        <w:trPr>
          <w:cantSplit/>
          <w:jc w:val="center"/>
        </w:trPr>
        <w:tc>
          <w:tcPr>
            <w:tcW w:w="2279" w:type="dxa"/>
            <w:gridSpan w:val="2"/>
            <w:tcBorders>
              <w:top w:val="single" w:sz="2" w:space="0" w:color="808080"/>
              <w:left w:val="single" w:sz="2" w:space="0" w:color="808080"/>
              <w:bottom w:val="single" w:sz="2" w:space="0" w:color="808080"/>
            </w:tcBorders>
            <w:shd w:val="clear" w:color="auto" w:fill="auto"/>
            <w:vAlign w:val="center"/>
          </w:tcPr>
          <w:p w14:paraId="78C866C8" w14:textId="77777777" w:rsidR="00E70101" w:rsidRDefault="0060680B">
            <w:pPr>
              <w:widowControl/>
              <w:spacing w:line="240" w:lineRule="exact"/>
              <w:rPr>
                <w:rFonts w:ascii="仿宋" w:eastAsia="仿宋" w:hAnsi="仿宋" w:cs="Arial"/>
                <w:sz w:val="18"/>
                <w:szCs w:val="18"/>
              </w:rPr>
            </w:pPr>
            <w:r>
              <w:rPr>
                <w:rFonts w:ascii="仿宋" w:eastAsia="仿宋" w:hAnsi="仿宋" w:cs="Arial"/>
                <w:sz w:val="18"/>
                <w:szCs w:val="18"/>
              </w:rPr>
              <w:t>交易时间</w:t>
            </w:r>
          </w:p>
        </w:tc>
        <w:tc>
          <w:tcPr>
            <w:tcW w:w="1310" w:type="dxa"/>
            <w:tcBorders>
              <w:top w:val="single" w:sz="2" w:space="0" w:color="808080"/>
              <w:left w:val="single" w:sz="2" w:space="0" w:color="808080"/>
              <w:bottom w:val="single" w:sz="2" w:space="0" w:color="808080"/>
            </w:tcBorders>
            <w:shd w:val="clear" w:color="auto" w:fill="auto"/>
            <w:vAlign w:val="center"/>
          </w:tcPr>
          <w:p w14:paraId="3B1BF879"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2024年3月31日</w:t>
            </w:r>
          </w:p>
        </w:tc>
        <w:tc>
          <w:tcPr>
            <w:tcW w:w="417" w:type="dxa"/>
            <w:tcBorders>
              <w:top w:val="single" w:sz="2" w:space="0" w:color="808080"/>
              <w:left w:val="single" w:sz="2" w:space="0" w:color="808080"/>
              <w:bottom w:val="single" w:sz="2" w:space="0" w:color="808080"/>
            </w:tcBorders>
            <w:shd w:val="clear" w:color="auto" w:fill="auto"/>
            <w:vAlign w:val="center"/>
          </w:tcPr>
          <w:p w14:paraId="3B181080"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93" w:type="dxa"/>
            <w:tcBorders>
              <w:top w:val="single" w:sz="2" w:space="0" w:color="808080"/>
              <w:left w:val="single" w:sz="2" w:space="0" w:color="808080"/>
              <w:bottom w:val="single" w:sz="2" w:space="0" w:color="808080"/>
            </w:tcBorders>
            <w:shd w:val="clear" w:color="auto" w:fill="auto"/>
            <w:vAlign w:val="center"/>
          </w:tcPr>
          <w:p w14:paraId="253DD079"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2020年10月</w:t>
            </w:r>
          </w:p>
        </w:tc>
        <w:tc>
          <w:tcPr>
            <w:tcW w:w="502" w:type="dxa"/>
            <w:tcBorders>
              <w:top w:val="single" w:sz="2" w:space="0" w:color="808080"/>
              <w:left w:val="single" w:sz="2" w:space="0" w:color="808080"/>
              <w:bottom w:val="single" w:sz="2" w:space="0" w:color="808080"/>
            </w:tcBorders>
            <w:shd w:val="clear" w:color="auto" w:fill="auto"/>
            <w:vAlign w:val="center"/>
          </w:tcPr>
          <w:p w14:paraId="4F7380DB"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91.48</w:t>
            </w:r>
          </w:p>
        </w:tc>
        <w:tc>
          <w:tcPr>
            <w:tcW w:w="1274" w:type="dxa"/>
            <w:tcBorders>
              <w:top w:val="single" w:sz="2" w:space="0" w:color="808080"/>
              <w:left w:val="single" w:sz="2" w:space="0" w:color="808080"/>
              <w:bottom w:val="single" w:sz="2" w:space="0" w:color="808080"/>
            </w:tcBorders>
            <w:shd w:val="clear" w:color="auto" w:fill="auto"/>
            <w:vAlign w:val="center"/>
          </w:tcPr>
          <w:p w14:paraId="1D2335AA"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2022年4月</w:t>
            </w:r>
          </w:p>
        </w:tc>
        <w:tc>
          <w:tcPr>
            <w:tcW w:w="503" w:type="dxa"/>
            <w:tcBorders>
              <w:top w:val="single" w:sz="2" w:space="0" w:color="808080"/>
              <w:left w:val="single" w:sz="2" w:space="0" w:color="808080"/>
              <w:bottom w:val="single" w:sz="2" w:space="0" w:color="808080"/>
            </w:tcBorders>
            <w:shd w:val="clear" w:color="auto" w:fill="auto"/>
            <w:vAlign w:val="center"/>
          </w:tcPr>
          <w:p w14:paraId="6ACE8802"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95.01</w:t>
            </w:r>
          </w:p>
        </w:tc>
        <w:tc>
          <w:tcPr>
            <w:tcW w:w="1212" w:type="dxa"/>
            <w:tcBorders>
              <w:top w:val="single" w:sz="2" w:space="0" w:color="808080"/>
              <w:left w:val="single" w:sz="2" w:space="0" w:color="808080"/>
              <w:bottom w:val="single" w:sz="2" w:space="0" w:color="808080"/>
            </w:tcBorders>
            <w:shd w:val="clear" w:color="auto" w:fill="auto"/>
            <w:vAlign w:val="center"/>
          </w:tcPr>
          <w:p w14:paraId="104498FC" w14:textId="77777777" w:rsidR="00E70101" w:rsidRDefault="0060680B">
            <w:pPr>
              <w:spacing w:line="240" w:lineRule="exact"/>
            </w:pPr>
            <w:r>
              <w:rPr>
                <w:rFonts w:ascii="仿宋" w:eastAsia="仿宋" w:hAnsi="仿宋" w:cs="Arial"/>
                <w:sz w:val="18"/>
                <w:szCs w:val="18"/>
              </w:rPr>
              <w:t>2023年3月</w:t>
            </w:r>
          </w:p>
        </w:tc>
        <w:tc>
          <w:tcPr>
            <w:tcW w:w="508" w:type="dxa"/>
            <w:tcBorders>
              <w:top w:val="single" w:sz="2" w:space="0" w:color="808080"/>
              <w:left w:val="single" w:sz="2" w:space="0" w:color="808080"/>
              <w:bottom w:val="single" w:sz="2" w:space="0" w:color="808080"/>
              <w:right w:val="single" w:sz="2" w:space="0" w:color="808080"/>
            </w:tcBorders>
            <w:shd w:val="clear" w:color="auto" w:fill="auto"/>
            <w:vAlign w:val="center"/>
          </w:tcPr>
          <w:p w14:paraId="32ADB086"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97.26</w:t>
            </w:r>
          </w:p>
        </w:tc>
      </w:tr>
      <w:tr w:rsidR="00E70101" w14:paraId="39BE62EF" w14:textId="77777777">
        <w:trPr>
          <w:cantSplit/>
          <w:jc w:val="center"/>
        </w:trPr>
        <w:tc>
          <w:tcPr>
            <w:tcW w:w="2279" w:type="dxa"/>
            <w:gridSpan w:val="2"/>
            <w:tcBorders>
              <w:top w:val="single" w:sz="2" w:space="0" w:color="808080"/>
              <w:left w:val="single" w:sz="2" w:space="0" w:color="808080"/>
              <w:bottom w:val="single" w:sz="2" w:space="0" w:color="808080"/>
            </w:tcBorders>
            <w:shd w:val="clear" w:color="auto" w:fill="auto"/>
            <w:vAlign w:val="center"/>
          </w:tcPr>
          <w:p w14:paraId="2B64AC66" w14:textId="77777777" w:rsidR="00E70101" w:rsidRDefault="0060680B">
            <w:pPr>
              <w:widowControl/>
              <w:spacing w:line="240" w:lineRule="exact"/>
              <w:rPr>
                <w:rFonts w:ascii="仿宋" w:eastAsia="仿宋" w:hAnsi="仿宋" w:cs="Arial"/>
                <w:sz w:val="18"/>
                <w:szCs w:val="18"/>
              </w:rPr>
            </w:pPr>
            <w:r>
              <w:rPr>
                <w:rFonts w:ascii="仿宋" w:eastAsia="仿宋" w:hAnsi="仿宋" w:cs="Arial"/>
                <w:sz w:val="18"/>
                <w:szCs w:val="18"/>
              </w:rPr>
              <w:t>市场状况</w:t>
            </w:r>
          </w:p>
        </w:tc>
        <w:tc>
          <w:tcPr>
            <w:tcW w:w="1310" w:type="dxa"/>
            <w:tcBorders>
              <w:top w:val="single" w:sz="2" w:space="0" w:color="808080"/>
              <w:left w:val="single" w:sz="2" w:space="0" w:color="808080"/>
              <w:bottom w:val="single" w:sz="2" w:space="0" w:color="808080"/>
            </w:tcBorders>
            <w:shd w:val="clear" w:color="auto" w:fill="auto"/>
            <w:vAlign w:val="center"/>
          </w:tcPr>
          <w:p w14:paraId="50369AC6"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正常</w:t>
            </w:r>
          </w:p>
        </w:tc>
        <w:tc>
          <w:tcPr>
            <w:tcW w:w="417" w:type="dxa"/>
            <w:tcBorders>
              <w:top w:val="single" w:sz="2" w:space="0" w:color="808080"/>
              <w:left w:val="single" w:sz="2" w:space="0" w:color="808080"/>
              <w:bottom w:val="single" w:sz="2" w:space="0" w:color="808080"/>
            </w:tcBorders>
            <w:shd w:val="clear" w:color="auto" w:fill="auto"/>
            <w:vAlign w:val="center"/>
          </w:tcPr>
          <w:p w14:paraId="59DC6FFA"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93" w:type="dxa"/>
            <w:tcBorders>
              <w:top w:val="single" w:sz="2" w:space="0" w:color="808080"/>
              <w:left w:val="single" w:sz="2" w:space="0" w:color="808080"/>
              <w:bottom w:val="single" w:sz="2" w:space="0" w:color="808080"/>
            </w:tcBorders>
            <w:shd w:val="clear" w:color="auto" w:fill="auto"/>
            <w:vAlign w:val="center"/>
          </w:tcPr>
          <w:p w14:paraId="78C09FAF"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正常</w:t>
            </w:r>
          </w:p>
        </w:tc>
        <w:tc>
          <w:tcPr>
            <w:tcW w:w="502" w:type="dxa"/>
            <w:tcBorders>
              <w:top w:val="single" w:sz="2" w:space="0" w:color="808080"/>
              <w:left w:val="single" w:sz="2" w:space="0" w:color="808080"/>
              <w:bottom w:val="single" w:sz="2" w:space="0" w:color="808080"/>
            </w:tcBorders>
            <w:shd w:val="clear" w:color="auto" w:fill="auto"/>
            <w:vAlign w:val="center"/>
          </w:tcPr>
          <w:p w14:paraId="10BB02ED"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74" w:type="dxa"/>
            <w:tcBorders>
              <w:top w:val="single" w:sz="2" w:space="0" w:color="808080"/>
              <w:left w:val="single" w:sz="2" w:space="0" w:color="808080"/>
              <w:bottom w:val="single" w:sz="2" w:space="0" w:color="808080"/>
            </w:tcBorders>
            <w:shd w:val="clear" w:color="auto" w:fill="auto"/>
            <w:vAlign w:val="center"/>
          </w:tcPr>
          <w:p w14:paraId="716BE56F"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正常</w:t>
            </w:r>
          </w:p>
        </w:tc>
        <w:tc>
          <w:tcPr>
            <w:tcW w:w="503" w:type="dxa"/>
            <w:tcBorders>
              <w:top w:val="single" w:sz="2" w:space="0" w:color="808080"/>
              <w:left w:val="single" w:sz="2" w:space="0" w:color="808080"/>
              <w:bottom w:val="single" w:sz="2" w:space="0" w:color="808080"/>
            </w:tcBorders>
            <w:shd w:val="clear" w:color="auto" w:fill="auto"/>
            <w:vAlign w:val="center"/>
          </w:tcPr>
          <w:p w14:paraId="534DBB06"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12" w:type="dxa"/>
            <w:tcBorders>
              <w:top w:val="single" w:sz="2" w:space="0" w:color="808080"/>
              <w:left w:val="single" w:sz="2" w:space="0" w:color="808080"/>
              <w:bottom w:val="single" w:sz="2" w:space="0" w:color="808080"/>
            </w:tcBorders>
            <w:shd w:val="clear" w:color="auto" w:fill="auto"/>
            <w:vAlign w:val="center"/>
          </w:tcPr>
          <w:p w14:paraId="680CBE01"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正常</w:t>
            </w:r>
          </w:p>
        </w:tc>
        <w:tc>
          <w:tcPr>
            <w:tcW w:w="508" w:type="dxa"/>
            <w:tcBorders>
              <w:top w:val="single" w:sz="2" w:space="0" w:color="808080"/>
              <w:left w:val="single" w:sz="2" w:space="0" w:color="808080"/>
              <w:bottom w:val="single" w:sz="2" w:space="0" w:color="808080"/>
              <w:right w:val="single" w:sz="2" w:space="0" w:color="808080"/>
            </w:tcBorders>
            <w:shd w:val="clear" w:color="auto" w:fill="auto"/>
            <w:vAlign w:val="center"/>
          </w:tcPr>
          <w:p w14:paraId="4BE20A9F"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r>
      <w:tr w:rsidR="00E70101" w14:paraId="4D92005B" w14:textId="77777777">
        <w:trPr>
          <w:cantSplit/>
          <w:jc w:val="center"/>
        </w:trPr>
        <w:tc>
          <w:tcPr>
            <w:tcW w:w="770" w:type="dxa"/>
            <w:vMerge w:val="restart"/>
            <w:tcBorders>
              <w:top w:val="single" w:sz="2" w:space="0" w:color="808080"/>
              <w:left w:val="single" w:sz="2" w:space="0" w:color="808080"/>
              <w:bottom w:val="single" w:sz="2" w:space="0" w:color="404040"/>
            </w:tcBorders>
            <w:shd w:val="clear" w:color="auto" w:fill="auto"/>
            <w:vAlign w:val="center"/>
          </w:tcPr>
          <w:p w14:paraId="57E63740" w14:textId="77777777" w:rsidR="00E70101" w:rsidRDefault="0060680B">
            <w:pPr>
              <w:widowControl/>
              <w:spacing w:line="240" w:lineRule="exact"/>
              <w:rPr>
                <w:rFonts w:ascii="仿宋" w:eastAsia="仿宋" w:hAnsi="仿宋" w:cs="Arial"/>
                <w:sz w:val="18"/>
                <w:szCs w:val="18"/>
              </w:rPr>
            </w:pPr>
            <w:r>
              <w:rPr>
                <w:rFonts w:ascii="仿宋" w:eastAsia="仿宋" w:hAnsi="仿宋" w:cs="Arial"/>
                <w:sz w:val="18"/>
                <w:szCs w:val="18"/>
              </w:rPr>
              <w:t>区域因素</w:t>
            </w:r>
          </w:p>
        </w:tc>
        <w:tc>
          <w:tcPr>
            <w:tcW w:w="1509" w:type="dxa"/>
            <w:tcBorders>
              <w:top w:val="single" w:sz="2" w:space="0" w:color="808080"/>
              <w:left w:val="single" w:sz="2" w:space="0" w:color="808080"/>
              <w:bottom w:val="single" w:sz="2" w:space="0" w:color="808080"/>
            </w:tcBorders>
            <w:shd w:val="clear" w:color="auto" w:fill="auto"/>
            <w:vAlign w:val="center"/>
          </w:tcPr>
          <w:p w14:paraId="35E27694" w14:textId="77777777" w:rsidR="00E70101" w:rsidRDefault="0060680B">
            <w:pPr>
              <w:widowControl/>
              <w:spacing w:line="240" w:lineRule="exact"/>
              <w:rPr>
                <w:rFonts w:ascii="仿宋" w:eastAsia="仿宋" w:hAnsi="仿宋" w:cs="Arial"/>
                <w:sz w:val="18"/>
                <w:szCs w:val="18"/>
              </w:rPr>
            </w:pPr>
            <w:r>
              <w:rPr>
                <w:rFonts w:ascii="仿宋" w:eastAsia="仿宋" w:hAnsi="仿宋" w:cs="Arial"/>
                <w:sz w:val="18"/>
                <w:szCs w:val="18"/>
              </w:rPr>
              <w:t>产业集聚程度</w:t>
            </w:r>
          </w:p>
        </w:tc>
        <w:tc>
          <w:tcPr>
            <w:tcW w:w="1310" w:type="dxa"/>
            <w:tcBorders>
              <w:top w:val="single" w:sz="2" w:space="0" w:color="808080"/>
              <w:left w:val="single" w:sz="2" w:space="0" w:color="808080"/>
              <w:bottom w:val="single" w:sz="2" w:space="0" w:color="808080"/>
            </w:tcBorders>
            <w:shd w:val="clear" w:color="auto" w:fill="auto"/>
            <w:vAlign w:val="center"/>
          </w:tcPr>
          <w:p w14:paraId="4BEBEDEC"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较好</w:t>
            </w:r>
          </w:p>
        </w:tc>
        <w:tc>
          <w:tcPr>
            <w:tcW w:w="417" w:type="dxa"/>
            <w:tcBorders>
              <w:top w:val="single" w:sz="2" w:space="0" w:color="808080"/>
              <w:left w:val="single" w:sz="2" w:space="0" w:color="808080"/>
              <w:bottom w:val="single" w:sz="2" w:space="0" w:color="808080"/>
            </w:tcBorders>
            <w:shd w:val="clear" w:color="auto" w:fill="auto"/>
            <w:vAlign w:val="center"/>
          </w:tcPr>
          <w:p w14:paraId="35134EA0"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93" w:type="dxa"/>
            <w:tcBorders>
              <w:top w:val="single" w:sz="2" w:space="0" w:color="808080"/>
              <w:left w:val="single" w:sz="2" w:space="0" w:color="808080"/>
              <w:bottom w:val="single" w:sz="2" w:space="0" w:color="808080"/>
            </w:tcBorders>
            <w:shd w:val="clear" w:color="auto" w:fill="auto"/>
            <w:vAlign w:val="center"/>
          </w:tcPr>
          <w:p w14:paraId="40BC2C70"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较好</w:t>
            </w:r>
          </w:p>
        </w:tc>
        <w:tc>
          <w:tcPr>
            <w:tcW w:w="502" w:type="dxa"/>
            <w:tcBorders>
              <w:top w:val="single" w:sz="2" w:space="0" w:color="808080"/>
              <w:left w:val="single" w:sz="2" w:space="0" w:color="808080"/>
              <w:bottom w:val="single" w:sz="2" w:space="0" w:color="808080"/>
            </w:tcBorders>
            <w:shd w:val="clear" w:color="auto" w:fill="auto"/>
            <w:vAlign w:val="center"/>
          </w:tcPr>
          <w:p w14:paraId="0E019623"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74" w:type="dxa"/>
            <w:tcBorders>
              <w:top w:val="single" w:sz="2" w:space="0" w:color="808080"/>
              <w:left w:val="single" w:sz="2" w:space="0" w:color="808080"/>
              <w:bottom w:val="single" w:sz="2" w:space="0" w:color="808080"/>
            </w:tcBorders>
            <w:shd w:val="clear" w:color="auto" w:fill="auto"/>
            <w:vAlign w:val="center"/>
          </w:tcPr>
          <w:p w14:paraId="6DE98132"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较好</w:t>
            </w:r>
          </w:p>
        </w:tc>
        <w:tc>
          <w:tcPr>
            <w:tcW w:w="503" w:type="dxa"/>
            <w:tcBorders>
              <w:top w:val="single" w:sz="2" w:space="0" w:color="808080"/>
              <w:left w:val="single" w:sz="2" w:space="0" w:color="808080"/>
              <w:bottom w:val="single" w:sz="2" w:space="0" w:color="808080"/>
            </w:tcBorders>
            <w:shd w:val="clear" w:color="auto" w:fill="auto"/>
            <w:vAlign w:val="center"/>
          </w:tcPr>
          <w:p w14:paraId="320E5C1E"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12" w:type="dxa"/>
            <w:tcBorders>
              <w:top w:val="single" w:sz="2" w:space="0" w:color="808080"/>
              <w:left w:val="single" w:sz="2" w:space="0" w:color="808080"/>
              <w:bottom w:val="single" w:sz="2" w:space="0" w:color="808080"/>
            </w:tcBorders>
            <w:shd w:val="clear" w:color="auto" w:fill="auto"/>
            <w:vAlign w:val="center"/>
          </w:tcPr>
          <w:p w14:paraId="6BF0B599"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较好</w:t>
            </w:r>
          </w:p>
        </w:tc>
        <w:tc>
          <w:tcPr>
            <w:tcW w:w="508" w:type="dxa"/>
            <w:tcBorders>
              <w:top w:val="single" w:sz="2" w:space="0" w:color="808080"/>
              <w:left w:val="single" w:sz="2" w:space="0" w:color="808080"/>
              <w:bottom w:val="single" w:sz="2" w:space="0" w:color="808080"/>
              <w:right w:val="single" w:sz="2" w:space="0" w:color="808080"/>
            </w:tcBorders>
            <w:shd w:val="clear" w:color="auto" w:fill="auto"/>
            <w:vAlign w:val="center"/>
          </w:tcPr>
          <w:p w14:paraId="0C73B276"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r>
      <w:tr w:rsidR="00E70101" w14:paraId="1ED096FA" w14:textId="77777777">
        <w:trPr>
          <w:cantSplit/>
          <w:jc w:val="center"/>
        </w:trPr>
        <w:tc>
          <w:tcPr>
            <w:tcW w:w="770" w:type="dxa"/>
            <w:vMerge/>
            <w:tcBorders>
              <w:top w:val="single" w:sz="2" w:space="0" w:color="808080"/>
              <w:left w:val="single" w:sz="2" w:space="0" w:color="808080"/>
              <w:bottom w:val="single" w:sz="2" w:space="0" w:color="404040"/>
            </w:tcBorders>
            <w:shd w:val="clear" w:color="auto" w:fill="auto"/>
            <w:vAlign w:val="center"/>
          </w:tcPr>
          <w:p w14:paraId="75247254" w14:textId="77777777" w:rsidR="00E70101" w:rsidRDefault="00E70101">
            <w:pPr>
              <w:widowControl/>
              <w:snapToGrid w:val="0"/>
              <w:rPr>
                <w:rFonts w:ascii="仿宋" w:eastAsia="仿宋" w:hAnsi="仿宋" w:cs="Arial"/>
                <w:kern w:val="2"/>
                <w:sz w:val="18"/>
                <w:szCs w:val="18"/>
              </w:rPr>
            </w:pPr>
          </w:p>
        </w:tc>
        <w:tc>
          <w:tcPr>
            <w:tcW w:w="1509" w:type="dxa"/>
            <w:tcBorders>
              <w:top w:val="single" w:sz="2" w:space="0" w:color="808080"/>
              <w:left w:val="single" w:sz="2" w:space="0" w:color="808080"/>
              <w:bottom w:val="single" w:sz="2" w:space="0" w:color="808080"/>
            </w:tcBorders>
            <w:shd w:val="clear" w:color="auto" w:fill="auto"/>
            <w:vAlign w:val="center"/>
          </w:tcPr>
          <w:p w14:paraId="12430777" w14:textId="77777777" w:rsidR="00E70101" w:rsidRDefault="0060680B">
            <w:pPr>
              <w:widowControl/>
              <w:spacing w:line="240" w:lineRule="exact"/>
              <w:rPr>
                <w:rFonts w:ascii="仿宋" w:eastAsia="仿宋" w:hAnsi="仿宋" w:cs="Arial"/>
                <w:sz w:val="18"/>
                <w:szCs w:val="18"/>
              </w:rPr>
            </w:pPr>
            <w:r>
              <w:rPr>
                <w:rFonts w:ascii="仿宋" w:eastAsia="仿宋" w:hAnsi="仿宋" w:cs="Arial"/>
                <w:sz w:val="18"/>
                <w:szCs w:val="18"/>
              </w:rPr>
              <w:t>交通便捷度</w:t>
            </w:r>
          </w:p>
        </w:tc>
        <w:tc>
          <w:tcPr>
            <w:tcW w:w="1310" w:type="dxa"/>
            <w:tcBorders>
              <w:top w:val="single" w:sz="2" w:space="0" w:color="808080"/>
              <w:left w:val="single" w:sz="2" w:space="0" w:color="808080"/>
              <w:bottom w:val="single" w:sz="2" w:space="0" w:color="808080"/>
            </w:tcBorders>
            <w:shd w:val="clear" w:color="auto" w:fill="auto"/>
            <w:vAlign w:val="center"/>
          </w:tcPr>
          <w:p w14:paraId="308218F4"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好</w:t>
            </w:r>
          </w:p>
        </w:tc>
        <w:tc>
          <w:tcPr>
            <w:tcW w:w="417" w:type="dxa"/>
            <w:tcBorders>
              <w:top w:val="single" w:sz="2" w:space="0" w:color="808080"/>
              <w:left w:val="single" w:sz="2" w:space="0" w:color="808080"/>
              <w:bottom w:val="single" w:sz="2" w:space="0" w:color="808080"/>
            </w:tcBorders>
            <w:shd w:val="clear" w:color="auto" w:fill="auto"/>
            <w:vAlign w:val="center"/>
          </w:tcPr>
          <w:p w14:paraId="0A040F60"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93" w:type="dxa"/>
            <w:tcBorders>
              <w:top w:val="single" w:sz="2" w:space="0" w:color="808080"/>
              <w:left w:val="single" w:sz="2" w:space="0" w:color="808080"/>
              <w:bottom w:val="single" w:sz="2" w:space="0" w:color="808080"/>
            </w:tcBorders>
            <w:shd w:val="clear" w:color="auto" w:fill="auto"/>
            <w:vAlign w:val="center"/>
          </w:tcPr>
          <w:p w14:paraId="58CE9B55"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好</w:t>
            </w:r>
          </w:p>
        </w:tc>
        <w:tc>
          <w:tcPr>
            <w:tcW w:w="502" w:type="dxa"/>
            <w:tcBorders>
              <w:top w:val="single" w:sz="2" w:space="0" w:color="808080"/>
              <w:left w:val="single" w:sz="2" w:space="0" w:color="808080"/>
              <w:bottom w:val="single" w:sz="2" w:space="0" w:color="808080"/>
            </w:tcBorders>
            <w:shd w:val="clear" w:color="auto" w:fill="auto"/>
            <w:vAlign w:val="center"/>
          </w:tcPr>
          <w:p w14:paraId="0929F455"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74" w:type="dxa"/>
            <w:tcBorders>
              <w:top w:val="single" w:sz="2" w:space="0" w:color="808080"/>
              <w:left w:val="single" w:sz="2" w:space="0" w:color="808080"/>
              <w:bottom w:val="single" w:sz="2" w:space="0" w:color="808080"/>
            </w:tcBorders>
            <w:shd w:val="clear" w:color="auto" w:fill="auto"/>
            <w:vAlign w:val="center"/>
          </w:tcPr>
          <w:p w14:paraId="298F1C4C"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好</w:t>
            </w:r>
          </w:p>
        </w:tc>
        <w:tc>
          <w:tcPr>
            <w:tcW w:w="503" w:type="dxa"/>
            <w:tcBorders>
              <w:top w:val="single" w:sz="2" w:space="0" w:color="808080"/>
              <w:left w:val="single" w:sz="2" w:space="0" w:color="808080"/>
              <w:bottom w:val="single" w:sz="2" w:space="0" w:color="808080"/>
            </w:tcBorders>
            <w:shd w:val="clear" w:color="auto" w:fill="auto"/>
            <w:vAlign w:val="center"/>
          </w:tcPr>
          <w:p w14:paraId="723D6B05"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12" w:type="dxa"/>
            <w:tcBorders>
              <w:top w:val="single" w:sz="2" w:space="0" w:color="808080"/>
              <w:left w:val="single" w:sz="2" w:space="0" w:color="808080"/>
              <w:bottom w:val="single" w:sz="2" w:space="0" w:color="808080"/>
            </w:tcBorders>
            <w:shd w:val="clear" w:color="auto" w:fill="auto"/>
            <w:vAlign w:val="center"/>
          </w:tcPr>
          <w:p w14:paraId="393F8FBC"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好</w:t>
            </w:r>
          </w:p>
        </w:tc>
        <w:tc>
          <w:tcPr>
            <w:tcW w:w="508" w:type="dxa"/>
            <w:tcBorders>
              <w:top w:val="single" w:sz="2" w:space="0" w:color="808080"/>
              <w:left w:val="single" w:sz="2" w:space="0" w:color="808080"/>
              <w:bottom w:val="single" w:sz="2" w:space="0" w:color="808080"/>
              <w:right w:val="single" w:sz="2" w:space="0" w:color="808080"/>
            </w:tcBorders>
            <w:shd w:val="clear" w:color="auto" w:fill="auto"/>
            <w:vAlign w:val="center"/>
          </w:tcPr>
          <w:p w14:paraId="5679EEF2"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r>
      <w:tr w:rsidR="00E70101" w14:paraId="20C4D9E4" w14:textId="77777777">
        <w:trPr>
          <w:cantSplit/>
          <w:jc w:val="center"/>
        </w:trPr>
        <w:tc>
          <w:tcPr>
            <w:tcW w:w="770" w:type="dxa"/>
            <w:vMerge/>
            <w:tcBorders>
              <w:top w:val="single" w:sz="2" w:space="0" w:color="808080"/>
              <w:left w:val="single" w:sz="2" w:space="0" w:color="808080"/>
              <w:bottom w:val="single" w:sz="2" w:space="0" w:color="404040"/>
            </w:tcBorders>
            <w:shd w:val="clear" w:color="auto" w:fill="auto"/>
            <w:vAlign w:val="center"/>
          </w:tcPr>
          <w:p w14:paraId="433CBF39" w14:textId="77777777" w:rsidR="00E70101" w:rsidRDefault="00E70101">
            <w:pPr>
              <w:widowControl/>
              <w:snapToGrid w:val="0"/>
              <w:rPr>
                <w:rFonts w:ascii="仿宋" w:eastAsia="仿宋" w:hAnsi="仿宋" w:cs="Arial"/>
                <w:kern w:val="2"/>
                <w:sz w:val="18"/>
                <w:szCs w:val="18"/>
              </w:rPr>
            </w:pPr>
          </w:p>
        </w:tc>
        <w:tc>
          <w:tcPr>
            <w:tcW w:w="1509" w:type="dxa"/>
            <w:tcBorders>
              <w:top w:val="single" w:sz="2" w:space="0" w:color="808080"/>
              <w:left w:val="single" w:sz="2" w:space="0" w:color="808080"/>
              <w:bottom w:val="single" w:sz="2" w:space="0" w:color="808080"/>
            </w:tcBorders>
            <w:shd w:val="clear" w:color="auto" w:fill="auto"/>
            <w:vAlign w:val="center"/>
          </w:tcPr>
          <w:p w14:paraId="0C80D5B6" w14:textId="77777777" w:rsidR="00E70101" w:rsidRDefault="0060680B">
            <w:pPr>
              <w:widowControl/>
              <w:spacing w:line="240" w:lineRule="exact"/>
              <w:rPr>
                <w:rFonts w:ascii="仿宋" w:eastAsia="仿宋" w:hAnsi="仿宋" w:cs="Arial"/>
                <w:sz w:val="18"/>
                <w:szCs w:val="18"/>
              </w:rPr>
            </w:pPr>
            <w:r>
              <w:rPr>
                <w:rFonts w:ascii="仿宋" w:eastAsia="仿宋" w:hAnsi="仿宋" w:cs="Arial"/>
                <w:sz w:val="18"/>
                <w:szCs w:val="18"/>
              </w:rPr>
              <w:t>区域土地利用方向</w:t>
            </w:r>
          </w:p>
        </w:tc>
        <w:tc>
          <w:tcPr>
            <w:tcW w:w="1310" w:type="dxa"/>
            <w:tcBorders>
              <w:top w:val="single" w:sz="2" w:space="0" w:color="808080"/>
              <w:left w:val="single" w:sz="2" w:space="0" w:color="808080"/>
              <w:bottom w:val="single" w:sz="2" w:space="0" w:color="808080"/>
            </w:tcBorders>
            <w:shd w:val="clear" w:color="auto" w:fill="auto"/>
            <w:vAlign w:val="center"/>
          </w:tcPr>
          <w:p w14:paraId="45935F17"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较好</w:t>
            </w:r>
          </w:p>
        </w:tc>
        <w:tc>
          <w:tcPr>
            <w:tcW w:w="417" w:type="dxa"/>
            <w:tcBorders>
              <w:top w:val="single" w:sz="2" w:space="0" w:color="808080"/>
              <w:left w:val="single" w:sz="2" w:space="0" w:color="808080"/>
              <w:bottom w:val="single" w:sz="2" w:space="0" w:color="808080"/>
            </w:tcBorders>
            <w:shd w:val="clear" w:color="auto" w:fill="auto"/>
            <w:vAlign w:val="center"/>
          </w:tcPr>
          <w:p w14:paraId="41B3C322"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93" w:type="dxa"/>
            <w:tcBorders>
              <w:top w:val="single" w:sz="2" w:space="0" w:color="808080"/>
              <w:left w:val="single" w:sz="2" w:space="0" w:color="808080"/>
              <w:bottom w:val="single" w:sz="2" w:space="0" w:color="808080"/>
            </w:tcBorders>
            <w:shd w:val="clear" w:color="auto" w:fill="auto"/>
            <w:vAlign w:val="center"/>
          </w:tcPr>
          <w:p w14:paraId="2851B7A9"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较好</w:t>
            </w:r>
          </w:p>
        </w:tc>
        <w:tc>
          <w:tcPr>
            <w:tcW w:w="502" w:type="dxa"/>
            <w:tcBorders>
              <w:top w:val="single" w:sz="2" w:space="0" w:color="808080"/>
              <w:left w:val="single" w:sz="2" w:space="0" w:color="808080"/>
              <w:bottom w:val="single" w:sz="2" w:space="0" w:color="808080"/>
            </w:tcBorders>
            <w:shd w:val="clear" w:color="auto" w:fill="auto"/>
            <w:vAlign w:val="center"/>
          </w:tcPr>
          <w:p w14:paraId="61FF8CBC"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74" w:type="dxa"/>
            <w:tcBorders>
              <w:top w:val="single" w:sz="2" w:space="0" w:color="808080"/>
              <w:left w:val="single" w:sz="2" w:space="0" w:color="808080"/>
              <w:bottom w:val="single" w:sz="2" w:space="0" w:color="808080"/>
            </w:tcBorders>
            <w:shd w:val="clear" w:color="auto" w:fill="auto"/>
            <w:vAlign w:val="center"/>
          </w:tcPr>
          <w:p w14:paraId="23C6E6EF"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较好</w:t>
            </w:r>
          </w:p>
        </w:tc>
        <w:tc>
          <w:tcPr>
            <w:tcW w:w="503" w:type="dxa"/>
            <w:tcBorders>
              <w:top w:val="single" w:sz="2" w:space="0" w:color="808080"/>
              <w:left w:val="single" w:sz="2" w:space="0" w:color="808080"/>
              <w:bottom w:val="single" w:sz="2" w:space="0" w:color="808080"/>
            </w:tcBorders>
            <w:shd w:val="clear" w:color="auto" w:fill="auto"/>
            <w:vAlign w:val="center"/>
          </w:tcPr>
          <w:p w14:paraId="2096221D"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12" w:type="dxa"/>
            <w:tcBorders>
              <w:top w:val="single" w:sz="2" w:space="0" w:color="808080"/>
              <w:left w:val="single" w:sz="2" w:space="0" w:color="808080"/>
              <w:bottom w:val="single" w:sz="2" w:space="0" w:color="808080"/>
            </w:tcBorders>
            <w:shd w:val="clear" w:color="auto" w:fill="auto"/>
            <w:vAlign w:val="center"/>
          </w:tcPr>
          <w:p w14:paraId="3AA76A5B"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较好</w:t>
            </w:r>
          </w:p>
        </w:tc>
        <w:tc>
          <w:tcPr>
            <w:tcW w:w="508" w:type="dxa"/>
            <w:tcBorders>
              <w:top w:val="single" w:sz="2" w:space="0" w:color="808080"/>
              <w:left w:val="single" w:sz="2" w:space="0" w:color="808080"/>
              <w:bottom w:val="single" w:sz="2" w:space="0" w:color="808080"/>
              <w:right w:val="single" w:sz="2" w:space="0" w:color="808080"/>
            </w:tcBorders>
            <w:shd w:val="clear" w:color="auto" w:fill="auto"/>
            <w:vAlign w:val="center"/>
          </w:tcPr>
          <w:p w14:paraId="43A80B43"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r>
      <w:tr w:rsidR="00E70101" w14:paraId="5942CFA8" w14:textId="77777777">
        <w:trPr>
          <w:cantSplit/>
          <w:trHeight w:val="93"/>
          <w:jc w:val="center"/>
        </w:trPr>
        <w:tc>
          <w:tcPr>
            <w:tcW w:w="770" w:type="dxa"/>
            <w:vMerge/>
            <w:tcBorders>
              <w:top w:val="single" w:sz="2" w:space="0" w:color="808080"/>
              <w:left w:val="single" w:sz="2" w:space="0" w:color="808080"/>
              <w:bottom w:val="single" w:sz="2" w:space="0" w:color="404040"/>
            </w:tcBorders>
            <w:shd w:val="clear" w:color="auto" w:fill="auto"/>
            <w:vAlign w:val="center"/>
          </w:tcPr>
          <w:p w14:paraId="3AE7BD6B" w14:textId="77777777" w:rsidR="00E70101" w:rsidRDefault="00E70101">
            <w:pPr>
              <w:widowControl/>
              <w:snapToGrid w:val="0"/>
              <w:rPr>
                <w:rFonts w:ascii="仿宋" w:eastAsia="仿宋" w:hAnsi="仿宋" w:cs="Arial"/>
                <w:kern w:val="2"/>
                <w:sz w:val="18"/>
                <w:szCs w:val="18"/>
              </w:rPr>
            </w:pPr>
          </w:p>
        </w:tc>
        <w:tc>
          <w:tcPr>
            <w:tcW w:w="1509" w:type="dxa"/>
            <w:tcBorders>
              <w:top w:val="single" w:sz="2" w:space="0" w:color="808080"/>
              <w:left w:val="single" w:sz="2" w:space="0" w:color="808080"/>
              <w:bottom w:val="single" w:sz="2" w:space="0" w:color="808080"/>
            </w:tcBorders>
            <w:shd w:val="clear" w:color="auto" w:fill="auto"/>
            <w:vAlign w:val="center"/>
          </w:tcPr>
          <w:p w14:paraId="675A978C" w14:textId="77777777" w:rsidR="00E70101" w:rsidRDefault="0060680B">
            <w:pPr>
              <w:widowControl/>
              <w:spacing w:line="240" w:lineRule="exact"/>
              <w:rPr>
                <w:rFonts w:ascii="仿宋" w:eastAsia="仿宋" w:hAnsi="仿宋" w:cs="Arial"/>
                <w:sz w:val="18"/>
                <w:szCs w:val="18"/>
              </w:rPr>
            </w:pPr>
            <w:r>
              <w:rPr>
                <w:rFonts w:ascii="仿宋" w:eastAsia="仿宋" w:hAnsi="仿宋" w:cs="Arial"/>
                <w:sz w:val="18"/>
                <w:szCs w:val="18"/>
              </w:rPr>
              <w:t>环境状况</w:t>
            </w:r>
          </w:p>
        </w:tc>
        <w:tc>
          <w:tcPr>
            <w:tcW w:w="1310" w:type="dxa"/>
            <w:tcBorders>
              <w:top w:val="single" w:sz="2" w:space="0" w:color="808080"/>
              <w:left w:val="single" w:sz="2" w:space="0" w:color="808080"/>
              <w:bottom w:val="single" w:sz="2" w:space="0" w:color="808080"/>
            </w:tcBorders>
            <w:shd w:val="clear" w:color="auto" w:fill="auto"/>
            <w:vAlign w:val="center"/>
          </w:tcPr>
          <w:p w14:paraId="1974C25C"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较好</w:t>
            </w:r>
          </w:p>
        </w:tc>
        <w:tc>
          <w:tcPr>
            <w:tcW w:w="417" w:type="dxa"/>
            <w:tcBorders>
              <w:top w:val="single" w:sz="2" w:space="0" w:color="808080"/>
              <w:left w:val="single" w:sz="2" w:space="0" w:color="808080"/>
              <w:bottom w:val="single" w:sz="2" w:space="0" w:color="808080"/>
            </w:tcBorders>
            <w:shd w:val="clear" w:color="auto" w:fill="auto"/>
            <w:vAlign w:val="center"/>
          </w:tcPr>
          <w:p w14:paraId="2F50F780"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93" w:type="dxa"/>
            <w:tcBorders>
              <w:top w:val="single" w:sz="2" w:space="0" w:color="808080"/>
              <w:left w:val="single" w:sz="2" w:space="0" w:color="808080"/>
              <w:bottom w:val="single" w:sz="2" w:space="0" w:color="808080"/>
            </w:tcBorders>
            <w:shd w:val="clear" w:color="auto" w:fill="auto"/>
            <w:vAlign w:val="center"/>
          </w:tcPr>
          <w:p w14:paraId="5033A631"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较好</w:t>
            </w:r>
          </w:p>
        </w:tc>
        <w:tc>
          <w:tcPr>
            <w:tcW w:w="502" w:type="dxa"/>
            <w:tcBorders>
              <w:top w:val="single" w:sz="2" w:space="0" w:color="808080"/>
              <w:left w:val="single" w:sz="2" w:space="0" w:color="808080"/>
              <w:bottom w:val="single" w:sz="2" w:space="0" w:color="808080"/>
            </w:tcBorders>
            <w:shd w:val="clear" w:color="auto" w:fill="auto"/>
            <w:vAlign w:val="center"/>
          </w:tcPr>
          <w:p w14:paraId="687B8495"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74" w:type="dxa"/>
            <w:tcBorders>
              <w:top w:val="single" w:sz="2" w:space="0" w:color="808080"/>
              <w:left w:val="single" w:sz="2" w:space="0" w:color="808080"/>
              <w:bottom w:val="single" w:sz="2" w:space="0" w:color="808080"/>
            </w:tcBorders>
            <w:shd w:val="clear" w:color="auto" w:fill="auto"/>
            <w:vAlign w:val="center"/>
          </w:tcPr>
          <w:p w14:paraId="659A3FB6"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较好</w:t>
            </w:r>
          </w:p>
        </w:tc>
        <w:tc>
          <w:tcPr>
            <w:tcW w:w="503" w:type="dxa"/>
            <w:tcBorders>
              <w:top w:val="single" w:sz="2" w:space="0" w:color="808080"/>
              <w:left w:val="single" w:sz="2" w:space="0" w:color="808080"/>
              <w:bottom w:val="single" w:sz="2" w:space="0" w:color="808080"/>
            </w:tcBorders>
            <w:shd w:val="clear" w:color="auto" w:fill="auto"/>
            <w:vAlign w:val="center"/>
          </w:tcPr>
          <w:p w14:paraId="698B256C"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12" w:type="dxa"/>
            <w:tcBorders>
              <w:top w:val="single" w:sz="2" w:space="0" w:color="808080"/>
              <w:left w:val="single" w:sz="2" w:space="0" w:color="808080"/>
              <w:bottom w:val="single" w:sz="2" w:space="0" w:color="808080"/>
            </w:tcBorders>
            <w:shd w:val="clear" w:color="auto" w:fill="auto"/>
            <w:vAlign w:val="center"/>
          </w:tcPr>
          <w:p w14:paraId="1A278730"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较好</w:t>
            </w:r>
          </w:p>
        </w:tc>
        <w:tc>
          <w:tcPr>
            <w:tcW w:w="508" w:type="dxa"/>
            <w:tcBorders>
              <w:top w:val="single" w:sz="2" w:space="0" w:color="808080"/>
              <w:left w:val="single" w:sz="2" w:space="0" w:color="808080"/>
              <w:bottom w:val="single" w:sz="2" w:space="0" w:color="808080"/>
              <w:right w:val="single" w:sz="2" w:space="0" w:color="808080"/>
            </w:tcBorders>
            <w:shd w:val="clear" w:color="auto" w:fill="auto"/>
            <w:vAlign w:val="center"/>
          </w:tcPr>
          <w:p w14:paraId="797A05F0"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r>
      <w:tr w:rsidR="00E70101" w14:paraId="7BBAAF0F" w14:textId="77777777">
        <w:trPr>
          <w:cantSplit/>
          <w:jc w:val="center"/>
        </w:trPr>
        <w:tc>
          <w:tcPr>
            <w:tcW w:w="770" w:type="dxa"/>
            <w:vMerge/>
            <w:tcBorders>
              <w:top w:val="single" w:sz="2" w:space="0" w:color="808080"/>
              <w:left w:val="single" w:sz="2" w:space="0" w:color="808080"/>
              <w:bottom w:val="single" w:sz="2" w:space="0" w:color="404040"/>
            </w:tcBorders>
            <w:shd w:val="clear" w:color="auto" w:fill="auto"/>
            <w:vAlign w:val="center"/>
          </w:tcPr>
          <w:p w14:paraId="73254974" w14:textId="77777777" w:rsidR="00E70101" w:rsidRDefault="00E70101">
            <w:pPr>
              <w:widowControl/>
              <w:snapToGrid w:val="0"/>
              <w:rPr>
                <w:rFonts w:ascii="仿宋" w:eastAsia="仿宋" w:hAnsi="仿宋" w:cs="Arial"/>
                <w:kern w:val="2"/>
                <w:sz w:val="18"/>
                <w:szCs w:val="18"/>
              </w:rPr>
            </w:pPr>
          </w:p>
        </w:tc>
        <w:tc>
          <w:tcPr>
            <w:tcW w:w="1509" w:type="dxa"/>
            <w:tcBorders>
              <w:top w:val="single" w:sz="2" w:space="0" w:color="808080"/>
              <w:left w:val="single" w:sz="2" w:space="0" w:color="808080"/>
              <w:bottom w:val="single" w:sz="2" w:space="0" w:color="808080"/>
            </w:tcBorders>
            <w:shd w:val="clear" w:color="auto" w:fill="auto"/>
            <w:vAlign w:val="center"/>
          </w:tcPr>
          <w:p w14:paraId="787FD6C8" w14:textId="77777777" w:rsidR="00E70101" w:rsidRDefault="0060680B">
            <w:pPr>
              <w:widowControl/>
              <w:spacing w:line="240" w:lineRule="exact"/>
              <w:rPr>
                <w:rFonts w:ascii="仿宋" w:eastAsia="仿宋" w:hAnsi="仿宋" w:cs="Arial"/>
                <w:sz w:val="18"/>
                <w:szCs w:val="18"/>
              </w:rPr>
            </w:pPr>
            <w:r>
              <w:rPr>
                <w:rFonts w:ascii="仿宋" w:eastAsia="仿宋" w:hAnsi="仿宋" w:cs="Arial"/>
                <w:sz w:val="18"/>
                <w:szCs w:val="18"/>
              </w:rPr>
              <w:t>公共配套设施</w:t>
            </w:r>
          </w:p>
        </w:tc>
        <w:tc>
          <w:tcPr>
            <w:tcW w:w="1310" w:type="dxa"/>
            <w:tcBorders>
              <w:top w:val="single" w:sz="2" w:space="0" w:color="808080"/>
              <w:left w:val="single" w:sz="2" w:space="0" w:color="808080"/>
              <w:bottom w:val="single" w:sz="2" w:space="0" w:color="808080"/>
            </w:tcBorders>
            <w:shd w:val="clear" w:color="auto" w:fill="auto"/>
            <w:vAlign w:val="center"/>
          </w:tcPr>
          <w:p w14:paraId="5B5FA95F"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一般</w:t>
            </w:r>
          </w:p>
        </w:tc>
        <w:tc>
          <w:tcPr>
            <w:tcW w:w="417" w:type="dxa"/>
            <w:tcBorders>
              <w:top w:val="single" w:sz="2" w:space="0" w:color="808080"/>
              <w:left w:val="single" w:sz="2" w:space="0" w:color="808080"/>
              <w:bottom w:val="single" w:sz="2" w:space="0" w:color="808080"/>
            </w:tcBorders>
            <w:shd w:val="clear" w:color="auto" w:fill="auto"/>
            <w:vAlign w:val="center"/>
          </w:tcPr>
          <w:p w14:paraId="7FF17EF2"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93" w:type="dxa"/>
            <w:tcBorders>
              <w:top w:val="single" w:sz="2" w:space="0" w:color="808080"/>
              <w:left w:val="single" w:sz="2" w:space="0" w:color="808080"/>
              <w:bottom w:val="single" w:sz="2" w:space="0" w:color="808080"/>
            </w:tcBorders>
            <w:shd w:val="clear" w:color="auto" w:fill="auto"/>
            <w:vAlign w:val="center"/>
          </w:tcPr>
          <w:p w14:paraId="6E9FF728"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一般</w:t>
            </w:r>
          </w:p>
        </w:tc>
        <w:tc>
          <w:tcPr>
            <w:tcW w:w="502" w:type="dxa"/>
            <w:tcBorders>
              <w:top w:val="single" w:sz="2" w:space="0" w:color="808080"/>
              <w:left w:val="single" w:sz="2" w:space="0" w:color="808080"/>
              <w:bottom w:val="single" w:sz="2" w:space="0" w:color="808080"/>
            </w:tcBorders>
            <w:shd w:val="clear" w:color="auto" w:fill="auto"/>
            <w:vAlign w:val="center"/>
          </w:tcPr>
          <w:p w14:paraId="09D9B371"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74" w:type="dxa"/>
            <w:tcBorders>
              <w:top w:val="single" w:sz="2" w:space="0" w:color="808080"/>
              <w:left w:val="single" w:sz="2" w:space="0" w:color="808080"/>
              <w:bottom w:val="single" w:sz="2" w:space="0" w:color="808080"/>
            </w:tcBorders>
            <w:shd w:val="clear" w:color="auto" w:fill="auto"/>
            <w:vAlign w:val="center"/>
          </w:tcPr>
          <w:p w14:paraId="7FC5BDE7"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一般</w:t>
            </w:r>
          </w:p>
        </w:tc>
        <w:tc>
          <w:tcPr>
            <w:tcW w:w="503" w:type="dxa"/>
            <w:tcBorders>
              <w:top w:val="single" w:sz="2" w:space="0" w:color="808080"/>
              <w:left w:val="single" w:sz="2" w:space="0" w:color="808080"/>
              <w:bottom w:val="single" w:sz="2" w:space="0" w:color="808080"/>
            </w:tcBorders>
            <w:shd w:val="clear" w:color="auto" w:fill="auto"/>
            <w:vAlign w:val="center"/>
          </w:tcPr>
          <w:p w14:paraId="60134E89"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12" w:type="dxa"/>
            <w:tcBorders>
              <w:top w:val="single" w:sz="2" w:space="0" w:color="808080"/>
              <w:left w:val="single" w:sz="2" w:space="0" w:color="808080"/>
              <w:bottom w:val="single" w:sz="2" w:space="0" w:color="808080"/>
            </w:tcBorders>
            <w:shd w:val="clear" w:color="auto" w:fill="auto"/>
            <w:vAlign w:val="center"/>
          </w:tcPr>
          <w:p w14:paraId="5FB8D547"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一般</w:t>
            </w:r>
          </w:p>
        </w:tc>
        <w:tc>
          <w:tcPr>
            <w:tcW w:w="508" w:type="dxa"/>
            <w:tcBorders>
              <w:top w:val="single" w:sz="2" w:space="0" w:color="808080"/>
              <w:left w:val="single" w:sz="2" w:space="0" w:color="808080"/>
              <w:bottom w:val="single" w:sz="2" w:space="0" w:color="808080"/>
              <w:right w:val="single" w:sz="2" w:space="0" w:color="808080"/>
            </w:tcBorders>
            <w:shd w:val="clear" w:color="auto" w:fill="auto"/>
            <w:vAlign w:val="center"/>
          </w:tcPr>
          <w:p w14:paraId="50DAFA21"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r>
      <w:tr w:rsidR="00E70101" w14:paraId="35C5AE0A" w14:textId="77777777">
        <w:trPr>
          <w:cantSplit/>
          <w:jc w:val="center"/>
        </w:trPr>
        <w:tc>
          <w:tcPr>
            <w:tcW w:w="770" w:type="dxa"/>
            <w:vMerge/>
            <w:tcBorders>
              <w:top w:val="single" w:sz="2" w:space="0" w:color="808080"/>
              <w:left w:val="single" w:sz="2" w:space="0" w:color="808080"/>
              <w:bottom w:val="single" w:sz="2" w:space="0" w:color="404040"/>
            </w:tcBorders>
            <w:shd w:val="clear" w:color="auto" w:fill="auto"/>
            <w:vAlign w:val="center"/>
          </w:tcPr>
          <w:p w14:paraId="43DAC1F1" w14:textId="77777777" w:rsidR="00E70101" w:rsidRDefault="00E70101">
            <w:pPr>
              <w:widowControl/>
              <w:snapToGrid w:val="0"/>
              <w:rPr>
                <w:rFonts w:ascii="仿宋" w:eastAsia="仿宋" w:hAnsi="仿宋" w:cs="Arial"/>
                <w:kern w:val="2"/>
                <w:sz w:val="18"/>
                <w:szCs w:val="18"/>
              </w:rPr>
            </w:pPr>
          </w:p>
        </w:tc>
        <w:tc>
          <w:tcPr>
            <w:tcW w:w="1509" w:type="dxa"/>
            <w:tcBorders>
              <w:top w:val="single" w:sz="2" w:space="0" w:color="808080"/>
              <w:left w:val="single" w:sz="2" w:space="0" w:color="808080"/>
              <w:bottom w:val="single" w:sz="2" w:space="0" w:color="808080"/>
            </w:tcBorders>
            <w:shd w:val="clear" w:color="auto" w:fill="auto"/>
            <w:vAlign w:val="center"/>
          </w:tcPr>
          <w:p w14:paraId="3A4F1F2E" w14:textId="77777777" w:rsidR="00E70101" w:rsidRDefault="0060680B">
            <w:pPr>
              <w:widowControl/>
              <w:spacing w:line="240" w:lineRule="exact"/>
              <w:rPr>
                <w:rFonts w:ascii="仿宋" w:eastAsia="仿宋" w:hAnsi="仿宋" w:cs="Arial"/>
                <w:sz w:val="18"/>
                <w:szCs w:val="18"/>
              </w:rPr>
            </w:pPr>
            <w:r>
              <w:rPr>
                <w:rFonts w:ascii="仿宋" w:eastAsia="仿宋" w:hAnsi="仿宋" w:cs="Arial"/>
                <w:sz w:val="18"/>
                <w:szCs w:val="18"/>
              </w:rPr>
              <w:t>基础设施水平</w:t>
            </w:r>
          </w:p>
        </w:tc>
        <w:tc>
          <w:tcPr>
            <w:tcW w:w="1310" w:type="dxa"/>
            <w:tcBorders>
              <w:top w:val="single" w:sz="2" w:space="0" w:color="808080"/>
              <w:left w:val="single" w:sz="2" w:space="0" w:color="808080"/>
              <w:bottom w:val="single" w:sz="2" w:space="0" w:color="808080"/>
            </w:tcBorders>
            <w:shd w:val="clear" w:color="auto" w:fill="auto"/>
            <w:vAlign w:val="center"/>
          </w:tcPr>
          <w:p w14:paraId="086BFF61"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七通</w:t>
            </w:r>
          </w:p>
        </w:tc>
        <w:tc>
          <w:tcPr>
            <w:tcW w:w="417" w:type="dxa"/>
            <w:tcBorders>
              <w:top w:val="single" w:sz="2" w:space="0" w:color="808080"/>
              <w:left w:val="single" w:sz="2" w:space="0" w:color="808080"/>
              <w:bottom w:val="single" w:sz="2" w:space="0" w:color="808080"/>
            </w:tcBorders>
            <w:shd w:val="clear" w:color="auto" w:fill="auto"/>
            <w:vAlign w:val="center"/>
          </w:tcPr>
          <w:p w14:paraId="3230F3A5"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93" w:type="dxa"/>
            <w:tcBorders>
              <w:top w:val="single" w:sz="2" w:space="0" w:color="808080"/>
              <w:left w:val="single" w:sz="2" w:space="0" w:color="808080"/>
              <w:bottom w:val="single" w:sz="2" w:space="0" w:color="808080"/>
            </w:tcBorders>
            <w:shd w:val="clear" w:color="auto" w:fill="auto"/>
            <w:vAlign w:val="center"/>
          </w:tcPr>
          <w:p w14:paraId="1AFFDEC1"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七通</w:t>
            </w:r>
          </w:p>
        </w:tc>
        <w:tc>
          <w:tcPr>
            <w:tcW w:w="502" w:type="dxa"/>
            <w:tcBorders>
              <w:top w:val="single" w:sz="2" w:space="0" w:color="808080"/>
              <w:left w:val="single" w:sz="2" w:space="0" w:color="808080"/>
              <w:bottom w:val="single" w:sz="2" w:space="0" w:color="808080"/>
            </w:tcBorders>
            <w:shd w:val="clear" w:color="auto" w:fill="auto"/>
            <w:vAlign w:val="center"/>
          </w:tcPr>
          <w:p w14:paraId="65115579"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74" w:type="dxa"/>
            <w:tcBorders>
              <w:top w:val="single" w:sz="2" w:space="0" w:color="808080"/>
              <w:left w:val="single" w:sz="2" w:space="0" w:color="808080"/>
              <w:bottom w:val="single" w:sz="2" w:space="0" w:color="808080"/>
            </w:tcBorders>
            <w:shd w:val="clear" w:color="auto" w:fill="auto"/>
            <w:vAlign w:val="center"/>
          </w:tcPr>
          <w:p w14:paraId="6508E81C"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七通</w:t>
            </w:r>
          </w:p>
        </w:tc>
        <w:tc>
          <w:tcPr>
            <w:tcW w:w="503" w:type="dxa"/>
            <w:tcBorders>
              <w:top w:val="single" w:sz="2" w:space="0" w:color="808080"/>
              <w:left w:val="single" w:sz="2" w:space="0" w:color="808080"/>
              <w:bottom w:val="single" w:sz="2" w:space="0" w:color="808080"/>
            </w:tcBorders>
            <w:shd w:val="clear" w:color="auto" w:fill="auto"/>
            <w:vAlign w:val="center"/>
          </w:tcPr>
          <w:p w14:paraId="21BD5C41"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12" w:type="dxa"/>
            <w:tcBorders>
              <w:top w:val="single" w:sz="2" w:space="0" w:color="808080"/>
              <w:left w:val="single" w:sz="2" w:space="0" w:color="808080"/>
              <w:bottom w:val="single" w:sz="2" w:space="0" w:color="808080"/>
            </w:tcBorders>
            <w:shd w:val="clear" w:color="auto" w:fill="auto"/>
            <w:vAlign w:val="center"/>
          </w:tcPr>
          <w:p w14:paraId="7888FA88"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七通</w:t>
            </w:r>
          </w:p>
        </w:tc>
        <w:tc>
          <w:tcPr>
            <w:tcW w:w="508" w:type="dxa"/>
            <w:tcBorders>
              <w:top w:val="single" w:sz="2" w:space="0" w:color="808080"/>
              <w:left w:val="single" w:sz="2" w:space="0" w:color="808080"/>
              <w:bottom w:val="single" w:sz="2" w:space="0" w:color="808080"/>
              <w:right w:val="single" w:sz="2" w:space="0" w:color="808080"/>
            </w:tcBorders>
            <w:shd w:val="clear" w:color="auto" w:fill="auto"/>
            <w:vAlign w:val="center"/>
          </w:tcPr>
          <w:p w14:paraId="3A003A34"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r>
      <w:tr w:rsidR="00E70101" w14:paraId="2A325A3F" w14:textId="77777777">
        <w:trPr>
          <w:cantSplit/>
          <w:jc w:val="center"/>
        </w:trPr>
        <w:tc>
          <w:tcPr>
            <w:tcW w:w="770" w:type="dxa"/>
            <w:vMerge w:val="restart"/>
            <w:tcBorders>
              <w:top w:val="single" w:sz="2" w:space="0" w:color="808080"/>
              <w:left w:val="single" w:sz="2" w:space="0" w:color="808080"/>
              <w:bottom w:val="single" w:sz="2" w:space="0" w:color="808080"/>
            </w:tcBorders>
            <w:shd w:val="clear" w:color="auto" w:fill="auto"/>
            <w:vAlign w:val="center"/>
          </w:tcPr>
          <w:p w14:paraId="7BB2849B" w14:textId="77777777" w:rsidR="00E70101" w:rsidRDefault="0060680B">
            <w:pPr>
              <w:widowControl/>
              <w:spacing w:line="240" w:lineRule="exact"/>
              <w:rPr>
                <w:rFonts w:ascii="仿宋" w:eastAsia="仿宋" w:hAnsi="仿宋" w:cs="Arial"/>
                <w:sz w:val="18"/>
                <w:szCs w:val="18"/>
              </w:rPr>
            </w:pPr>
            <w:r>
              <w:rPr>
                <w:rFonts w:ascii="仿宋" w:eastAsia="仿宋" w:hAnsi="仿宋" w:cs="Arial"/>
                <w:sz w:val="18"/>
                <w:szCs w:val="18"/>
              </w:rPr>
              <w:t>个别因素</w:t>
            </w:r>
          </w:p>
        </w:tc>
        <w:tc>
          <w:tcPr>
            <w:tcW w:w="1509" w:type="dxa"/>
            <w:tcBorders>
              <w:top w:val="single" w:sz="2" w:space="0" w:color="808080"/>
              <w:left w:val="single" w:sz="2" w:space="0" w:color="808080"/>
              <w:bottom w:val="single" w:sz="2" w:space="0" w:color="808080"/>
            </w:tcBorders>
            <w:shd w:val="clear" w:color="auto" w:fill="auto"/>
            <w:vAlign w:val="center"/>
          </w:tcPr>
          <w:p w14:paraId="0A961962" w14:textId="77777777" w:rsidR="00E70101" w:rsidRDefault="0060680B">
            <w:pPr>
              <w:widowControl/>
              <w:spacing w:line="240" w:lineRule="exact"/>
              <w:rPr>
                <w:rFonts w:ascii="仿宋" w:eastAsia="仿宋" w:hAnsi="仿宋" w:cs="Arial"/>
                <w:sz w:val="18"/>
                <w:szCs w:val="18"/>
              </w:rPr>
            </w:pPr>
            <w:r>
              <w:rPr>
                <w:rFonts w:ascii="仿宋" w:eastAsia="仿宋" w:hAnsi="仿宋" w:cs="Arial"/>
                <w:sz w:val="18"/>
                <w:szCs w:val="18"/>
              </w:rPr>
              <w:t>宗地面积（平方米）</w:t>
            </w:r>
          </w:p>
        </w:tc>
        <w:tc>
          <w:tcPr>
            <w:tcW w:w="1310" w:type="dxa"/>
            <w:tcBorders>
              <w:top w:val="single" w:sz="2" w:space="0" w:color="808080"/>
              <w:left w:val="single" w:sz="2" w:space="0" w:color="808080"/>
              <w:bottom w:val="single" w:sz="2" w:space="0" w:color="808080"/>
            </w:tcBorders>
            <w:shd w:val="clear" w:color="auto" w:fill="auto"/>
            <w:vAlign w:val="center"/>
          </w:tcPr>
          <w:p w14:paraId="3B588DCF"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370379.14</w:t>
            </w:r>
          </w:p>
        </w:tc>
        <w:tc>
          <w:tcPr>
            <w:tcW w:w="417" w:type="dxa"/>
            <w:tcBorders>
              <w:top w:val="single" w:sz="2" w:space="0" w:color="808080"/>
              <w:left w:val="single" w:sz="2" w:space="0" w:color="808080"/>
              <w:bottom w:val="single" w:sz="2" w:space="0" w:color="808080"/>
            </w:tcBorders>
            <w:shd w:val="clear" w:color="auto" w:fill="auto"/>
            <w:vAlign w:val="center"/>
          </w:tcPr>
          <w:p w14:paraId="4F45036F"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93" w:type="dxa"/>
            <w:tcBorders>
              <w:top w:val="single" w:sz="2" w:space="0" w:color="808080"/>
              <w:left w:val="single" w:sz="2" w:space="0" w:color="808080"/>
              <w:bottom w:val="single" w:sz="2" w:space="0" w:color="808080"/>
            </w:tcBorders>
            <w:shd w:val="clear" w:color="auto" w:fill="auto"/>
            <w:vAlign w:val="center"/>
          </w:tcPr>
          <w:p w14:paraId="25A18CDF"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129000</w:t>
            </w:r>
          </w:p>
        </w:tc>
        <w:tc>
          <w:tcPr>
            <w:tcW w:w="502" w:type="dxa"/>
            <w:tcBorders>
              <w:top w:val="single" w:sz="2" w:space="0" w:color="808080"/>
              <w:left w:val="single" w:sz="2" w:space="0" w:color="808080"/>
              <w:bottom w:val="single" w:sz="2" w:space="0" w:color="808080"/>
            </w:tcBorders>
            <w:shd w:val="clear" w:color="auto" w:fill="auto"/>
            <w:vAlign w:val="center"/>
          </w:tcPr>
          <w:p w14:paraId="41A60ECB"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102</w:t>
            </w:r>
          </w:p>
        </w:tc>
        <w:tc>
          <w:tcPr>
            <w:tcW w:w="1274" w:type="dxa"/>
            <w:tcBorders>
              <w:top w:val="single" w:sz="2" w:space="0" w:color="808080"/>
              <w:left w:val="single" w:sz="2" w:space="0" w:color="808080"/>
              <w:bottom w:val="single" w:sz="2" w:space="0" w:color="808080"/>
            </w:tcBorders>
            <w:shd w:val="clear" w:color="auto" w:fill="auto"/>
            <w:vAlign w:val="center"/>
          </w:tcPr>
          <w:p w14:paraId="1A925C0A"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361500</w:t>
            </w:r>
          </w:p>
        </w:tc>
        <w:tc>
          <w:tcPr>
            <w:tcW w:w="503" w:type="dxa"/>
            <w:tcBorders>
              <w:top w:val="single" w:sz="2" w:space="0" w:color="808080"/>
              <w:left w:val="single" w:sz="2" w:space="0" w:color="808080"/>
              <w:bottom w:val="single" w:sz="2" w:space="0" w:color="808080"/>
            </w:tcBorders>
            <w:shd w:val="clear" w:color="auto" w:fill="auto"/>
            <w:vAlign w:val="center"/>
          </w:tcPr>
          <w:p w14:paraId="7BE19A62"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12" w:type="dxa"/>
            <w:tcBorders>
              <w:top w:val="single" w:sz="2" w:space="0" w:color="808080"/>
              <w:left w:val="single" w:sz="2" w:space="0" w:color="808080"/>
              <w:bottom w:val="single" w:sz="2" w:space="0" w:color="808080"/>
            </w:tcBorders>
            <w:shd w:val="clear" w:color="auto" w:fill="auto"/>
            <w:vAlign w:val="center"/>
          </w:tcPr>
          <w:p w14:paraId="18ECAEFE"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847200</w:t>
            </w:r>
          </w:p>
        </w:tc>
        <w:tc>
          <w:tcPr>
            <w:tcW w:w="508" w:type="dxa"/>
            <w:tcBorders>
              <w:top w:val="single" w:sz="2" w:space="0" w:color="808080"/>
              <w:left w:val="single" w:sz="2" w:space="0" w:color="808080"/>
              <w:bottom w:val="single" w:sz="2" w:space="0" w:color="808080"/>
              <w:right w:val="single" w:sz="2" w:space="0" w:color="808080"/>
            </w:tcBorders>
            <w:shd w:val="clear" w:color="auto" w:fill="auto"/>
            <w:vAlign w:val="center"/>
          </w:tcPr>
          <w:p w14:paraId="4B0216D2"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95</w:t>
            </w:r>
          </w:p>
        </w:tc>
      </w:tr>
      <w:tr w:rsidR="00E70101" w14:paraId="35F5F948" w14:textId="77777777">
        <w:trPr>
          <w:cantSplit/>
          <w:jc w:val="center"/>
        </w:trPr>
        <w:tc>
          <w:tcPr>
            <w:tcW w:w="770" w:type="dxa"/>
            <w:vMerge/>
            <w:tcBorders>
              <w:top w:val="single" w:sz="2" w:space="0" w:color="808080"/>
              <w:left w:val="single" w:sz="2" w:space="0" w:color="808080"/>
              <w:bottom w:val="single" w:sz="2" w:space="0" w:color="808080"/>
            </w:tcBorders>
            <w:shd w:val="clear" w:color="auto" w:fill="auto"/>
            <w:vAlign w:val="center"/>
          </w:tcPr>
          <w:p w14:paraId="68BCE233" w14:textId="77777777" w:rsidR="00E70101" w:rsidRDefault="00E70101">
            <w:pPr>
              <w:widowControl/>
              <w:snapToGrid w:val="0"/>
              <w:rPr>
                <w:rFonts w:ascii="仿宋" w:eastAsia="仿宋" w:hAnsi="仿宋" w:cs="Arial"/>
                <w:kern w:val="2"/>
                <w:sz w:val="18"/>
                <w:szCs w:val="18"/>
              </w:rPr>
            </w:pPr>
          </w:p>
        </w:tc>
        <w:tc>
          <w:tcPr>
            <w:tcW w:w="1509" w:type="dxa"/>
            <w:tcBorders>
              <w:top w:val="single" w:sz="2" w:space="0" w:color="808080"/>
              <w:left w:val="single" w:sz="2" w:space="0" w:color="808080"/>
              <w:bottom w:val="single" w:sz="2" w:space="0" w:color="808080"/>
            </w:tcBorders>
            <w:shd w:val="clear" w:color="auto" w:fill="auto"/>
            <w:vAlign w:val="center"/>
          </w:tcPr>
          <w:p w14:paraId="313EAB06" w14:textId="77777777" w:rsidR="00E70101" w:rsidRDefault="0060680B">
            <w:pPr>
              <w:widowControl/>
              <w:spacing w:line="240" w:lineRule="exact"/>
              <w:rPr>
                <w:rFonts w:ascii="仿宋" w:eastAsia="仿宋" w:hAnsi="仿宋" w:cs="Arial"/>
                <w:sz w:val="18"/>
                <w:szCs w:val="18"/>
              </w:rPr>
            </w:pPr>
            <w:r>
              <w:rPr>
                <w:rFonts w:ascii="仿宋" w:eastAsia="仿宋" w:hAnsi="仿宋" w:cs="Arial"/>
                <w:sz w:val="18"/>
                <w:szCs w:val="18"/>
              </w:rPr>
              <w:t>宗地形状</w:t>
            </w:r>
          </w:p>
        </w:tc>
        <w:tc>
          <w:tcPr>
            <w:tcW w:w="1310" w:type="dxa"/>
            <w:tcBorders>
              <w:top w:val="single" w:sz="2" w:space="0" w:color="808080"/>
              <w:left w:val="single" w:sz="2" w:space="0" w:color="808080"/>
              <w:bottom w:val="single" w:sz="2" w:space="0" w:color="808080"/>
            </w:tcBorders>
            <w:shd w:val="clear" w:color="auto" w:fill="auto"/>
            <w:vAlign w:val="center"/>
          </w:tcPr>
          <w:p w14:paraId="4C33DF9E"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较规则</w:t>
            </w:r>
          </w:p>
        </w:tc>
        <w:tc>
          <w:tcPr>
            <w:tcW w:w="417" w:type="dxa"/>
            <w:tcBorders>
              <w:top w:val="single" w:sz="2" w:space="0" w:color="808080"/>
              <w:left w:val="single" w:sz="2" w:space="0" w:color="808080"/>
              <w:bottom w:val="single" w:sz="2" w:space="0" w:color="808080"/>
            </w:tcBorders>
            <w:shd w:val="clear" w:color="auto" w:fill="auto"/>
            <w:vAlign w:val="center"/>
          </w:tcPr>
          <w:p w14:paraId="7D169373"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93" w:type="dxa"/>
            <w:tcBorders>
              <w:top w:val="single" w:sz="2" w:space="0" w:color="808080"/>
              <w:left w:val="single" w:sz="2" w:space="0" w:color="808080"/>
              <w:bottom w:val="single" w:sz="2" w:space="0" w:color="808080"/>
            </w:tcBorders>
            <w:shd w:val="clear" w:color="auto" w:fill="auto"/>
            <w:vAlign w:val="center"/>
          </w:tcPr>
          <w:p w14:paraId="6623A7EC"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较规则</w:t>
            </w:r>
          </w:p>
        </w:tc>
        <w:tc>
          <w:tcPr>
            <w:tcW w:w="502" w:type="dxa"/>
            <w:tcBorders>
              <w:top w:val="single" w:sz="2" w:space="0" w:color="808080"/>
              <w:left w:val="single" w:sz="2" w:space="0" w:color="808080"/>
              <w:bottom w:val="single" w:sz="2" w:space="0" w:color="808080"/>
            </w:tcBorders>
            <w:shd w:val="clear" w:color="auto" w:fill="auto"/>
            <w:vAlign w:val="center"/>
          </w:tcPr>
          <w:p w14:paraId="00EE0066"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74" w:type="dxa"/>
            <w:tcBorders>
              <w:top w:val="single" w:sz="2" w:space="0" w:color="808080"/>
              <w:left w:val="single" w:sz="2" w:space="0" w:color="808080"/>
              <w:bottom w:val="single" w:sz="2" w:space="0" w:color="808080"/>
            </w:tcBorders>
            <w:shd w:val="clear" w:color="auto" w:fill="auto"/>
            <w:vAlign w:val="center"/>
          </w:tcPr>
          <w:p w14:paraId="4591FF9A"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较规则</w:t>
            </w:r>
          </w:p>
        </w:tc>
        <w:tc>
          <w:tcPr>
            <w:tcW w:w="503" w:type="dxa"/>
            <w:tcBorders>
              <w:top w:val="single" w:sz="2" w:space="0" w:color="808080"/>
              <w:left w:val="single" w:sz="2" w:space="0" w:color="808080"/>
              <w:bottom w:val="single" w:sz="2" w:space="0" w:color="808080"/>
            </w:tcBorders>
            <w:shd w:val="clear" w:color="auto" w:fill="auto"/>
            <w:vAlign w:val="center"/>
          </w:tcPr>
          <w:p w14:paraId="0D0799C8"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12" w:type="dxa"/>
            <w:tcBorders>
              <w:top w:val="single" w:sz="2" w:space="0" w:color="808080"/>
              <w:left w:val="single" w:sz="2" w:space="0" w:color="808080"/>
              <w:bottom w:val="single" w:sz="2" w:space="0" w:color="808080"/>
            </w:tcBorders>
            <w:shd w:val="clear" w:color="auto" w:fill="auto"/>
            <w:vAlign w:val="center"/>
          </w:tcPr>
          <w:p w14:paraId="77A33CA2"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较规则</w:t>
            </w:r>
          </w:p>
        </w:tc>
        <w:tc>
          <w:tcPr>
            <w:tcW w:w="508" w:type="dxa"/>
            <w:tcBorders>
              <w:top w:val="single" w:sz="2" w:space="0" w:color="808080"/>
              <w:left w:val="single" w:sz="2" w:space="0" w:color="808080"/>
              <w:bottom w:val="single" w:sz="2" w:space="0" w:color="808080"/>
              <w:right w:val="single" w:sz="2" w:space="0" w:color="808080"/>
            </w:tcBorders>
            <w:shd w:val="clear" w:color="auto" w:fill="auto"/>
            <w:vAlign w:val="center"/>
          </w:tcPr>
          <w:p w14:paraId="4C5A0EC8"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r>
      <w:tr w:rsidR="00E70101" w14:paraId="304D2222" w14:textId="77777777">
        <w:trPr>
          <w:cantSplit/>
          <w:jc w:val="center"/>
        </w:trPr>
        <w:tc>
          <w:tcPr>
            <w:tcW w:w="770" w:type="dxa"/>
            <w:vMerge/>
            <w:tcBorders>
              <w:top w:val="single" w:sz="2" w:space="0" w:color="808080"/>
              <w:left w:val="single" w:sz="2" w:space="0" w:color="808080"/>
              <w:bottom w:val="single" w:sz="2" w:space="0" w:color="808080"/>
            </w:tcBorders>
            <w:shd w:val="clear" w:color="auto" w:fill="auto"/>
            <w:vAlign w:val="center"/>
          </w:tcPr>
          <w:p w14:paraId="386904D7" w14:textId="77777777" w:rsidR="00E70101" w:rsidRDefault="00E70101">
            <w:pPr>
              <w:widowControl/>
              <w:snapToGrid w:val="0"/>
              <w:rPr>
                <w:rFonts w:ascii="仿宋" w:eastAsia="仿宋" w:hAnsi="仿宋" w:cs="Arial"/>
                <w:kern w:val="2"/>
                <w:sz w:val="18"/>
                <w:szCs w:val="18"/>
              </w:rPr>
            </w:pPr>
          </w:p>
        </w:tc>
        <w:tc>
          <w:tcPr>
            <w:tcW w:w="1509" w:type="dxa"/>
            <w:tcBorders>
              <w:top w:val="single" w:sz="2" w:space="0" w:color="808080"/>
              <w:left w:val="single" w:sz="2" w:space="0" w:color="808080"/>
              <w:bottom w:val="single" w:sz="2" w:space="0" w:color="808080"/>
            </w:tcBorders>
            <w:shd w:val="clear" w:color="auto" w:fill="auto"/>
            <w:vAlign w:val="center"/>
          </w:tcPr>
          <w:p w14:paraId="2FEB8319" w14:textId="77777777" w:rsidR="00E70101" w:rsidRDefault="0060680B">
            <w:pPr>
              <w:widowControl/>
              <w:spacing w:line="240" w:lineRule="exact"/>
              <w:rPr>
                <w:rFonts w:ascii="仿宋" w:eastAsia="仿宋" w:hAnsi="仿宋" w:cs="Arial"/>
                <w:sz w:val="18"/>
                <w:szCs w:val="18"/>
              </w:rPr>
            </w:pPr>
            <w:r>
              <w:rPr>
                <w:rFonts w:ascii="仿宋" w:eastAsia="仿宋" w:hAnsi="仿宋" w:cs="Arial"/>
                <w:sz w:val="18"/>
                <w:szCs w:val="18"/>
              </w:rPr>
              <w:t>宗地开发程度</w:t>
            </w:r>
          </w:p>
        </w:tc>
        <w:tc>
          <w:tcPr>
            <w:tcW w:w="1310" w:type="dxa"/>
            <w:tcBorders>
              <w:top w:val="single" w:sz="2" w:space="0" w:color="808080"/>
              <w:left w:val="single" w:sz="2" w:space="0" w:color="808080"/>
              <w:bottom w:val="single" w:sz="2" w:space="0" w:color="808080"/>
            </w:tcBorders>
            <w:shd w:val="clear" w:color="auto" w:fill="auto"/>
            <w:vAlign w:val="center"/>
          </w:tcPr>
          <w:p w14:paraId="79112B7F"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七通</w:t>
            </w:r>
          </w:p>
        </w:tc>
        <w:tc>
          <w:tcPr>
            <w:tcW w:w="417" w:type="dxa"/>
            <w:tcBorders>
              <w:top w:val="single" w:sz="2" w:space="0" w:color="808080"/>
              <w:left w:val="single" w:sz="2" w:space="0" w:color="808080"/>
              <w:bottom w:val="single" w:sz="2" w:space="0" w:color="808080"/>
            </w:tcBorders>
            <w:shd w:val="clear" w:color="auto" w:fill="auto"/>
            <w:vAlign w:val="center"/>
          </w:tcPr>
          <w:p w14:paraId="22BEAA0A"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93" w:type="dxa"/>
            <w:tcBorders>
              <w:top w:val="single" w:sz="2" w:space="0" w:color="808080"/>
              <w:left w:val="single" w:sz="2" w:space="0" w:color="808080"/>
              <w:bottom w:val="single" w:sz="2" w:space="0" w:color="808080"/>
            </w:tcBorders>
            <w:shd w:val="clear" w:color="auto" w:fill="auto"/>
            <w:vAlign w:val="center"/>
          </w:tcPr>
          <w:p w14:paraId="078E01B3"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七通</w:t>
            </w:r>
          </w:p>
        </w:tc>
        <w:tc>
          <w:tcPr>
            <w:tcW w:w="502" w:type="dxa"/>
            <w:tcBorders>
              <w:top w:val="single" w:sz="2" w:space="0" w:color="808080"/>
              <w:left w:val="single" w:sz="2" w:space="0" w:color="808080"/>
              <w:bottom w:val="single" w:sz="2" w:space="0" w:color="808080"/>
            </w:tcBorders>
            <w:shd w:val="clear" w:color="auto" w:fill="auto"/>
            <w:vAlign w:val="center"/>
          </w:tcPr>
          <w:p w14:paraId="6DE3EF1D"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74" w:type="dxa"/>
            <w:tcBorders>
              <w:top w:val="single" w:sz="2" w:space="0" w:color="808080"/>
              <w:left w:val="single" w:sz="2" w:space="0" w:color="808080"/>
              <w:bottom w:val="single" w:sz="2" w:space="0" w:color="808080"/>
            </w:tcBorders>
            <w:shd w:val="clear" w:color="auto" w:fill="auto"/>
            <w:vAlign w:val="center"/>
          </w:tcPr>
          <w:p w14:paraId="5C59297D"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七通</w:t>
            </w:r>
          </w:p>
        </w:tc>
        <w:tc>
          <w:tcPr>
            <w:tcW w:w="503" w:type="dxa"/>
            <w:tcBorders>
              <w:top w:val="single" w:sz="2" w:space="0" w:color="808080"/>
              <w:left w:val="single" w:sz="2" w:space="0" w:color="808080"/>
              <w:bottom w:val="single" w:sz="2" w:space="0" w:color="808080"/>
            </w:tcBorders>
            <w:shd w:val="clear" w:color="auto" w:fill="auto"/>
            <w:vAlign w:val="center"/>
          </w:tcPr>
          <w:p w14:paraId="63998749"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12" w:type="dxa"/>
            <w:tcBorders>
              <w:top w:val="single" w:sz="2" w:space="0" w:color="808080"/>
              <w:left w:val="single" w:sz="2" w:space="0" w:color="808080"/>
              <w:bottom w:val="single" w:sz="2" w:space="0" w:color="808080"/>
            </w:tcBorders>
            <w:shd w:val="clear" w:color="auto" w:fill="auto"/>
            <w:vAlign w:val="center"/>
          </w:tcPr>
          <w:p w14:paraId="13E7E46C"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七通</w:t>
            </w:r>
          </w:p>
        </w:tc>
        <w:tc>
          <w:tcPr>
            <w:tcW w:w="508" w:type="dxa"/>
            <w:tcBorders>
              <w:top w:val="single" w:sz="2" w:space="0" w:color="808080"/>
              <w:left w:val="single" w:sz="2" w:space="0" w:color="808080"/>
              <w:bottom w:val="single" w:sz="2" w:space="0" w:color="808080"/>
              <w:right w:val="single" w:sz="2" w:space="0" w:color="808080"/>
            </w:tcBorders>
            <w:shd w:val="clear" w:color="auto" w:fill="auto"/>
            <w:vAlign w:val="center"/>
          </w:tcPr>
          <w:p w14:paraId="4232C219"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r>
      <w:tr w:rsidR="00E70101" w14:paraId="1DB6D824" w14:textId="77777777">
        <w:trPr>
          <w:cantSplit/>
          <w:jc w:val="center"/>
        </w:trPr>
        <w:tc>
          <w:tcPr>
            <w:tcW w:w="770" w:type="dxa"/>
            <w:vMerge/>
            <w:tcBorders>
              <w:top w:val="single" w:sz="2" w:space="0" w:color="808080"/>
              <w:left w:val="single" w:sz="2" w:space="0" w:color="808080"/>
              <w:bottom w:val="single" w:sz="2" w:space="0" w:color="808080"/>
            </w:tcBorders>
            <w:shd w:val="clear" w:color="auto" w:fill="auto"/>
            <w:vAlign w:val="center"/>
          </w:tcPr>
          <w:p w14:paraId="1A233F28" w14:textId="77777777" w:rsidR="00E70101" w:rsidRDefault="00E70101">
            <w:pPr>
              <w:widowControl/>
              <w:snapToGrid w:val="0"/>
              <w:rPr>
                <w:rFonts w:ascii="仿宋" w:eastAsia="仿宋" w:hAnsi="仿宋" w:cs="Arial"/>
                <w:kern w:val="2"/>
                <w:sz w:val="18"/>
                <w:szCs w:val="18"/>
              </w:rPr>
            </w:pPr>
          </w:p>
        </w:tc>
        <w:tc>
          <w:tcPr>
            <w:tcW w:w="1509" w:type="dxa"/>
            <w:tcBorders>
              <w:top w:val="single" w:sz="2" w:space="0" w:color="808080"/>
              <w:left w:val="single" w:sz="2" w:space="0" w:color="808080"/>
              <w:bottom w:val="single" w:sz="2" w:space="0" w:color="808080"/>
            </w:tcBorders>
            <w:shd w:val="clear" w:color="auto" w:fill="auto"/>
            <w:vAlign w:val="center"/>
          </w:tcPr>
          <w:p w14:paraId="553A9BF9" w14:textId="77777777" w:rsidR="00E70101" w:rsidRDefault="0060680B">
            <w:pPr>
              <w:widowControl/>
              <w:spacing w:line="240" w:lineRule="exact"/>
              <w:rPr>
                <w:rFonts w:ascii="仿宋" w:eastAsia="仿宋" w:hAnsi="仿宋" w:cs="Arial"/>
                <w:sz w:val="18"/>
                <w:szCs w:val="18"/>
              </w:rPr>
            </w:pPr>
            <w:r>
              <w:rPr>
                <w:rFonts w:ascii="仿宋" w:eastAsia="仿宋" w:hAnsi="仿宋" w:cs="Arial"/>
                <w:sz w:val="18"/>
                <w:szCs w:val="18"/>
              </w:rPr>
              <w:t>工程地质条件</w:t>
            </w:r>
          </w:p>
        </w:tc>
        <w:tc>
          <w:tcPr>
            <w:tcW w:w="1310" w:type="dxa"/>
            <w:tcBorders>
              <w:top w:val="single" w:sz="2" w:space="0" w:color="808080"/>
              <w:left w:val="single" w:sz="2" w:space="0" w:color="808080"/>
              <w:bottom w:val="single" w:sz="2" w:space="0" w:color="808080"/>
            </w:tcBorders>
            <w:shd w:val="clear" w:color="auto" w:fill="auto"/>
            <w:vAlign w:val="center"/>
          </w:tcPr>
          <w:p w14:paraId="447E935F"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较好</w:t>
            </w:r>
          </w:p>
        </w:tc>
        <w:tc>
          <w:tcPr>
            <w:tcW w:w="417" w:type="dxa"/>
            <w:tcBorders>
              <w:top w:val="single" w:sz="2" w:space="0" w:color="808080"/>
              <w:left w:val="single" w:sz="2" w:space="0" w:color="808080"/>
              <w:bottom w:val="single" w:sz="2" w:space="0" w:color="808080"/>
            </w:tcBorders>
            <w:shd w:val="clear" w:color="auto" w:fill="auto"/>
            <w:vAlign w:val="center"/>
          </w:tcPr>
          <w:p w14:paraId="46E87D47"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93" w:type="dxa"/>
            <w:tcBorders>
              <w:top w:val="single" w:sz="2" w:space="0" w:color="808080"/>
              <w:left w:val="single" w:sz="2" w:space="0" w:color="808080"/>
              <w:bottom w:val="single" w:sz="2" w:space="0" w:color="808080"/>
            </w:tcBorders>
            <w:shd w:val="clear" w:color="auto" w:fill="auto"/>
            <w:vAlign w:val="center"/>
          </w:tcPr>
          <w:p w14:paraId="601AD77F"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较好</w:t>
            </w:r>
          </w:p>
        </w:tc>
        <w:tc>
          <w:tcPr>
            <w:tcW w:w="502" w:type="dxa"/>
            <w:tcBorders>
              <w:top w:val="single" w:sz="2" w:space="0" w:color="808080"/>
              <w:left w:val="single" w:sz="2" w:space="0" w:color="808080"/>
              <w:bottom w:val="single" w:sz="2" w:space="0" w:color="808080"/>
            </w:tcBorders>
            <w:shd w:val="clear" w:color="auto" w:fill="auto"/>
            <w:vAlign w:val="center"/>
          </w:tcPr>
          <w:p w14:paraId="00CA00A7"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74" w:type="dxa"/>
            <w:tcBorders>
              <w:top w:val="single" w:sz="2" w:space="0" w:color="808080"/>
              <w:left w:val="single" w:sz="2" w:space="0" w:color="808080"/>
              <w:bottom w:val="single" w:sz="2" w:space="0" w:color="808080"/>
            </w:tcBorders>
            <w:shd w:val="clear" w:color="auto" w:fill="auto"/>
            <w:vAlign w:val="center"/>
          </w:tcPr>
          <w:p w14:paraId="6087AE27"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较好</w:t>
            </w:r>
          </w:p>
        </w:tc>
        <w:tc>
          <w:tcPr>
            <w:tcW w:w="503" w:type="dxa"/>
            <w:tcBorders>
              <w:top w:val="single" w:sz="2" w:space="0" w:color="808080"/>
              <w:left w:val="single" w:sz="2" w:space="0" w:color="808080"/>
              <w:bottom w:val="single" w:sz="2" w:space="0" w:color="808080"/>
            </w:tcBorders>
            <w:shd w:val="clear" w:color="auto" w:fill="auto"/>
            <w:vAlign w:val="center"/>
          </w:tcPr>
          <w:p w14:paraId="503103CE"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12" w:type="dxa"/>
            <w:tcBorders>
              <w:top w:val="single" w:sz="2" w:space="0" w:color="808080"/>
              <w:left w:val="single" w:sz="2" w:space="0" w:color="808080"/>
              <w:bottom w:val="single" w:sz="2" w:space="0" w:color="808080"/>
            </w:tcBorders>
            <w:shd w:val="clear" w:color="auto" w:fill="auto"/>
            <w:vAlign w:val="center"/>
          </w:tcPr>
          <w:p w14:paraId="036BE1E3"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较好</w:t>
            </w:r>
          </w:p>
        </w:tc>
        <w:tc>
          <w:tcPr>
            <w:tcW w:w="508" w:type="dxa"/>
            <w:tcBorders>
              <w:top w:val="single" w:sz="2" w:space="0" w:color="808080"/>
              <w:left w:val="single" w:sz="2" w:space="0" w:color="808080"/>
              <w:bottom w:val="single" w:sz="2" w:space="0" w:color="808080"/>
              <w:right w:val="single" w:sz="2" w:space="0" w:color="808080"/>
            </w:tcBorders>
            <w:shd w:val="clear" w:color="auto" w:fill="auto"/>
            <w:vAlign w:val="center"/>
          </w:tcPr>
          <w:p w14:paraId="5CC57218"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r>
      <w:tr w:rsidR="00E70101" w14:paraId="5265901A" w14:textId="77777777">
        <w:trPr>
          <w:cantSplit/>
          <w:jc w:val="center"/>
        </w:trPr>
        <w:tc>
          <w:tcPr>
            <w:tcW w:w="2279" w:type="dxa"/>
            <w:gridSpan w:val="2"/>
            <w:tcBorders>
              <w:top w:val="single" w:sz="2" w:space="0" w:color="404040"/>
              <w:left w:val="single" w:sz="2" w:space="0" w:color="404040"/>
              <w:bottom w:val="single" w:sz="2" w:space="0" w:color="404040"/>
            </w:tcBorders>
            <w:shd w:val="clear" w:color="auto" w:fill="auto"/>
            <w:vAlign w:val="center"/>
          </w:tcPr>
          <w:p w14:paraId="0A8E9341" w14:textId="77777777" w:rsidR="00E70101" w:rsidRDefault="0060680B">
            <w:pPr>
              <w:widowControl/>
              <w:spacing w:line="240" w:lineRule="exact"/>
              <w:rPr>
                <w:rFonts w:ascii="仿宋" w:eastAsia="仿宋" w:hAnsi="仿宋" w:cs="Arial"/>
                <w:sz w:val="18"/>
                <w:szCs w:val="18"/>
              </w:rPr>
            </w:pPr>
            <w:r>
              <w:rPr>
                <w:rFonts w:ascii="仿宋" w:eastAsia="仿宋" w:hAnsi="仿宋" w:cs="Arial"/>
                <w:sz w:val="18"/>
                <w:szCs w:val="18"/>
              </w:rPr>
              <w:t>成交单价</w:t>
            </w:r>
          </w:p>
        </w:tc>
        <w:tc>
          <w:tcPr>
            <w:tcW w:w="1727" w:type="dxa"/>
            <w:gridSpan w:val="2"/>
            <w:tcBorders>
              <w:top w:val="single" w:sz="2" w:space="0" w:color="404040"/>
              <w:left w:val="single" w:sz="2" w:space="0" w:color="404040"/>
              <w:bottom w:val="single" w:sz="2" w:space="0" w:color="404040"/>
            </w:tcBorders>
            <w:shd w:val="clear" w:color="auto" w:fill="auto"/>
            <w:vAlign w:val="center"/>
          </w:tcPr>
          <w:p w14:paraId="1AB3E49B"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w:t>
            </w:r>
          </w:p>
        </w:tc>
        <w:tc>
          <w:tcPr>
            <w:tcW w:w="1795" w:type="dxa"/>
            <w:gridSpan w:val="2"/>
            <w:tcBorders>
              <w:top w:val="single" w:sz="2" w:space="0" w:color="404040"/>
              <w:left w:val="single" w:sz="2" w:space="0" w:color="404040"/>
              <w:bottom w:val="single" w:sz="2" w:space="0" w:color="404040"/>
            </w:tcBorders>
            <w:shd w:val="clear" w:color="auto" w:fill="auto"/>
            <w:vAlign w:val="center"/>
          </w:tcPr>
          <w:p w14:paraId="0255C66F"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2838.7</w:t>
            </w:r>
          </w:p>
        </w:tc>
        <w:tc>
          <w:tcPr>
            <w:tcW w:w="1777" w:type="dxa"/>
            <w:gridSpan w:val="2"/>
            <w:tcBorders>
              <w:top w:val="single" w:sz="2" w:space="0" w:color="404040"/>
              <w:left w:val="single" w:sz="2" w:space="0" w:color="404040"/>
              <w:bottom w:val="single" w:sz="2" w:space="0" w:color="404040"/>
            </w:tcBorders>
            <w:shd w:val="clear" w:color="auto" w:fill="auto"/>
            <w:vAlign w:val="center"/>
          </w:tcPr>
          <w:p w14:paraId="2FAA45AD"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2453.6</w:t>
            </w:r>
          </w:p>
        </w:tc>
        <w:tc>
          <w:tcPr>
            <w:tcW w:w="1720" w:type="dxa"/>
            <w:gridSpan w:val="2"/>
            <w:tcBorders>
              <w:top w:val="single" w:sz="2" w:space="0" w:color="404040"/>
              <w:left w:val="single" w:sz="2" w:space="0" w:color="404040"/>
              <w:bottom w:val="single" w:sz="2" w:space="0" w:color="404040"/>
              <w:right w:val="single" w:sz="2" w:space="0" w:color="404040"/>
            </w:tcBorders>
            <w:shd w:val="clear" w:color="auto" w:fill="auto"/>
            <w:vAlign w:val="center"/>
          </w:tcPr>
          <w:p w14:paraId="323FBDEA"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1589.9</w:t>
            </w:r>
          </w:p>
        </w:tc>
      </w:tr>
      <w:tr w:rsidR="00E70101" w14:paraId="718E40B6" w14:textId="77777777">
        <w:trPr>
          <w:cantSplit/>
          <w:jc w:val="center"/>
        </w:trPr>
        <w:tc>
          <w:tcPr>
            <w:tcW w:w="2279" w:type="dxa"/>
            <w:gridSpan w:val="2"/>
            <w:tcBorders>
              <w:top w:val="single" w:sz="2" w:space="0" w:color="404040"/>
              <w:left w:val="single" w:sz="2" w:space="0" w:color="404040"/>
              <w:bottom w:val="single" w:sz="2" w:space="0" w:color="404040"/>
            </w:tcBorders>
            <w:shd w:val="clear" w:color="auto" w:fill="auto"/>
            <w:vAlign w:val="center"/>
          </w:tcPr>
          <w:p w14:paraId="1D5603F9" w14:textId="77777777" w:rsidR="00E70101" w:rsidRDefault="0060680B">
            <w:pPr>
              <w:widowControl/>
              <w:spacing w:line="240" w:lineRule="exact"/>
              <w:rPr>
                <w:rFonts w:ascii="仿宋" w:eastAsia="仿宋" w:hAnsi="仿宋" w:cs="Arial"/>
                <w:sz w:val="18"/>
                <w:szCs w:val="18"/>
              </w:rPr>
            </w:pPr>
            <w:r>
              <w:rPr>
                <w:rFonts w:ascii="仿宋" w:eastAsia="仿宋" w:hAnsi="仿宋" w:cs="Arial"/>
                <w:sz w:val="18"/>
                <w:szCs w:val="18"/>
              </w:rPr>
              <w:t>比较价格</w:t>
            </w:r>
          </w:p>
        </w:tc>
        <w:tc>
          <w:tcPr>
            <w:tcW w:w="1727" w:type="dxa"/>
            <w:gridSpan w:val="2"/>
            <w:tcBorders>
              <w:top w:val="single" w:sz="2" w:space="0" w:color="404040"/>
              <w:left w:val="single" w:sz="2" w:space="0" w:color="404040"/>
              <w:bottom w:val="single" w:sz="2" w:space="0" w:color="404040"/>
            </w:tcBorders>
            <w:shd w:val="clear" w:color="auto" w:fill="auto"/>
            <w:vAlign w:val="center"/>
          </w:tcPr>
          <w:p w14:paraId="07E328B9"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2448</w:t>
            </w:r>
          </w:p>
        </w:tc>
        <w:tc>
          <w:tcPr>
            <w:tcW w:w="1795" w:type="dxa"/>
            <w:gridSpan w:val="2"/>
            <w:tcBorders>
              <w:top w:val="single" w:sz="2" w:space="0" w:color="404040"/>
              <w:left w:val="single" w:sz="2" w:space="0" w:color="404040"/>
              <w:bottom w:val="single" w:sz="2" w:space="0" w:color="404040"/>
            </w:tcBorders>
            <w:shd w:val="clear" w:color="auto" w:fill="auto"/>
            <w:vAlign w:val="center"/>
          </w:tcPr>
          <w:p w14:paraId="309DFCB4"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3042</w:t>
            </w:r>
          </w:p>
        </w:tc>
        <w:tc>
          <w:tcPr>
            <w:tcW w:w="1777" w:type="dxa"/>
            <w:gridSpan w:val="2"/>
            <w:tcBorders>
              <w:top w:val="single" w:sz="2" w:space="0" w:color="404040"/>
              <w:left w:val="single" w:sz="2" w:space="0" w:color="404040"/>
              <w:bottom w:val="single" w:sz="2" w:space="0" w:color="404040"/>
            </w:tcBorders>
            <w:shd w:val="clear" w:color="auto" w:fill="auto"/>
            <w:vAlign w:val="center"/>
          </w:tcPr>
          <w:p w14:paraId="37F44169"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2582</w:t>
            </w:r>
          </w:p>
        </w:tc>
        <w:tc>
          <w:tcPr>
            <w:tcW w:w="1720" w:type="dxa"/>
            <w:gridSpan w:val="2"/>
            <w:tcBorders>
              <w:top w:val="single" w:sz="2" w:space="0" w:color="404040"/>
              <w:left w:val="single" w:sz="2" w:space="0" w:color="404040"/>
              <w:bottom w:val="single" w:sz="2" w:space="0" w:color="404040"/>
              <w:right w:val="single" w:sz="2" w:space="0" w:color="404040"/>
            </w:tcBorders>
            <w:shd w:val="clear" w:color="auto" w:fill="auto"/>
            <w:vAlign w:val="center"/>
          </w:tcPr>
          <w:p w14:paraId="307E1F94"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1721</w:t>
            </w:r>
          </w:p>
        </w:tc>
      </w:tr>
    </w:tbl>
    <w:p w14:paraId="79557F0C" w14:textId="77777777" w:rsidR="00E70101" w:rsidRDefault="0060680B">
      <w:pPr>
        <w:spacing w:line="360" w:lineRule="auto"/>
        <w:jc w:val="center"/>
        <w:rPr>
          <w:rFonts w:cs="Arial"/>
        </w:rPr>
      </w:pPr>
      <w:r>
        <w:rPr>
          <w:rFonts w:ascii="Arial" w:eastAsia="仿宋" w:hAnsi="Arial" w:cs="Arial"/>
          <w:b/>
          <w:bCs/>
          <w:szCs w:val="24"/>
        </w:rPr>
        <w:t>因素修正及调整系数表</w:t>
      </w:r>
    </w:p>
    <w:tbl>
      <w:tblPr>
        <w:tblW w:w="9305" w:type="dxa"/>
        <w:jc w:val="center"/>
        <w:tblCellMar>
          <w:top w:w="57" w:type="dxa"/>
          <w:left w:w="28" w:type="dxa"/>
          <w:bottom w:w="57" w:type="dxa"/>
          <w:right w:w="28" w:type="dxa"/>
        </w:tblCellMar>
        <w:tblLook w:val="0000" w:firstRow="0" w:lastRow="0" w:firstColumn="0" w:lastColumn="0" w:noHBand="0" w:noVBand="0"/>
      </w:tblPr>
      <w:tblGrid>
        <w:gridCol w:w="1136"/>
        <w:gridCol w:w="2386"/>
        <w:gridCol w:w="524"/>
        <w:gridCol w:w="1456"/>
        <w:gridCol w:w="596"/>
        <w:gridCol w:w="1316"/>
        <w:gridCol w:w="526"/>
        <w:gridCol w:w="1365"/>
      </w:tblGrid>
      <w:tr w:rsidR="00E70101" w14:paraId="3FB82BEF" w14:textId="77777777">
        <w:trPr>
          <w:jc w:val="center"/>
        </w:trPr>
        <w:tc>
          <w:tcPr>
            <w:tcW w:w="3522" w:type="dxa"/>
            <w:gridSpan w:val="2"/>
            <w:tcBorders>
              <w:top w:val="single" w:sz="2" w:space="0" w:color="404040"/>
              <w:left w:val="single" w:sz="2" w:space="0" w:color="404040"/>
              <w:bottom w:val="single" w:sz="2" w:space="0" w:color="404040"/>
            </w:tcBorders>
            <w:shd w:val="clear" w:color="auto" w:fill="auto"/>
            <w:vAlign w:val="center"/>
          </w:tcPr>
          <w:p w14:paraId="5FF7F627" w14:textId="77777777" w:rsidR="00E70101" w:rsidRDefault="0060680B">
            <w:pPr>
              <w:widowControl/>
              <w:spacing w:line="240" w:lineRule="exact"/>
              <w:rPr>
                <w:rFonts w:ascii="Arial" w:eastAsia="仿宋_GB2312;仿宋" w:hAnsi="Arial" w:cs="Arial"/>
                <w:sz w:val="18"/>
                <w:szCs w:val="13"/>
              </w:rPr>
            </w:pPr>
            <w:r>
              <w:rPr>
                <w:rFonts w:ascii="Arial" w:eastAsia="仿宋_GB2312;仿宋" w:hAnsi="Arial" w:cs="Arial"/>
                <w:sz w:val="18"/>
                <w:szCs w:val="13"/>
              </w:rPr>
              <w:t>比较因素</w:t>
            </w:r>
          </w:p>
        </w:tc>
        <w:tc>
          <w:tcPr>
            <w:tcW w:w="1980" w:type="dxa"/>
            <w:gridSpan w:val="2"/>
            <w:tcBorders>
              <w:top w:val="single" w:sz="2" w:space="0" w:color="404040"/>
              <w:left w:val="single" w:sz="2" w:space="0" w:color="404040"/>
              <w:bottom w:val="single" w:sz="2" w:space="0" w:color="404040"/>
            </w:tcBorders>
            <w:shd w:val="clear" w:color="auto" w:fill="auto"/>
            <w:vAlign w:val="center"/>
          </w:tcPr>
          <w:p w14:paraId="46AB2DAE"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序号</w:t>
            </w:r>
            <w:r>
              <w:rPr>
                <w:rFonts w:ascii="Arial" w:eastAsia="仿宋_GB2312;仿宋" w:hAnsi="Arial" w:cs="Arial"/>
                <w:sz w:val="18"/>
                <w:szCs w:val="13"/>
              </w:rPr>
              <w:t>1</w:t>
            </w:r>
          </w:p>
        </w:tc>
        <w:tc>
          <w:tcPr>
            <w:tcW w:w="1912" w:type="dxa"/>
            <w:gridSpan w:val="2"/>
            <w:tcBorders>
              <w:top w:val="single" w:sz="2" w:space="0" w:color="404040"/>
              <w:left w:val="single" w:sz="2" w:space="0" w:color="404040"/>
              <w:bottom w:val="single" w:sz="2" w:space="0" w:color="404040"/>
            </w:tcBorders>
            <w:shd w:val="clear" w:color="auto" w:fill="auto"/>
            <w:vAlign w:val="center"/>
          </w:tcPr>
          <w:p w14:paraId="30043B30"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序号</w:t>
            </w:r>
            <w:r>
              <w:rPr>
                <w:rFonts w:ascii="Arial" w:eastAsia="仿宋_GB2312;仿宋" w:hAnsi="Arial" w:cs="Arial"/>
                <w:sz w:val="18"/>
                <w:szCs w:val="13"/>
              </w:rPr>
              <w:t>2</w:t>
            </w:r>
          </w:p>
        </w:tc>
        <w:tc>
          <w:tcPr>
            <w:tcW w:w="1891" w:type="dxa"/>
            <w:gridSpan w:val="2"/>
            <w:tcBorders>
              <w:top w:val="single" w:sz="2" w:space="0" w:color="404040"/>
              <w:left w:val="single" w:sz="2" w:space="0" w:color="404040"/>
              <w:bottom w:val="single" w:sz="2" w:space="0" w:color="404040"/>
              <w:right w:val="single" w:sz="2" w:space="0" w:color="404040"/>
            </w:tcBorders>
            <w:shd w:val="clear" w:color="auto" w:fill="auto"/>
            <w:vAlign w:val="center"/>
          </w:tcPr>
          <w:p w14:paraId="2D5F6526"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序号</w:t>
            </w:r>
            <w:r>
              <w:rPr>
                <w:rFonts w:ascii="Arial" w:eastAsia="仿宋_GB2312;仿宋" w:hAnsi="Arial" w:cs="Arial"/>
                <w:sz w:val="18"/>
                <w:szCs w:val="13"/>
              </w:rPr>
              <w:t>4</w:t>
            </w:r>
          </w:p>
        </w:tc>
      </w:tr>
      <w:tr w:rsidR="00E70101" w14:paraId="4B84F347" w14:textId="77777777">
        <w:trPr>
          <w:jc w:val="center"/>
        </w:trPr>
        <w:tc>
          <w:tcPr>
            <w:tcW w:w="3522" w:type="dxa"/>
            <w:gridSpan w:val="2"/>
            <w:tcBorders>
              <w:top w:val="single" w:sz="2" w:space="0" w:color="404040"/>
              <w:left w:val="single" w:sz="2" w:space="0" w:color="404040"/>
              <w:bottom w:val="single" w:sz="2" w:space="0" w:color="404040"/>
            </w:tcBorders>
            <w:shd w:val="clear" w:color="auto" w:fill="auto"/>
            <w:vAlign w:val="bottom"/>
          </w:tcPr>
          <w:p w14:paraId="177A5475" w14:textId="77777777" w:rsidR="00E70101" w:rsidRDefault="0060680B">
            <w:pPr>
              <w:widowControl/>
              <w:spacing w:line="240" w:lineRule="exact"/>
              <w:rPr>
                <w:rFonts w:ascii="Arial" w:eastAsia="仿宋_GB2312;仿宋" w:hAnsi="Arial" w:cs="Arial"/>
                <w:sz w:val="18"/>
                <w:szCs w:val="13"/>
              </w:rPr>
            </w:pPr>
            <w:r>
              <w:rPr>
                <w:rFonts w:ascii="Arial" w:eastAsia="仿宋_GB2312;仿宋" w:hAnsi="Arial" w:cs="Arial"/>
                <w:sz w:val="18"/>
                <w:szCs w:val="13"/>
              </w:rPr>
              <w:t>交易情况</w:t>
            </w:r>
          </w:p>
        </w:tc>
        <w:tc>
          <w:tcPr>
            <w:tcW w:w="524" w:type="dxa"/>
            <w:tcBorders>
              <w:top w:val="single" w:sz="2" w:space="0" w:color="404040"/>
              <w:left w:val="single" w:sz="2" w:space="0" w:color="404040"/>
              <w:bottom w:val="single" w:sz="2" w:space="0" w:color="404040"/>
            </w:tcBorders>
            <w:shd w:val="clear" w:color="auto" w:fill="auto"/>
            <w:vAlign w:val="center"/>
          </w:tcPr>
          <w:p w14:paraId="4B06BDCE"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456" w:type="dxa"/>
            <w:tcBorders>
              <w:top w:val="single" w:sz="2" w:space="0" w:color="404040"/>
              <w:bottom w:val="single" w:sz="2" w:space="0" w:color="404040"/>
            </w:tcBorders>
            <w:shd w:val="clear" w:color="auto" w:fill="auto"/>
            <w:vAlign w:val="center"/>
          </w:tcPr>
          <w:p w14:paraId="5CAC759B"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91.48</w:t>
            </w:r>
          </w:p>
        </w:tc>
        <w:tc>
          <w:tcPr>
            <w:tcW w:w="596" w:type="dxa"/>
            <w:tcBorders>
              <w:top w:val="single" w:sz="2" w:space="0" w:color="404040"/>
              <w:left w:val="single" w:sz="2" w:space="0" w:color="404040"/>
              <w:bottom w:val="single" w:sz="2" w:space="0" w:color="404040"/>
            </w:tcBorders>
            <w:shd w:val="clear" w:color="auto" w:fill="auto"/>
            <w:vAlign w:val="center"/>
          </w:tcPr>
          <w:p w14:paraId="5F28991E"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16" w:type="dxa"/>
            <w:tcBorders>
              <w:top w:val="single" w:sz="2" w:space="0" w:color="404040"/>
              <w:bottom w:val="single" w:sz="2" w:space="0" w:color="404040"/>
            </w:tcBorders>
            <w:shd w:val="clear" w:color="auto" w:fill="auto"/>
            <w:vAlign w:val="center"/>
          </w:tcPr>
          <w:p w14:paraId="3386FDA0"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95.01</w:t>
            </w:r>
          </w:p>
        </w:tc>
        <w:tc>
          <w:tcPr>
            <w:tcW w:w="526" w:type="dxa"/>
            <w:tcBorders>
              <w:top w:val="single" w:sz="2" w:space="0" w:color="404040"/>
              <w:left w:val="single" w:sz="2" w:space="0" w:color="404040"/>
              <w:bottom w:val="single" w:sz="2" w:space="0" w:color="404040"/>
            </w:tcBorders>
            <w:shd w:val="clear" w:color="auto" w:fill="auto"/>
            <w:vAlign w:val="center"/>
          </w:tcPr>
          <w:p w14:paraId="5CBCA1EA"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65" w:type="dxa"/>
            <w:tcBorders>
              <w:top w:val="single" w:sz="2" w:space="0" w:color="404040"/>
              <w:bottom w:val="single" w:sz="2" w:space="0" w:color="404040"/>
              <w:right w:val="single" w:sz="2" w:space="0" w:color="404040"/>
            </w:tcBorders>
            <w:shd w:val="clear" w:color="auto" w:fill="auto"/>
            <w:vAlign w:val="center"/>
          </w:tcPr>
          <w:p w14:paraId="4B9C7017"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97.26</w:t>
            </w:r>
          </w:p>
        </w:tc>
      </w:tr>
      <w:tr w:rsidR="00E70101" w14:paraId="09AABDEE" w14:textId="77777777">
        <w:trPr>
          <w:jc w:val="center"/>
        </w:trPr>
        <w:tc>
          <w:tcPr>
            <w:tcW w:w="3522" w:type="dxa"/>
            <w:gridSpan w:val="2"/>
            <w:tcBorders>
              <w:top w:val="single" w:sz="2" w:space="0" w:color="404040"/>
              <w:left w:val="single" w:sz="2" w:space="0" w:color="404040"/>
              <w:bottom w:val="single" w:sz="2" w:space="0" w:color="404040"/>
            </w:tcBorders>
            <w:shd w:val="clear" w:color="auto" w:fill="auto"/>
            <w:vAlign w:val="bottom"/>
          </w:tcPr>
          <w:p w14:paraId="4675CB3A" w14:textId="77777777" w:rsidR="00E70101" w:rsidRDefault="0060680B">
            <w:pPr>
              <w:widowControl/>
              <w:spacing w:line="240" w:lineRule="exact"/>
              <w:rPr>
                <w:rFonts w:ascii="Arial" w:eastAsia="仿宋_GB2312;仿宋" w:hAnsi="Arial" w:cs="Arial"/>
                <w:sz w:val="18"/>
                <w:szCs w:val="13"/>
              </w:rPr>
            </w:pPr>
            <w:r>
              <w:rPr>
                <w:rFonts w:ascii="Arial" w:eastAsia="仿宋_GB2312;仿宋" w:hAnsi="Arial" w:cs="Arial"/>
                <w:sz w:val="18"/>
                <w:szCs w:val="13"/>
              </w:rPr>
              <w:t>市场状况</w:t>
            </w:r>
          </w:p>
        </w:tc>
        <w:tc>
          <w:tcPr>
            <w:tcW w:w="524" w:type="dxa"/>
            <w:tcBorders>
              <w:top w:val="single" w:sz="2" w:space="0" w:color="404040"/>
              <w:left w:val="single" w:sz="2" w:space="0" w:color="404040"/>
              <w:bottom w:val="single" w:sz="2" w:space="0" w:color="404040"/>
            </w:tcBorders>
            <w:shd w:val="clear" w:color="auto" w:fill="auto"/>
            <w:vAlign w:val="center"/>
          </w:tcPr>
          <w:p w14:paraId="30024125"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456" w:type="dxa"/>
            <w:tcBorders>
              <w:top w:val="single" w:sz="2" w:space="0" w:color="404040"/>
              <w:bottom w:val="single" w:sz="2" w:space="0" w:color="404040"/>
            </w:tcBorders>
            <w:shd w:val="clear" w:color="auto" w:fill="auto"/>
            <w:vAlign w:val="center"/>
          </w:tcPr>
          <w:p w14:paraId="6189F072"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96" w:type="dxa"/>
            <w:tcBorders>
              <w:top w:val="single" w:sz="2" w:space="0" w:color="404040"/>
              <w:left w:val="single" w:sz="2" w:space="0" w:color="404040"/>
              <w:bottom w:val="single" w:sz="2" w:space="0" w:color="404040"/>
            </w:tcBorders>
            <w:shd w:val="clear" w:color="auto" w:fill="auto"/>
            <w:vAlign w:val="center"/>
          </w:tcPr>
          <w:p w14:paraId="03DA349D"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16" w:type="dxa"/>
            <w:tcBorders>
              <w:top w:val="single" w:sz="2" w:space="0" w:color="404040"/>
              <w:bottom w:val="single" w:sz="2" w:space="0" w:color="404040"/>
            </w:tcBorders>
            <w:shd w:val="clear" w:color="auto" w:fill="auto"/>
            <w:vAlign w:val="center"/>
          </w:tcPr>
          <w:p w14:paraId="65210D6D"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26" w:type="dxa"/>
            <w:tcBorders>
              <w:top w:val="single" w:sz="2" w:space="0" w:color="404040"/>
              <w:left w:val="single" w:sz="2" w:space="0" w:color="404040"/>
              <w:bottom w:val="single" w:sz="2" w:space="0" w:color="404040"/>
            </w:tcBorders>
            <w:shd w:val="clear" w:color="auto" w:fill="auto"/>
            <w:vAlign w:val="center"/>
          </w:tcPr>
          <w:p w14:paraId="400CF6C0"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65" w:type="dxa"/>
            <w:tcBorders>
              <w:top w:val="single" w:sz="2" w:space="0" w:color="404040"/>
              <w:bottom w:val="single" w:sz="2" w:space="0" w:color="404040"/>
              <w:right w:val="single" w:sz="2" w:space="0" w:color="404040"/>
            </w:tcBorders>
            <w:shd w:val="clear" w:color="auto" w:fill="auto"/>
            <w:vAlign w:val="center"/>
          </w:tcPr>
          <w:p w14:paraId="4C62E9A8"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r>
      <w:tr w:rsidR="00E70101" w14:paraId="656AA772" w14:textId="77777777">
        <w:trPr>
          <w:jc w:val="center"/>
        </w:trPr>
        <w:tc>
          <w:tcPr>
            <w:tcW w:w="1136" w:type="dxa"/>
            <w:vMerge w:val="restart"/>
            <w:tcBorders>
              <w:top w:val="single" w:sz="2" w:space="0" w:color="404040"/>
              <w:left w:val="single" w:sz="2" w:space="0" w:color="404040"/>
              <w:bottom w:val="single" w:sz="2" w:space="0" w:color="404040"/>
            </w:tcBorders>
            <w:shd w:val="clear" w:color="auto" w:fill="auto"/>
            <w:vAlign w:val="center"/>
          </w:tcPr>
          <w:p w14:paraId="76451C83"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区域因素</w:t>
            </w:r>
          </w:p>
        </w:tc>
        <w:tc>
          <w:tcPr>
            <w:tcW w:w="2386" w:type="dxa"/>
            <w:tcBorders>
              <w:top w:val="single" w:sz="2" w:space="0" w:color="404040"/>
              <w:left w:val="single" w:sz="2" w:space="0" w:color="404040"/>
              <w:bottom w:val="single" w:sz="2" w:space="0" w:color="404040"/>
            </w:tcBorders>
            <w:shd w:val="clear" w:color="auto" w:fill="auto"/>
            <w:vAlign w:val="center"/>
          </w:tcPr>
          <w:p w14:paraId="5463D19D" w14:textId="77777777" w:rsidR="00E70101" w:rsidRDefault="0060680B">
            <w:pPr>
              <w:widowControl/>
              <w:spacing w:line="240" w:lineRule="exact"/>
              <w:rPr>
                <w:rFonts w:ascii="Arial" w:eastAsia="仿宋_GB2312;仿宋" w:hAnsi="Arial" w:cs="Arial"/>
                <w:sz w:val="18"/>
                <w:szCs w:val="13"/>
              </w:rPr>
            </w:pPr>
            <w:r>
              <w:rPr>
                <w:rFonts w:ascii="仿宋" w:eastAsia="仿宋" w:hAnsi="仿宋" w:cs="Arial"/>
                <w:sz w:val="18"/>
                <w:szCs w:val="18"/>
              </w:rPr>
              <w:t>产业集聚程度</w:t>
            </w:r>
          </w:p>
        </w:tc>
        <w:tc>
          <w:tcPr>
            <w:tcW w:w="524" w:type="dxa"/>
            <w:tcBorders>
              <w:top w:val="single" w:sz="2" w:space="0" w:color="404040"/>
              <w:left w:val="single" w:sz="2" w:space="0" w:color="404040"/>
              <w:bottom w:val="single" w:sz="2" w:space="0" w:color="404040"/>
            </w:tcBorders>
            <w:shd w:val="clear" w:color="auto" w:fill="auto"/>
            <w:vAlign w:val="center"/>
          </w:tcPr>
          <w:p w14:paraId="146D4FFA"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456" w:type="dxa"/>
            <w:tcBorders>
              <w:top w:val="single" w:sz="2" w:space="0" w:color="404040"/>
              <w:bottom w:val="single" w:sz="2" w:space="0" w:color="404040"/>
            </w:tcBorders>
            <w:shd w:val="clear" w:color="auto" w:fill="auto"/>
            <w:vAlign w:val="center"/>
          </w:tcPr>
          <w:p w14:paraId="40A1D86D"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96" w:type="dxa"/>
            <w:tcBorders>
              <w:top w:val="single" w:sz="2" w:space="0" w:color="404040"/>
              <w:left w:val="single" w:sz="2" w:space="0" w:color="404040"/>
              <w:bottom w:val="single" w:sz="2" w:space="0" w:color="404040"/>
            </w:tcBorders>
            <w:shd w:val="clear" w:color="auto" w:fill="auto"/>
            <w:vAlign w:val="center"/>
          </w:tcPr>
          <w:p w14:paraId="1BF8A6B1"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16" w:type="dxa"/>
            <w:tcBorders>
              <w:top w:val="single" w:sz="2" w:space="0" w:color="404040"/>
              <w:bottom w:val="single" w:sz="2" w:space="0" w:color="404040"/>
            </w:tcBorders>
            <w:shd w:val="clear" w:color="auto" w:fill="auto"/>
            <w:vAlign w:val="center"/>
          </w:tcPr>
          <w:p w14:paraId="2D1F86A7"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26" w:type="dxa"/>
            <w:tcBorders>
              <w:top w:val="single" w:sz="2" w:space="0" w:color="404040"/>
              <w:left w:val="single" w:sz="2" w:space="0" w:color="404040"/>
              <w:bottom w:val="single" w:sz="2" w:space="0" w:color="404040"/>
            </w:tcBorders>
            <w:shd w:val="clear" w:color="auto" w:fill="auto"/>
            <w:vAlign w:val="center"/>
          </w:tcPr>
          <w:p w14:paraId="2D7D90E8"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65" w:type="dxa"/>
            <w:tcBorders>
              <w:top w:val="single" w:sz="2" w:space="0" w:color="404040"/>
              <w:bottom w:val="single" w:sz="2" w:space="0" w:color="404040"/>
              <w:right w:val="single" w:sz="2" w:space="0" w:color="404040"/>
            </w:tcBorders>
            <w:shd w:val="clear" w:color="auto" w:fill="auto"/>
            <w:vAlign w:val="center"/>
          </w:tcPr>
          <w:p w14:paraId="452CDEC3"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r>
      <w:tr w:rsidR="00E70101" w14:paraId="09621C4C" w14:textId="77777777">
        <w:trPr>
          <w:jc w:val="center"/>
        </w:trPr>
        <w:tc>
          <w:tcPr>
            <w:tcW w:w="1136" w:type="dxa"/>
            <w:vMerge/>
            <w:tcBorders>
              <w:top w:val="single" w:sz="2" w:space="0" w:color="404040"/>
              <w:left w:val="single" w:sz="2" w:space="0" w:color="404040"/>
              <w:bottom w:val="single" w:sz="2" w:space="0" w:color="404040"/>
            </w:tcBorders>
            <w:shd w:val="clear" w:color="auto" w:fill="auto"/>
            <w:vAlign w:val="center"/>
          </w:tcPr>
          <w:p w14:paraId="47A69AA1" w14:textId="77777777" w:rsidR="00E70101" w:rsidRDefault="00E70101">
            <w:pPr>
              <w:widowControl/>
              <w:snapToGrid w:val="0"/>
              <w:spacing w:line="240" w:lineRule="exact"/>
              <w:rPr>
                <w:rFonts w:ascii="Arial" w:eastAsia="仿宋_GB2312;仿宋" w:hAnsi="Arial" w:cs="Arial"/>
                <w:sz w:val="18"/>
                <w:szCs w:val="13"/>
              </w:rPr>
            </w:pPr>
          </w:p>
        </w:tc>
        <w:tc>
          <w:tcPr>
            <w:tcW w:w="2386" w:type="dxa"/>
            <w:tcBorders>
              <w:top w:val="single" w:sz="2" w:space="0" w:color="808080"/>
              <w:left w:val="single" w:sz="2" w:space="0" w:color="808080"/>
              <w:bottom w:val="single" w:sz="2" w:space="0" w:color="808080"/>
            </w:tcBorders>
            <w:shd w:val="clear" w:color="auto" w:fill="auto"/>
            <w:vAlign w:val="center"/>
          </w:tcPr>
          <w:p w14:paraId="5D86E0A3" w14:textId="77777777" w:rsidR="00E70101" w:rsidRDefault="0060680B">
            <w:pPr>
              <w:widowControl/>
              <w:spacing w:line="240" w:lineRule="exact"/>
              <w:rPr>
                <w:rFonts w:ascii="Arial" w:eastAsia="仿宋_GB2312;仿宋" w:hAnsi="Arial" w:cs="Arial"/>
                <w:sz w:val="18"/>
                <w:szCs w:val="13"/>
              </w:rPr>
            </w:pPr>
            <w:r>
              <w:rPr>
                <w:rFonts w:ascii="Arial" w:eastAsia="仿宋_GB2312;仿宋" w:hAnsi="Arial" w:cs="Arial"/>
                <w:sz w:val="18"/>
                <w:szCs w:val="13"/>
              </w:rPr>
              <w:t>交通便捷度</w:t>
            </w:r>
          </w:p>
        </w:tc>
        <w:tc>
          <w:tcPr>
            <w:tcW w:w="524" w:type="dxa"/>
            <w:tcBorders>
              <w:top w:val="single" w:sz="2" w:space="0" w:color="808080"/>
              <w:left w:val="single" w:sz="2" w:space="0" w:color="808080"/>
              <w:bottom w:val="single" w:sz="2" w:space="0" w:color="808080"/>
            </w:tcBorders>
            <w:shd w:val="clear" w:color="auto" w:fill="auto"/>
            <w:vAlign w:val="center"/>
          </w:tcPr>
          <w:p w14:paraId="1A64B85D"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456" w:type="dxa"/>
            <w:tcBorders>
              <w:top w:val="single" w:sz="2" w:space="0" w:color="808080"/>
              <w:bottom w:val="single" w:sz="2" w:space="0" w:color="808080"/>
            </w:tcBorders>
            <w:shd w:val="clear" w:color="auto" w:fill="auto"/>
            <w:vAlign w:val="center"/>
          </w:tcPr>
          <w:p w14:paraId="250197E3"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96" w:type="dxa"/>
            <w:tcBorders>
              <w:top w:val="single" w:sz="2" w:space="0" w:color="808080"/>
              <w:left w:val="single" w:sz="2" w:space="0" w:color="808080"/>
              <w:bottom w:val="single" w:sz="2" w:space="0" w:color="808080"/>
            </w:tcBorders>
            <w:shd w:val="clear" w:color="auto" w:fill="auto"/>
            <w:vAlign w:val="center"/>
          </w:tcPr>
          <w:p w14:paraId="492C999C"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16" w:type="dxa"/>
            <w:tcBorders>
              <w:top w:val="single" w:sz="2" w:space="0" w:color="808080"/>
              <w:bottom w:val="single" w:sz="2" w:space="0" w:color="808080"/>
            </w:tcBorders>
            <w:shd w:val="clear" w:color="auto" w:fill="auto"/>
            <w:vAlign w:val="center"/>
          </w:tcPr>
          <w:p w14:paraId="4F0DCDB6"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98</w:t>
            </w:r>
          </w:p>
        </w:tc>
        <w:tc>
          <w:tcPr>
            <w:tcW w:w="526" w:type="dxa"/>
            <w:tcBorders>
              <w:top w:val="single" w:sz="2" w:space="0" w:color="808080"/>
              <w:left w:val="single" w:sz="2" w:space="0" w:color="808080"/>
              <w:bottom w:val="single" w:sz="2" w:space="0" w:color="808080"/>
            </w:tcBorders>
            <w:shd w:val="clear" w:color="auto" w:fill="auto"/>
            <w:vAlign w:val="center"/>
          </w:tcPr>
          <w:p w14:paraId="5F99A95D"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65" w:type="dxa"/>
            <w:tcBorders>
              <w:top w:val="single" w:sz="2" w:space="0" w:color="808080"/>
              <w:bottom w:val="single" w:sz="2" w:space="0" w:color="808080"/>
              <w:right w:val="single" w:sz="2" w:space="0" w:color="808080"/>
            </w:tcBorders>
            <w:shd w:val="clear" w:color="auto" w:fill="auto"/>
            <w:vAlign w:val="center"/>
          </w:tcPr>
          <w:p w14:paraId="2503445B"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r>
      <w:tr w:rsidR="00E70101" w14:paraId="075E1E3F" w14:textId="77777777">
        <w:trPr>
          <w:jc w:val="center"/>
        </w:trPr>
        <w:tc>
          <w:tcPr>
            <w:tcW w:w="1136" w:type="dxa"/>
            <w:vMerge/>
            <w:tcBorders>
              <w:top w:val="single" w:sz="2" w:space="0" w:color="404040"/>
              <w:left w:val="single" w:sz="2" w:space="0" w:color="404040"/>
              <w:bottom w:val="single" w:sz="2" w:space="0" w:color="404040"/>
            </w:tcBorders>
            <w:shd w:val="clear" w:color="auto" w:fill="auto"/>
            <w:vAlign w:val="center"/>
          </w:tcPr>
          <w:p w14:paraId="13E43CCB" w14:textId="77777777" w:rsidR="00E70101" w:rsidRDefault="00E70101">
            <w:pPr>
              <w:widowControl/>
              <w:snapToGrid w:val="0"/>
              <w:spacing w:line="240" w:lineRule="exact"/>
              <w:rPr>
                <w:rFonts w:ascii="Arial" w:eastAsia="仿宋_GB2312;仿宋" w:hAnsi="Arial" w:cs="Arial"/>
                <w:sz w:val="18"/>
                <w:szCs w:val="13"/>
              </w:rPr>
            </w:pPr>
          </w:p>
        </w:tc>
        <w:tc>
          <w:tcPr>
            <w:tcW w:w="2386" w:type="dxa"/>
            <w:tcBorders>
              <w:top w:val="single" w:sz="2" w:space="0" w:color="808080"/>
              <w:left w:val="single" w:sz="2" w:space="0" w:color="808080"/>
              <w:bottom w:val="single" w:sz="2" w:space="0" w:color="808080"/>
            </w:tcBorders>
            <w:shd w:val="clear" w:color="auto" w:fill="auto"/>
            <w:vAlign w:val="center"/>
          </w:tcPr>
          <w:p w14:paraId="35FCFF87" w14:textId="77777777" w:rsidR="00E70101" w:rsidRDefault="0060680B">
            <w:pPr>
              <w:widowControl/>
              <w:spacing w:line="240" w:lineRule="exact"/>
              <w:rPr>
                <w:rFonts w:ascii="Arial" w:eastAsia="仿宋_GB2312;仿宋" w:hAnsi="Arial" w:cs="Arial"/>
                <w:sz w:val="18"/>
                <w:szCs w:val="13"/>
              </w:rPr>
            </w:pPr>
            <w:r>
              <w:rPr>
                <w:rFonts w:ascii="Arial" w:eastAsia="仿宋_GB2312;仿宋" w:hAnsi="Arial" w:cs="Arial"/>
                <w:sz w:val="18"/>
                <w:szCs w:val="13"/>
              </w:rPr>
              <w:t>区域土地利用方向</w:t>
            </w:r>
          </w:p>
        </w:tc>
        <w:tc>
          <w:tcPr>
            <w:tcW w:w="524" w:type="dxa"/>
            <w:tcBorders>
              <w:top w:val="single" w:sz="2" w:space="0" w:color="808080"/>
              <w:left w:val="single" w:sz="2" w:space="0" w:color="808080"/>
              <w:bottom w:val="single" w:sz="2" w:space="0" w:color="808080"/>
            </w:tcBorders>
            <w:shd w:val="clear" w:color="auto" w:fill="auto"/>
            <w:vAlign w:val="center"/>
          </w:tcPr>
          <w:p w14:paraId="45E3B855"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456" w:type="dxa"/>
            <w:tcBorders>
              <w:top w:val="single" w:sz="2" w:space="0" w:color="808080"/>
              <w:bottom w:val="single" w:sz="2" w:space="0" w:color="808080"/>
            </w:tcBorders>
            <w:shd w:val="clear" w:color="auto" w:fill="auto"/>
            <w:vAlign w:val="center"/>
          </w:tcPr>
          <w:p w14:paraId="4C2369FF"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96" w:type="dxa"/>
            <w:tcBorders>
              <w:top w:val="single" w:sz="2" w:space="0" w:color="808080"/>
              <w:left w:val="single" w:sz="2" w:space="0" w:color="808080"/>
              <w:bottom w:val="single" w:sz="2" w:space="0" w:color="808080"/>
            </w:tcBorders>
            <w:shd w:val="clear" w:color="auto" w:fill="auto"/>
            <w:vAlign w:val="center"/>
          </w:tcPr>
          <w:p w14:paraId="05A642AB"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16" w:type="dxa"/>
            <w:tcBorders>
              <w:top w:val="single" w:sz="2" w:space="0" w:color="808080"/>
              <w:bottom w:val="single" w:sz="2" w:space="0" w:color="808080"/>
            </w:tcBorders>
            <w:shd w:val="clear" w:color="auto" w:fill="auto"/>
            <w:vAlign w:val="center"/>
          </w:tcPr>
          <w:p w14:paraId="5658443B"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26" w:type="dxa"/>
            <w:tcBorders>
              <w:top w:val="single" w:sz="2" w:space="0" w:color="808080"/>
              <w:left w:val="single" w:sz="2" w:space="0" w:color="808080"/>
              <w:bottom w:val="single" w:sz="2" w:space="0" w:color="808080"/>
            </w:tcBorders>
            <w:shd w:val="clear" w:color="auto" w:fill="auto"/>
            <w:vAlign w:val="center"/>
          </w:tcPr>
          <w:p w14:paraId="133E686C"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65" w:type="dxa"/>
            <w:tcBorders>
              <w:top w:val="single" w:sz="2" w:space="0" w:color="808080"/>
              <w:bottom w:val="single" w:sz="2" w:space="0" w:color="808080"/>
              <w:right w:val="single" w:sz="2" w:space="0" w:color="808080"/>
            </w:tcBorders>
            <w:shd w:val="clear" w:color="auto" w:fill="auto"/>
            <w:vAlign w:val="center"/>
          </w:tcPr>
          <w:p w14:paraId="5C38BAAB"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r>
      <w:tr w:rsidR="00E70101" w14:paraId="1455F72A" w14:textId="77777777">
        <w:trPr>
          <w:jc w:val="center"/>
        </w:trPr>
        <w:tc>
          <w:tcPr>
            <w:tcW w:w="1136" w:type="dxa"/>
            <w:vMerge/>
            <w:tcBorders>
              <w:top w:val="single" w:sz="2" w:space="0" w:color="404040"/>
              <w:left w:val="single" w:sz="2" w:space="0" w:color="404040"/>
              <w:bottom w:val="single" w:sz="2" w:space="0" w:color="404040"/>
            </w:tcBorders>
            <w:shd w:val="clear" w:color="auto" w:fill="auto"/>
            <w:vAlign w:val="center"/>
          </w:tcPr>
          <w:p w14:paraId="40BB0E7C" w14:textId="77777777" w:rsidR="00E70101" w:rsidRDefault="00E70101">
            <w:pPr>
              <w:widowControl/>
              <w:snapToGrid w:val="0"/>
              <w:spacing w:line="240" w:lineRule="exact"/>
              <w:rPr>
                <w:rFonts w:ascii="Arial" w:eastAsia="仿宋_GB2312;仿宋" w:hAnsi="Arial" w:cs="Arial"/>
                <w:sz w:val="18"/>
                <w:szCs w:val="13"/>
              </w:rPr>
            </w:pPr>
          </w:p>
        </w:tc>
        <w:tc>
          <w:tcPr>
            <w:tcW w:w="2386" w:type="dxa"/>
            <w:tcBorders>
              <w:top w:val="single" w:sz="2" w:space="0" w:color="808080"/>
              <w:left w:val="single" w:sz="2" w:space="0" w:color="808080"/>
              <w:bottom w:val="single" w:sz="2" w:space="0" w:color="808080"/>
            </w:tcBorders>
            <w:shd w:val="clear" w:color="auto" w:fill="auto"/>
            <w:vAlign w:val="center"/>
          </w:tcPr>
          <w:p w14:paraId="63277C58" w14:textId="77777777" w:rsidR="00E70101" w:rsidRDefault="0060680B">
            <w:pPr>
              <w:widowControl/>
              <w:spacing w:line="240" w:lineRule="exact"/>
              <w:rPr>
                <w:rFonts w:ascii="Arial" w:eastAsia="仿宋_GB2312;仿宋" w:hAnsi="Arial" w:cs="Arial"/>
                <w:sz w:val="18"/>
                <w:szCs w:val="13"/>
              </w:rPr>
            </w:pPr>
            <w:r>
              <w:rPr>
                <w:rFonts w:ascii="Arial" w:eastAsia="仿宋_GB2312;仿宋" w:hAnsi="Arial" w:cs="Arial"/>
                <w:sz w:val="18"/>
                <w:szCs w:val="13"/>
              </w:rPr>
              <w:t>环境状况</w:t>
            </w:r>
          </w:p>
        </w:tc>
        <w:tc>
          <w:tcPr>
            <w:tcW w:w="524" w:type="dxa"/>
            <w:tcBorders>
              <w:top w:val="single" w:sz="2" w:space="0" w:color="808080"/>
              <w:left w:val="single" w:sz="2" w:space="0" w:color="808080"/>
              <w:bottom w:val="single" w:sz="2" w:space="0" w:color="808080"/>
            </w:tcBorders>
            <w:shd w:val="clear" w:color="auto" w:fill="auto"/>
            <w:vAlign w:val="center"/>
          </w:tcPr>
          <w:p w14:paraId="7CDA18E0"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456" w:type="dxa"/>
            <w:tcBorders>
              <w:top w:val="single" w:sz="2" w:space="0" w:color="808080"/>
              <w:bottom w:val="single" w:sz="2" w:space="0" w:color="808080"/>
            </w:tcBorders>
            <w:shd w:val="clear" w:color="auto" w:fill="auto"/>
            <w:vAlign w:val="center"/>
          </w:tcPr>
          <w:p w14:paraId="55F95291"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96" w:type="dxa"/>
            <w:tcBorders>
              <w:top w:val="single" w:sz="2" w:space="0" w:color="808080"/>
              <w:left w:val="single" w:sz="2" w:space="0" w:color="808080"/>
              <w:bottom w:val="single" w:sz="2" w:space="0" w:color="808080"/>
            </w:tcBorders>
            <w:shd w:val="clear" w:color="auto" w:fill="auto"/>
            <w:vAlign w:val="center"/>
          </w:tcPr>
          <w:p w14:paraId="58E174FE"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16" w:type="dxa"/>
            <w:tcBorders>
              <w:top w:val="single" w:sz="2" w:space="0" w:color="808080"/>
              <w:bottom w:val="single" w:sz="2" w:space="0" w:color="808080"/>
            </w:tcBorders>
            <w:shd w:val="clear" w:color="auto" w:fill="auto"/>
            <w:vAlign w:val="center"/>
          </w:tcPr>
          <w:p w14:paraId="5C5218D3"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26" w:type="dxa"/>
            <w:tcBorders>
              <w:top w:val="single" w:sz="2" w:space="0" w:color="808080"/>
              <w:left w:val="single" w:sz="2" w:space="0" w:color="808080"/>
              <w:bottom w:val="single" w:sz="2" w:space="0" w:color="808080"/>
            </w:tcBorders>
            <w:shd w:val="clear" w:color="auto" w:fill="auto"/>
            <w:vAlign w:val="center"/>
          </w:tcPr>
          <w:p w14:paraId="548F4DB6"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65" w:type="dxa"/>
            <w:tcBorders>
              <w:top w:val="single" w:sz="2" w:space="0" w:color="808080"/>
              <w:bottom w:val="single" w:sz="2" w:space="0" w:color="808080"/>
              <w:right w:val="single" w:sz="2" w:space="0" w:color="808080"/>
            </w:tcBorders>
            <w:shd w:val="clear" w:color="auto" w:fill="auto"/>
            <w:vAlign w:val="center"/>
          </w:tcPr>
          <w:p w14:paraId="18A53103"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r>
      <w:tr w:rsidR="00E70101" w14:paraId="4AE5B14C" w14:textId="77777777">
        <w:trPr>
          <w:jc w:val="center"/>
        </w:trPr>
        <w:tc>
          <w:tcPr>
            <w:tcW w:w="1136" w:type="dxa"/>
            <w:vMerge/>
            <w:tcBorders>
              <w:top w:val="single" w:sz="2" w:space="0" w:color="404040"/>
              <w:left w:val="single" w:sz="2" w:space="0" w:color="404040"/>
              <w:bottom w:val="single" w:sz="2" w:space="0" w:color="404040"/>
            </w:tcBorders>
            <w:shd w:val="clear" w:color="auto" w:fill="auto"/>
            <w:vAlign w:val="center"/>
          </w:tcPr>
          <w:p w14:paraId="40F7CD24" w14:textId="77777777" w:rsidR="00E70101" w:rsidRDefault="00E70101">
            <w:pPr>
              <w:widowControl/>
              <w:snapToGrid w:val="0"/>
              <w:spacing w:line="240" w:lineRule="exact"/>
              <w:rPr>
                <w:rFonts w:ascii="Arial" w:eastAsia="仿宋_GB2312;仿宋" w:hAnsi="Arial" w:cs="Arial"/>
                <w:sz w:val="18"/>
                <w:szCs w:val="13"/>
              </w:rPr>
            </w:pPr>
          </w:p>
        </w:tc>
        <w:tc>
          <w:tcPr>
            <w:tcW w:w="2386" w:type="dxa"/>
            <w:tcBorders>
              <w:top w:val="single" w:sz="2" w:space="0" w:color="404040"/>
              <w:left w:val="single" w:sz="2" w:space="0" w:color="404040"/>
              <w:bottom w:val="single" w:sz="2" w:space="0" w:color="404040"/>
            </w:tcBorders>
            <w:shd w:val="clear" w:color="auto" w:fill="auto"/>
            <w:vAlign w:val="bottom"/>
          </w:tcPr>
          <w:p w14:paraId="7D85B178" w14:textId="77777777" w:rsidR="00E70101" w:rsidRDefault="0060680B">
            <w:pPr>
              <w:widowControl/>
              <w:spacing w:line="240" w:lineRule="exact"/>
              <w:rPr>
                <w:rFonts w:ascii="Arial" w:eastAsia="仿宋_GB2312;仿宋" w:hAnsi="Arial" w:cs="Arial"/>
                <w:sz w:val="18"/>
                <w:szCs w:val="13"/>
              </w:rPr>
            </w:pPr>
            <w:r>
              <w:rPr>
                <w:rFonts w:ascii="仿宋" w:eastAsia="仿宋" w:hAnsi="仿宋" w:cs="Arial"/>
                <w:sz w:val="18"/>
                <w:szCs w:val="18"/>
              </w:rPr>
              <w:t>公共配套设施</w:t>
            </w:r>
          </w:p>
        </w:tc>
        <w:tc>
          <w:tcPr>
            <w:tcW w:w="524" w:type="dxa"/>
            <w:tcBorders>
              <w:top w:val="single" w:sz="2" w:space="0" w:color="404040"/>
              <w:left w:val="single" w:sz="2" w:space="0" w:color="404040"/>
              <w:bottom w:val="single" w:sz="2" w:space="0" w:color="404040"/>
            </w:tcBorders>
            <w:shd w:val="clear" w:color="auto" w:fill="auto"/>
            <w:vAlign w:val="center"/>
          </w:tcPr>
          <w:p w14:paraId="0CF64F2B"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456" w:type="dxa"/>
            <w:tcBorders>
              <w:top w:val="single" w:sz="2" w:space="0" w:color="404040"/>
              <w:bottom w:val="single" w:sz="2" w:space="0" w:color="404040"/>
            </w:tcBorders>
            <w:shd w:val="clear" w:color="auto" w:fill="auto"/>
            <w:vAlign w:val="center"/>
          </w:tcPr>
          <w:p w14:paraId="6047E0C9"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96" w:type="dxa"/>
            <w:tcBorders>
              <w:top w:val="single" w:sz="2" w:space="0" w:color="404040"/>
              <w:left w:val="single" w:sz="2" w:space="0" w:color="404040"/>
              <w:bottom w:val="single" w:sz="2" w:space="0" w:color="404040"/>
            </w:tcBorders>
            <w:shd w:val="clear" w:color="auto" w:fill="auto"/>
            <w:vAlign w:val="center"/>
          </w:tcPr>
          <w:p w14:paraId="408779C1"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16" w:type="dxa"/>
            <w:tcBorders>
              <w:top w:val="single" w:sz="2" w:space="0" w:color="404040"/>
              <w:bottom w:val="single" w:sz="2" w:space="0" w:color="404040"/>
            </w:tcBorders>
            <w:shd w:val="clear" w:color="auto" w:fill="auto"/>
            <w:vAlign w:val="center"/>
          </w:tcPr>
          <w:p w14:paraId="2856A8D2"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26" w:type="dxa"/>
            <w:tcBorders>
              <w:top w:val="single" w:sz="2" w:space="0" w:color="404040"/>
              <w:left w:val="single" w:sz="2" w:space="0" w:color="404040"/>
              <w:bottom w:val="single" w:sz="2" w:space="0" w:color="404040"/>
            </w:tcBorders>
            <w:shd w:val="clear" w:color="auto" w:fill="auto"/>
            <w:vAlign w:val="center"/>
          </w:tcPr>
          <w:p w14:paraId="1F97539D"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65" w:type="dxa"/>
            <w:tcBorders>
              <w:top w:val="single" w:sz="2" w:space="0" w:color="404040"/>
              <w:bottom w:val="single" w:sz="2" w:space="0" w:color="404040"/>
              <w:right w:val="single" w:sz="2" w:space="0" w:color="404040"/>
            </w:tcBorders>
            <w:shd w:val="clear" w:color="auto" w:fill="auto"/>
            <w:vAlign w:val="center"/>
          </w:tcPr>
          <w:p w14:paraId="0B6F60EA"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r>
      <w:tr w:rsidR="00E70101" w14:paraId="4EBE672F" w14:textId="77777777">
        <w:trPr>
          <w:jc w:val="center"/>
        </w:trPr>
        <w:tc>
          <w:tcPr>
            <w:tcW w:w="1136" w:type="dxa"/>
            <w:vMerge/>
            <w:tcBorders>
              <w:top w:val="single" w:sz="2" w:space="0" w:color="404040"/>
              <w:left w:val="single" w:sz="2" w:space="0" w:color="404040"/>
              <w:bottom w:val="single" w:sz="2" w:space="0" w:color="404040"/>
            </w:tcBorders>
            <w:shd w:val="clear" w:color="auto" w:fill="auto"/>
            <w:vAlign w:val="center"/>
          </w:tcPr>
          <w:p w14:paraId="68CF849A" w14:textId="77777777" w:rsidR="00E70101" w:rsidRDefault="00E70101">
            <w:pPr>
              <w:widowControl/>
              <w:snapToGrid w:val="0"/>
              <w:spacing w:line="240" w:lineRule="exact"/>
              <w:rPr>
                <w:rFonts w:ascii="Arial" w:eastAsia="仿宋_GB2312;仿宋" w:hAnsi="Arial" w:cs="Arial"/>
                <w:sz w:val="18"/>
                <w:szCs w:val="13"/>
              </w:rPr>
            </w:pPr>
          </w:p>
        </w:tc>
        <w:tc>
          <w:tcPr>
            <w:tcW w:w="2386" w:type="dxa"/>
            <w:tcBorders>
              <w:top w:val="single" w:sz="2" w:space="0" w:color="808080"/>
              <w:left w:val="single" w:sz="2" w:space="0" w:color="808080"/>
              <w:bottom w:val="single" w:sz="2" w:space="0" w:color="808080"/>
            </w:tcBorders>
            <w:shd w:val="clear" w:color="auto" w:fill="auto"/>
            <w:vAlign w:val="bottom"/>
          </w:tcPr>
          <w:p w14:paraId="7C1EF989" w14:textId="77777777" w:rsidR="00E70101" w:rsidRDefault="0060680B">
            <w:pPr>
              <w:widowControl/>
              <w:spacing w:line="240" w:lineRule="exact"/>
              <w:rPr>
                <w:rFonts w:ascii="Arial" w:eastAsia="仿宋_GB2312;仿宋" w:hAnsi="Arial" w:cs="Arial"/>
                <w:sz w:val="18"/>
                <w:szCs w:val="13"/>
              </w:rPr>
            </w:pPr>
            <w:r>
              <w:rPr>
                <w:rFonts w:ascii="Arial" w:eastAsia="仿宋_GB2312;仿宋" w:hAnsi="Arial" w:cs="Arial"/>
                <w:sz w:val="18"/>
                <w:szCs w:val="13"/>
              </w:rPr>
              <w:t>基础设施水平</w:t>
            </w:r>
          </w:p>
        </w:tc>
        <w:tc>
          <w:tcPr>
            <w:tcW w:w="524" w:type="dxa"/>
            <w:tcBorders>
              <w:top w:val="single" w:sz="2" w:space="0" w:color="808080"/>
              <w:left w:val="single" w:sz="2" w:space="0" w:color="808080"/>
              <w:bottom w:val="single" w:sz="2" w:space="0" w:color="808080"/>
            </w:tcBorders>
            <w:shd w:val="clear" w:color="auto" w:fill="auto"/>
            <w:vAlign w:val="center"/>
          </w:tcPr>
          <w:p w14:paraId="4B57E4B2"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456" w:type="dxa"/>
            <w:tcBorders>
              <w:top w:val="single" w:sz="2" w:space="0" w:color="808080"/>
              <w:bottom w:val="single" w:sz="2" w:space="0" w:color="808080"/>
            </w:tcBorders>
            <w:shd w:val="clear" w:color="auto" w:fill="auto"/>
            <w:vAlign w:val="center"/>
          </w:tcPr>
          <w:p w14:paraId="05ED581C"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96" w:type="dxa"/>
            <w:tcBorders>
              <w:top w:val="single" w:sz="2" w:space="0" w:color="808080"/>
              <w:left w:val="single" w:sz="2" w:space="0" w:color="808080"/>
              <w:bottom w:val="single" w:sz="2" w:space="0" w:color="808080"/>
            </w:tcBorders>
            <w:shd w:val="clear" w:color="auto" w:fill="auto"/>
            <w:vAlign w:val="center"/>
          </w:tcPr>
          <w:p w14:paraId="7D59DCAC"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16" w:type="dxa"/>
            <w:tcBorders>
              <w:top w:val="single" w:sz="2" w:space="0" w:color="808080"/>
              <w:bottom w:val="single" w:sz="2" w:space="0" w:color="808080"/>
            </w:tcBorders>
            <w:shd w:val="clear" w:color="auto" w:fill="auto"/>
            <w:vAlign w:val="center"/>
          </w:tcPr>
          <w:p w14:paraId="7B739CA8"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26" w:type="dxa"/>
            <w:tcBorders>
              <w:top w:val="single" w:sz="2" w:space="0" w:color="808080"/>
              <w:left w:val="single" w:sz="2" w:space="0" w:color="808080"/>
              <w:bottom w:val="single" w:sz="2" w:space="0" w:color="808080"/>
            </w:tcBorders>
            <w:shd w:val="clear" w:color="auto" w:fill="auto"/>
            <w:vAlign w:val="center"/>
          </w:tcPr>
          <w:p w14:paraId="1D4DC1B5"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65" w:type="dxa"/>
            <w:tcBorders>
              <w:top w:val="single" w:sz="2" w:space="0" w:color="808080"/>
              <w:bottom w:val="single" w:sz="2" w:space="0" w:color="808080"/>
              <w:right w:val="single" w:sz="2" w:space="0" w:color="808080"/>
            </w:tcBorders>
            <w:shd w:val="clear" w:color="auto" w:fill="auto"/>
            <w:vAlign w:val="center"/>
          </w:tcPr>
          <w:p w14:paraId="4B0D0D27"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r>
      <w:tr w:rsidR="00E70101" w14:paraId="4E9788DD" w14:textId="77777777">
        <w:trPr>
          <w:jc w:val="center"/>
        </w:trPr>
        <w:tc>
          <w:tcPr>
            <w:tcW w:w="1136" w:type="dxa"/>
            <w:vMerge w:val="restart"/>
            <w:tcBorders>
              <w:top w:val="single" w:sz="2" w:space="0" w:color="808080"/>
              <w:left w:val="single" w:sz="2" w:space="0" w:color="808080"/>
              <w:bottom w:val="single" w:sz="2" w:space="0" w:color="404040"/>
            </w:tcBorders>
            <w:shd w:val="clear" w:color="auto" w:fill="auto"/>
            <w:vAlign w:val="center"/>
          </w:tcPr>
          <w:p w14:paraId="798963FE" w14:textId="77777777" w:rsidR="00E70101" w:rsidRDefault="0060680B">
            <w:pPr>
              <w:widowControl/>
              <w:spacing w:line="240" w:lineRule="exact"/>
              <w:rPr>
                <w:rFonts w:ascii="Arial" w:eastAsia="仿宋_GB2312;仿宋" w:hAnsi="Arial" w:cs="Arial"/>
                <w:sz w:val="18"/>
                <w:szCs w:val="13"/>
              </w:rPr>
            </w:pPr>
            <w:r>
              <w:rPr>
                <w:rFonts w:ascii="Arial" w:eastAsia="仿宋_GB2312;仿宋" w:hAnsi="Arial" w:cs="Arial"/>
                <w:sz w:val="18"/>
                <w:szCs w:val="13"/>
              </w:rPr>
              <w:t>个别因素</w:t>
            </w:r>
          </w:p>
        </w:tc>
        <w:tc>
          <w:tcPr>
            <w:tcW w:w="2386" w:type="dxa"/>
            <w:tcBorders>
              <w:top w:val="single" w:sz="2" w:space="0" w:color="808080"/>
              <w:left w:val="single" w:sz="2" w:space="0" w:color="808080"/>
              <w:bottom w:val="single" w:sz="2" w:space="0" w:color="808080"/>
            </w:tcBorders>
            <w:shd w:val="clear" w:color="auto" w:fill="auto"/>
            <w:vAlign w:val="center"/>
          </w:tcPr>
          <w:p w14:paraId="26CDF306" w14:textId="77777777" w:rsidR="00E70101" w:rsidRDefault="0060680B">
            <w:pPr>
              <w:widowControl/>
              <w:spacing w:line="240" w:lineRule="exact"/>
              <w:rPr>
                <w:rFonts w:ascii="Arial" w:eastAsia="仿宋_GB2312;仿宋" w:hAnsi="Arial" w:cs="Arial"/>
                <w:sz w:val="18"/>
                <w:szCs w:val="13"/>
              </w:rPr>
            </w:pPr>
            <w:r>
              <w:rPr>
                <w:rFonts w:ascii="Arial" w:eastAsia="仿宋_GB2312;仿宋" w:hAnsi="Arial" w:cs="Arial"/>
                <w:sz w:val="18"/>
                <w:szCs w:val="13"/>
              </w:rPr>
              <w:t>宗地面积</w:t>
            </w:r>
          </w:p>
        </w:tc>
        <w:tc>
          <w:tcPr>
            <w:tcW w:w="524" w:type="dxa"/>
            <w:tcBorders>
              <w:top w:val="single" w:sz="2" w:space="0" w:color="808080"/>
              <w:left w:val="single" w:sz="2" w:space="0" w:color="808080"/>
              <w:bottom w:val="single" w:sz="2" w:space="0" w:color="808080"/>
            </w:tcBorders>
            <w:shd w:val="clear" w:color="auto" w:fill="auto"/>
            <w:vAlign w:val="center"/>
          </w:tcPr>
          <w:p w14:paraId="45F0E873"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456" w:type="dxa"/>
            <w:tcBorders>
              <w:top w:val="single" w:sz="2" w:space="0" w:color="808080"/>
              <w:bottom w:val="single" w:sz="2" w:space="0" w:color="808080"/>
            </w:tcBorders>
            <w:shd w:val="clear" w:color="auto" w:fill="auto"/>
            <w:vAlign w:val="center"/>
          </w:tcPr>
          <w:p w14:paraId="46125141"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102</w:t>
            </w:r>
          </w:p>
        </w:tc>
        <w:tc>
          <w:tcPr>
            <w:tcW w:w="596" w:type="dxa"/>
            <w:tcBorders>
              <w:top w:val="single" w:sz="2" w:space="0" w:color="808080"/>
              <w:left w:val="single" w:sz="2" w:space="0" w:color="808080"/>
              <w:bottom w:val="single" w:sz="2" w:space="0" w:color="808080"/>
            </w:tcBorders>
            <w:shd w:val="clear" w:color="auto" w:fill="auto"/>
            <w:vAlign w:val="center"/>
          </w:tcPr>
          <w:p w14:paraId="47C3FD69"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16" w:type="dxa"/>
            <w:tcBorders>
              <w:top w:val="single" w:sz="2" w:space="0" w:color="808080"/>
              <w:bottom w:val="single" w:sz="2" w:space="0" w:color="808080"/>
            </w:tcBorders>
            <w:shd w:val="clear" w:color="auto" w:fill="auto"/>
            <w:vAlign w:val="center"/>
          </w:tcPr>
          <w:p w14:paraId="44DD73F8"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26" w:type="dxa"/>
            <w:tcBorders>
              <w:top w:val="single" w:sz="2" w:space="0" w:color="808080"/>
              <w:left w:val="single" w:sz="2" w:space="0" w:color="808080"/>
              <w:bottom w:val="single" w:sz="2" w:space="0" w:color="808080"/>
            </w:tcBorders>
            <w:shd w:val="clear" w:color="auto" w:fill="auto"/>
            <w:vAlign w:val="center"/>
          </w:tcPr>
          <w:p w14:paraId="7EB6CE3A"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65" w:type="dxa"/>
            <w:tcBorders>
              <w:top w:val="single" w:sz="2" w:space="0" w:color="808080"/>
              <w:bottom w:val="single" w:sz="2" w:space="0" w:color="808080"/>
              <w:right w:val="single" w:sz="2" w:space="0" w:color="808080"/>
            </w:tcBorders>
            <w:shd w:val="clear" w:color="auto" w:fill="auto"/>
            <w:vAlign w:val="center"/>
          </w:tcPr>
          <w:p w14:paraId="46127ECE"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95</w:t>
            </w:r>
          </w:p>
        </w:tc>
      </w:tr>
      <w:tr w:rsidR="00E70101" w14:paraId="0CE53F0C" w14:textId="77777777">
        <w:trPr>
          <w:jc w:val="center"/>
        </w:trPr>
        <w:tc>
          <w:tcPr>
            <w:tcW w:w="1136" w:type="dxa"/>
            <w:vMerge/>
            <w:tcBorders>
              <w:top w:val="single" w:sz="2" w:space="0" w:color="808080"/>
              <w:left w:val="single" w:sz="2" w:space="0" w:color="808080"/>
              <w:bottom w:val="single" w:sz="2" w:space="0" w:color="404040"/>
            </w:tcBorders>
            <w:shd w:val="clear" w:color="auto" w:fill="auto"/>
            <w:vAlign w:val="center"/>
          </w:tcPr>
          <w:p w14:paraId="266A72EF" w14:textId="77777777" w:rsidR="00E70101" w:rsidRDefault="00E70101">
            <w:pPr>
              <w:widowControl/>
              <w:snapToGrid w:val="0"/>
              <w:spacing w:line="240" w:lineRule="exact"/>
              <w:rPr>
                <w:rFonts w:ascii="Arial" w:eastAsia="仿宋_GB2312;仿宋" w:hAnsi="Arial" w:cs="Arial"/>
                <w:sz w:val="18"/>
                <w:szCs w:val="13"/>
              </w:rPr>
            </w:pPr>
          </w:p>
        </w:tc>
        <w:tc>
          <w:tcPr>
            <w:tcW w:w="2386" w:type="dxa"/>
            <w:tcBorders>
              <w:top w:val="single" w:sz="2" w:space="0" w:color="808080"/>
              <w:left w:val="single" w:sz="2" w:space="0" w:color="808080"/>
              <w:bottom w:val="single" w:sz="2" w:space="0" w:color="808080"/>
            </w:tcBorders>
            <w:shd w:val="clear" w:color="auto" w:fill="auto"/>
            <w:vAlign w:val="bottom"/>
          </w:tcPr>
          <w:p w14:paraId="5CC7FCD6" w14:textId="77777777" w:rsidR="00E70101" w:rsidRDefault="0060680B">
            <w:pPr>
              <w:widowControl/>
              <w:spacing w:line="240" w:lineRule="exact"/>
              <w:rPr>
                <w:rFonts w:ascii="Arial" w:eastAsia="仿宋_GB2312;仿宋" w:hAnsi="Arial" w:cs="Arial"/>
                <w:sz w:val="18"/>
                <w:szCs w:val="13"/>
              </w:rPr>
            </w:pPr>
            <w:r>
              <w:rPr>
                <w:rFonts w:ascii="Arial" w:eastAsia="仿宋_GB2312;仿宋" w:hAnsi="Arial" w:cs="Arial"/>
                <w:sz w:val="18"/>
                <w:szCs w:val="13"/>
              </w:rPr>
              <w:t>宗地形状</w:t>
            </w:r>
          </w:p>
        </w:tc>
        <w:tc>
          <w:tcPr>
            <w:tcW w:w="524" w:type="dxa"/>
            <w:tcBorders>
              <w:top w:val="single" w:sz="2" w:space="0" w:color="808080"/>
              <w:left w:val="single" w:sz="2" w:space="0" w:color="808080"/>
              <w:bottom w:val="single" w:sz="2" w:space="0" w:color="808080"/>
            </w:tcBorders>
            <w:shd w:val="clear" w:color="auto" w:fill="auto"/>
            <w:vAlign w:val="center"/>
          </w:tcPr>
          <w:p w14:paraId="7F3B788D"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456" w:type="dxa"/>
            <w:tcBorders>
              <w:top w:val="single" w:sz="2" w:space="0" w:color="808080"/>
              <w:bottom w:val="single" w:sz="2" w:space="0" w:color="808080"/>
            </w:tcBorders>
            <w:shd w:val="clear" w:color="auto" w:fill="auto"/>
            <w:vAlign w:val="center"/>
          </w:tcPr>
          <w:p w14:paraId="278CBF1F"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96" w:type="dxa"/>
            <w:tcBorders>
              <w:top w:val="single" w:sz="2" w:space="0" w:color="808080"/>
              <w:left w:val="single" w:sz="2" w:space="0" w:color="808080"/>
              <w:bottom w:val="single" w:sz="2" w:space="0" w:color="808080"/>
            </w:tcBorders>
            <w:shd w:val="clear" w:color="auto" w:fill="auto"/>
            <w:vAlign w:val="center"/>
          </w:tcPr>
          <w:p w14:paraId="5D8CD284"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16" w:type="dxa"/>
            <w:tcBorders>
              <w:top w:val="single" w:sz="2" w:space="0" w:color="808080"/>
              <w:bottom w:val="single" w:sz="2" w:space="0" w:color="808080"/>
            </w:tcBorders>
            <w:shd w:val="clear" w:color="auto" w:fill="auto"/>
            <w:vAlign w:val="center"/>
          </w:tcPr>
          <w:p w14:paraId="7E74EC03"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26" w:type="dxa"/>
            <w:tcBorders>
              <w:top w:val="single" w:sz="2" w:space="0" w:color="808080"/>
              <w:left w:val="single" w:sz="2" w:space="0" w:color="808080"/>
              <w:bottom w:val="single" w:sz="2" w:space="0" w:color="808080"/>
            </w:tcBorders>
            <w:shd w:val="clear" w:color="auto" w:fill="auto"/>
            <w:vAlign w:val="center"/>
          </w:tcPr>
          <w:p w14:paraId="668F3C07"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65" w:type="dxa"/>
            <w:tcBorders>
              <w:top w:val="single" w:sz="2" w:space="0" w:color="808080"/>
              <w:bottom w:val="single" w:sz="2" w:space="0" w:color="808080"/>
              <w:right w:val="single" w:sz="2" w:space="0" w:color="808080"/>
            </w:tcBorders>
            <w:shd w:val="clear" w:color="auto" w:fill="auto"/>
            <w:vAlign w:val="center"/>
          </w:tcPr>
          <w:p w14:paraId="1FFECC02"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r>
      <w:tr w:rsidR="00E70101" w14:paraId="4CE30FEE" w14:textId="77777777">
        <w:trPr>
          <w:jc w:val="center"/>
        </w:trPr>
        <w:tc>
          <w:tcPr>
            <w:tcW w:w="1136" w:type="dxa"/>
            <w:vMerge/>
            <w:tcBorders>
              <w:top w:val="single" w:sz="2" w:space="0" w:color="808080"/>
              <w:left w:val="single" w:sz="2" w:space="0" w:color="808080"/>
              <w:bottom w:val="single" w:sz="2" w:space="0" w:color="404040"/>
            </w:tcBorders>
            <w:shd w:val="clear" w:color="auto" w:fill="auto"/>
            <w:vAlign w:val="center"/>
          </w:tcPr>
          <w:p w14:paraId="51B06C6D" w14:textId="77777777" w:rsidR="00E70101" w:rsidRDefault="00E70101">
            <w:pPr>
              <w:widowControl/>
              <w:snapToGrid w:val="0"/>
              <w:spacing w:line="240" w:lineRule="exact"/>
              <w:rPr>
                <w:rFonts w:ascii="Arial" w:eastAsia="仿宋_GB2312;仿宋" w:hAnsi="Arial" w:cs="Arial"/>
                <w:sz w:val="18"/>
                <w:szCs w:val="13"/>
              </w:rPr>
            </w:pPr>
          </w:p>
        </w:tc>
        <w:tc>
          <w:tcPr>
            <w:tcW w:w="2386" w:type="dxa"/>
            <w:tcBorders>
              <w:top w:val="single" w:sz="2" w:space="0" w:color="404040"/>
              <w:left w:val="single" w:sz="2" w:space="0" w:color="404040"/>
              <w:bottom w:val="single" w:sz="2" w:space="0" w:color="404040"/>
            </w:tcBorders>
            <w:shd w:val="clear" w:color="auto" w:fill="auto"/>
            <w:vAlign w:val="center"/>
          </w:tcPr>
          <w:p w14:paraId="783C6CDB" w14:textId="77777777" w:rsidR="00E70101" w:rsidRDefault="0060680B">
            <w:pPr>
              <w:widowControl/>
              <w:spacing w:line="240" w:lineRule="exact"/>
              <w:rPr>
                <w:rFonts w:ascii="仿宋" w:eastAsia="仿宋" w:hAnsi="仿宋" w:cs="Arial"/>
                <w:sz w:val="18"/>
                <w:szCs w:val="18"/>
              </w:rPr>
            </w:pPr>
            <w:r>
              <w:rPr>
                <w:rFonts w:ascii="仿宋" w:eastAsia="仿宋" w:hAnsi="仿宋" w:cs="Arial"/>
                <w:sz w:val="18"/>
                <w:szCs w:val="18"/>
              </w:rPr>
              <w:t>宗地开发程度</w:t>
            </w:r>
          </w:p>
        </w:tc>
        <w:tc>
          <w:tcPr>
            <w:tcW w:w="524" w:type="dxa"/>
            <w:tcBorders>
              <w:top w:val="single" w:sz="2" w:space="0" w:color="404040"/>
              <w:left w:val="single" w:sz="2" w:space="0" w:color="404040"/>
              <w:bottom w:val="single" w:sz="2" w:space="0" w:color="404040"/>
            </w:tcBorders>
            <w:shd w:val="clear" w:color="auto" w:fill="auto"/>
            <w:vAlign w:val="center"/>
          </w:tcPr>
          <w:p w14:paraId="412916E7"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456" w:type="dxa"/>
            <w:tcBorders>
              <w:top w:val="single" w:sz="2" w:space="0" w:color="404040"/>
              <w:bottom w:val="single" w:sz="2" w:space="0" w:color="404040"/>
            </w:tcBorders>
            <w:shd w:val="clear" w:color="auto" w:fill="auto"/>
            <w:vAlign w:val="center"/>
          </w:tcPr>
          <w:p w14:paraId="606073CF"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96" w:type="dxa"/>
            <w:tcBorders>
              <w:top w:val="single" w:sz="2" w:space="0" w:color="404040"/>
              <w:left w:val="single" w:sz="2" w:space="0" w:color="404040"/>
              <w:bottom w:val="single" w:sz="2" w:space="0" w:color="404040"/>
            </w:tcBorders>
            <w:shd w:val="clear" w:color="auto" w:fill="auto"/>
            <w:vAlign w:val="center"/>
          </w:tcPr>
          <w:p w14:paraId="6F47A882"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16" w:type="dxa"/>
            <w:tcBorders>
              <w:top w:val="single" w:sz="2" w:space="0" w:color="404040"/>
              <w:bottom w:val="single" w:sz="2" w:space="0" w:color="404040"/>
            </w:tcBorders>
            <w:shd w:val="clear" w:color="auto" w:fill="auto"/>
            <w:vAlign w:val="center"/>
          </w:tcPr>
          <w:p w14:paraId="2B187B0A"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26" w:type="dxa"/>
            <w:tcBorders>
              <w:top w:val="single" w:sz="2" w:space="0" w:color="404040"/>
              <w:left w:val="single" w:sz="2" w:space="0" w:color="404040"/>
              <w:bottom w:val="single" w:sz="2" w:space="0" w:color="404040"/>
            </w:tcBorders>
            <w:shd w:val="clear" w:color="auto" w:fill="auto"/>
            <w:vAlign w:val="center"/>
          </w:tcPr>
          <w:p w14:paraId="6534F331"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65" w:type="dxa"/>
            <w:tcBorders>
              <w:top w:val="single" w:sz="2" w:space="0" w:color="404040"/>
              <w:bottom w:val="single" w:sz="2" w:space="0" w:color="404040"/>
              <w:right w:val="single" w:sz="2" w:space="0" w:color="404040"/>
            </w:tcBorders>
            <w:shd w:val="clear" w:color="auto" w:fill="auto"/>
            <w:vAlign w:val="center"/>
          </w:tcPr>
          <w:p w14:paraId="3B62805C"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r>
      <w:tr w:rsidR="00E70101" w14:paraId="539341CF" w14:textId="77777777">
        <w:trPr>
          <w:jc w:val="center"/>
        </w:trPr>
        <w:tc>
          <w:tcPr>
            <w:tcW w:w="1136" w:type="dxa"/>
            <w:vMerge/>
            <w:tcBorders>
              <w:top w:val="single" w:sz="2" w:space="0" w:color="808080"/>
              <w:left w:val="single" w:sz="2" w:space="0" w:color="808080"/>
              <w:bottom w:val="single" w:sz="2" w:space="0" w:color="404040"/>
            </w:tcBorders>
            <w:shd w:val="clear" w:color="auto" w:fill="auto"/>
            <w:vAlign w:val="center"/>
          </w:tcPr>
          <w:p w14:paraId="3DE6F461" w14:textId="77777777" w:rsidR="00E70101" w:rsidRDefault="00E70101">
            <w:pPr>
              <w:widowControl/>
              <w:snapToGrid w:val="0"/>
              <w:spacing w:line="240" w:lineRule="exact"/>
              <w:rPr>
                <w:rFonts w:ascii="Arial" w:eastAsia="仿宋_GB2312;仿宋" w:hAnsi="Arial" w:cs="Arial"/>
                <w:sz w:val="18"/>
                <w:szCs w:val="13"/>
              </w:rPr>
            </w:pPr>
          </w:p>
        </w:tc>
        <w:tc>
          <w:tcPr>
            <w:tcW w:w="2386" w:type="dxa"/>
            <w:tcBorders>
              <w:top w:val="single" w:sz="2" w:space="0" w:color="404040"/>
              <w:left w:val="single" w:sz="2" w:space="0" w:color="404040"/>
              <w:bottom w:val="single" w:sz="2" w:space="0" w:color="404040"/>
            </w:tcBorders>
            <w:shd w:val="clear" w:color="auto" w:fill="auto"/>
            <w:vAlign w:val="center"/>
          </w:tcPr>
          <w:p w14:paraId="6039FBB0" w14:textId="77777777" w:rsidR="00E70101" w:rsidRDefault="0060680B">
            <w:pPr>
              <w:widowControl/>
              <w:spacing w:line="240" w:lineRule="exact"/>
              <w:rPr>
                <w:rFonts w:ascii="仿宋" w:eastAsia="仿宋" w:hAnsi="仿宋" w:cs="Arial"/>
                <w:sz w:val="18"/>
                <w:szCs w:val="18"/>
              </w:rPr>
            </w:pPr>
            <w:r>
              <w:rPr>
                <w:rFonts w:ascii="仿宋" w:eastAsia="仿宋" w:hAnsi="仿宋" w:cs="Arial"/>
                <w:sz w:val="18"/>
                <w:szCs w:val="18"/>
              </w:rPr>
              <w:t>工程地质条件</w:t>
            </w:r>
          </w:p>
        </w:tc>
        <w:tc>
          <w:tcPr>
            <w:tcW w:w="524" w:type="dxa"/>
            <w:tcBorders>
              <w:top w:val="single" w:sz="2" w:space="0" w:color="404040"/>
              <w:left w:val="single" w:sz="2" w:space="0" w:color="404040"/>
              <w:bottom w:val="single" w:sz="2" w:space="0" w:color="404040"/>
            </w:tcBorders>
            <w:shd w:val="clear" w:color="auto" w:fill="auto"/>
            <w:vAlign w:val="center"/>
          </w:tcPr>
          <w:p w14:paraId="2B796F99"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456" w:type="dxa"/>
            <w:tcBorders>
              <w:top w:val="single" w:sz="2" w:space="0" w:color="404040"/>
              <w:bottom w:val="single" w:sz="2" w:space="0" w:color="404040"/>
            </w:tcBorders>
            <w:shd w:val="clear" w:color="auto" w:fill="auto"/>
            <w:vAlign w:val="center"/>
          </w:tcPr>
          <w:p w14:paraId="6CBB0032"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96" w:type="dxa"/>
            <w:tcBorders>
              <w:top w:val="single" w:sz="2" w:space="0" w:color="404040"/>
              <w:left w:val="single" w:sz="2" w:space="0" w:color="404040"/>
              <w:bottom w:val="single" w:sz="2" w:space="0" w:color="404040"/>
            </w:tcBorders>
            <w:shd w:val="clear" w:color="auto" w:fill="auto"/>
            <w:vAlign w:val="center"/>
          </w:tcPr>
          <w:p w14:paraId="5D03602B"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16" w:type="dxa"/>
            <w:tcBorders>
              <w:top w:val="single" w:sz="2" w:space="0" w:color="404040"/>
              <w:bottom w:val="single" w:sz="2" w:space="0" w:color="404040"/>
            </w:tcBorders>
            <w:shd w:val="clear" w:color="auto" w:fill="auto"/>
            <w:vAlign w:val="center"/>
          </w:tcPr>
          <w:p w14:paraId="658D41F0"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26" w:type="dxa"/>
            <w:tcBorders>
              <w:top w:val="single" w:sz="2" w:space="0" w:color="404040"/>
              <w:left w:val="single" w:sz="2" w:space="0" w:color="404040"/>
              <w:bottom w:val="single" w:sz="2" w:space="0" w:color="404040"/>
            </w:tcBorders>
            <w:shd w:val="clear" w:color="auto" w:fill="auto"/>
            <w:vAlign w:val="center"/>
          </w:tcPr>
          <w:p w14:paraId="772778BD"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65" w:type="dxa"/>
            <w:tcBorders>
              <w:top w:val="single" w:sz="2" w:space="0" w:color="404040"/>
              <w:bottom w:val="single" w:sz="2" w:space="0" w:color="404040"/>
              <w:right w:val="single" w:sz="2" w:space="0" w:color="404040"/>
            </w:tcBorders>
            <w:shd w:val="clear" w:color="auto" w:fill="auto"/>
            <w:vAlign w:val="center"/>
          </w:tcPr>
          <w:p w14:paraId="404FE1B9"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r>
      <w:tr w:rsidR="00E70101" w14:paraId="23C837E4" w14:textId="77777777">
        <w:trPr>
          <w:jc w:val="center"/>
        </w:trPr>
        <w:tc>
          <w:tcPr>
            <w:tcW w:w="3522" w:type="dxa"/>
            <w:gridSpan w:val="2"/>
            <w:tcBorders>
              <w:top w:val="single" w:sz="2" w:space="0" w:color="404040"/>
              <w:left w:val="single" w:sz="2" w:space="0" w:color="404040"/>
              <w:bottom w:val="single" w:sz="2" w:space="0" w:color="404040"/>
            </w:tcBorders>
            <w:shd w:val="clear" w:color="auto" w:fill="auto"/>
            <w:vAlign w:val="center"/>
          </w:tcPr>
          <w:p w14:paraId="5350869A" w14:textId="77777777" w:rsidR="00E70101" w:rsidRDefault="0060680B">
            <w:pPr>
              <w:widowControl/>
              <w:spacing w:line="240" w:lineRule="exact"/>
              <w:rPr>
                <w:rFonts w:ascii="Arial" w:eastAsia="仿宋_GB2312;仿宋" w:hAnsi="Arial" w:cs="Arial"/>
                <w:sz w:val="18"/>
                <w:szCs w:val="13"/>
              </w:rPr>
            </w:pPr>
            <w:r>
              <w:rPr>
                <w:rFonts w:ascii="Arial" w:eastAsia="仿宋_GB2312;仿宋" w:hAnsi="Arial" w:cs="Arial"/>
                <w:sz w:val="18"/>
                <w:szCs w:val="13"/>
              </w:rPr>
              <w:t>成交价格（元</w:t>
            </w:r>
            <w:r>
              <w:rPr>
                <w:rFonts w:ascii="Arial" w:eastAsia="仿宋_GB2312;仿宋" w:hAnsi="Arial" w:cs="Arial"/>
                <w:sz w:val="18"/>
                <w:szCs w:val="13"/>
              </w:rPr>
              <w:t>/</w:t>
            </w:r>
            <w:r>
              <w:rPr>
                <w:rFonts w:ascii="Arial" w:eastAsia="仿宋_GB2312;仿宋" w:hAnsi="Arial" w:cs="Arial"/>
                <w:sz w:val="18"/>
                <w:szCs w:val="13"/>
              </w:rPr>
              <w:t>平方米）</w:t>
            </w:r>
          </w:p>
        </w:tc>
        <w:tc>
          <w:tcPr>
            <w:tcW w:w="1980" w:type="dxa"/>
            <w:gridSpan w:val="2"/>
            <w:tcBorders>
              <w:top w:val="single" w:sz="2" w:space="0" w:color="404040"/>
              <w:left w:val="single" w:sz="2" w:space="0" w:color="404040"/>
              <w:bottom w:val="single" w:sz="2" w:space="0" w:color="404040"/>
            </w:tcBorders>
            <w:shd w:val="clear" w:color="auto" w:fill="auto"/>
            <w:tcMar>
              <w:left w:w="85" w:type="dxa"/>
              <w:right w:w="85" w:type="dxa"/>
            </w:tcMar>
            <w:vAlign w:val="center"/>
          </w:tcPr>
          <w:p w14:paraId="5348AB12" w14:textId="77777777" w:rsidR="00E70101" w:rsidRDefault="0060680B">
            <w:pPr>
              <w:widowControl/>
              <w:spacing w:line="240" w:lineRule="exact"/>
            </w:pPr>
            <w:r>
              <w:rPr>
                <w:rFonts w:ascii="Arial" w:eastAsia="仿宋_GB2312;仿宋" w:hAnsi="Arial" w:cs="Arial"/>
                <w:sz w:val="18"/>
                <w:szCs w:val="13"/>
              </w:rPr>
              <w:t>2838.7</w:t>
            </w:r>
          </w:p>
        </w:tc>
        <w:tc>
          <w:tcPr>
            <w:tcW w:w="1912" w:type="dxa"/>
            <w:gridSpan w:val="2"/>
            <w:tcBorders>
              <w:top w:val="single" w:sz="2" w:space="0" w:color="404040"/>
              <w:left w:val="single" w:sz="2" w:space="0" w:color="404040"/>
              <w:bottom w:val="single" w:sz="2" w:space="0" w:color="404040"/>
            </w:tcBorders>
            <w:shd w:val="clear" w:color="auto" w:fill="auto"/>
            <w:vAlign w:val="center"/>
          </w:tcPr>
          <w:p w14:paraId="25D7A550" w14:textId="77777777" w:rsidR="00E70101" w:rsidRDefault="0060680B">
            <w:pPr>
              <w:widowControl/>
              <w:spacing w:line="240" w:lineRule="exact"/>
            </w:pPr>
            <w:r>
              <w:rPr>
                <w:rFonts w:ascii="Arial" w:eastAsia="仿宋_GB2312;仿宋" w:hAnsi="Arial" w:cs="Arial"/>
                <w:sz w:val="18"/>
                <w:szCs w:val="13"/>
              </w:rPr>
              <w:t>2453.6</w:t>
            </w:r>
          </w:p>
        </w:tc>
        <w:tc>
          <w:tcPr>
            <w:tcW w:w="1891" w:type="dxa"/>
            <w:gridSpan w:val="2"/>
            <w:tcBorders>
              <w:top w:val="single" w:sz="2" w:space="0" w:color="404040"/>
              <w:left w:val="single" w:sz="2" w:space="0" w:color="404040"/>
              <w:bottom w:val="single" w:sz="2" w:space="0" w:color="404040"/>
              <w:right w:val="single" w:sz="2" w:space="0" w:color="404040"/>
            </w:tcBorders>
            <w:shd w:val="clear" w:color="auto" w:fill="auto"/>
            <w:vAlign w:val="center"/>
          </w:tcPr>
          <w:p w14:paraId="5CEDA462" w14:textId="77777777" w:rsidR="00E70101" w:rsidRDefault="0060680B">
            <w:pPr>
              <w:widowControl/>
              <w:spacing w:line="240" w:lineRule="exact"/>
              <w:rPr>
                <w:rFonts w:ascii="Arial" w:eastAsia="仿宋_GB2312;仿宋" w:hAnsi="Arial" w:cs="Arial"/>
                <w:sz w:val="18"/>
                <w:szCs w:val="13"/>
              </w:rPr>
            </w:pPr>
            <w:r>
              <w:rPr>
                <w:rFonts w:ascii="Arial" w:eastAsia="仿宋_GB2312;仿宋" w:hAnsi="Arial" w:cs="Arial"/>
                <w:sz w:val="18"/>
                <w:szCs w:val="13"/>
              </w:rPr>
              <w:t>1589.9</w:t>
            </w:r>
          </w:p>
        </w:tc>
      </w:tr>
      <w:tr w:rsidR="00E70101" w14:paraId="7C0E7497" w14:textId="77777777">
        <w:trPr>
          <w:jc w:val="center"/>
        </w:trPr>
        <w:tc>
          <w:tcPr>
            <w:tcW w:w="3522" w:type="dxa"/>
            <w:gridSpan w:val="2"/>
            <w:tcBorders>
              <w:top w:val="single" w:sz="2" w:space="0" w:color="404040"/>
              <w:left w:val="single" w:sz="2" w:space="0" w:color="404040"/>
              <w:bottom w:val="single" w:sz="2" w:space="0" w:color="404040"/>
            </w:tcBorders>
            <w:shd w:val="clear" w:color="auto" w:fill="auto"/>
            <w:vAlign w:val="center"/>
          </w:tcPr>
          <w:p w14:paraId="5314FC12" w14:textId="77777777" w:rsidR="00E70101" w:rsidRDefault="0060680B">
            <w:pPr>
              <w:widowControl/>
              <w:spacing w:line="240" w:lineRule="exact"/>
              <w:rPr>
                <w:rFonts w:ascii="Arial" w:eastAsia="仿宋_GB2312;仿宋" w:hAnsi="Arial" w:cs="Arial"/>
                <w:sz w:val="18"/>
                <w:szCs w:val="13"/>
              </w:rPr>
            </w:pPr>
            <w:r>
              <w:rPr>
                <w:rFonts w:ascii="Arial" w:eastAsia="仿宋_GB2312;仿宋" w:hAnsi="Arial" w:cs="Arial"/>
                <w:sz w:val="18"/>
                <w:szCs w:val="13"/>
              </w:rPr>
              <w:t>比较价格（元</w:t>
            </w:r>
            <w:r>
              <w:rPr>
                <w:rFonts w:ascii="Arial" w:eastAsia="仿宋_GB2312;仿宋" w:hAnsi="Arial" w:cs="Arial"/>
                <w:sz w:val="18"/>
                <w:szCs w:val="13"/>
              </w:rPr>
              <w:t>/</w:t>
            </w:r>
            <w:r>
              <w:rPr>
                <w:rFonts w:ascii="Arial" w:eastAsia="仿宋_GB2312;仿宋" w:hAnsi="Arial" w:cs="Arial"/>
                <w:sz w:val="18"/>
                <w:szCs w:val="13"/>
              </w:rPr>
              <w:t>平方米）</w:t>
            </w:r>
          </w:p>
        </w:tc>
        <w:tc>
          <w:tcPr>
            <w:tcW w:w="1980" w:type="dxa"/>
            <w:gridSpan w:val="2"/>
            <w:tcBorders>
              <w:top w:val="single" w:sz="2" w:space="0" w:color="404040"/>
              <w:left w:val="single" w:sz="2" w:space="0" w:color="404040"/>
              <w:bottom w:val="single" w:sz="2" w:space="0" w:color="404040"/>
            </w:tcBorders>
            <w:shd w:val="clear" w:color="auto" w:fill="auto"/>
            <w:tcMar>
              <w:left w:w="85" w:type="dxa"/>
              <w:right w:w="85" w:type="dxa"/>
            </w:tcMar>
            <w:vAlign w:val="center"/>
          </w:tcPr>
          <w:p w14:paraId="67171B00" w14:textId="77777777" w:rsidR="00E70101" w:rsidRDefault="0060680B">
            <w:pPr>
              <w:widowControl/>
              <w:spacing w:line="240" w:lineRule="exact"/>
              <w:rPr>
                <w:rFonts w:ascii="Arial" w:eastAsia="仿宋_GB2312;仿宋" w:hAnsi="Arial" w:cs="Arial"/>
                <w:sz w:val="18"/>
                <w:szCs w:val="13"/>
              </w:rPr>
            </w:pPr>
            <w:r>
              <w:rPr>
                <w:rFonts w:ascii="Arial" w:eastAsia="仿宋_GB2312;仿宋" w:hAnsi="Arial" w:cs="Arial"/>
                <w:sz w:val="18"/>
                <w:szCs w:val="13"/>
              </w:rPr>
              <w:t>3042</w:t>
            </w:r>
          </w:p>
        </w:tc>
        <w:tc>
          <w:tcPr>
            <w:tcW w:w="1912" w:type="dxa"/>
            <w:gridSpan w:val="2"/>
            <w:tcBorders>
              <w:top w:val="single" w:sz="2" w:space="0" w:color="404040"/>
              <w:left w:val="single" w:sz="2" w:space="0" w:color="404040"/>
              <w:bottom w:val="single" w:sz="2" w:space="0" w:color="404040"/>
            </w:tcBorders>
            <w:shd w:val="clear" w:color="auto" w:fill="auto"/>
            <w:vAlign w:val="center"/>
          </w:tcPr>
          <w:p w14:paraId="7C73AE61" w14:textId="77777777" w:rsidR="00E70101" w:rsidRDefault="0060680B">
            <w:pPr>
              <w:widowControl/>
              <w:spacing w:line="240" w:lineRule="exact"/>
              <w:rPr>
                <w:rFonts w:ascii="Arial" w:eastAsia="仿宋_GB2312;仿宋" w:hAnsi="Arial" w:cs="Arial"/>
                <w:sz w:val="18"/>
                <w:szCs w:val="13"/>
              </w:rPr>
            </w:pPr>
            <w:r>
              <w:rPr>
                <w:rFonts w:ascii="Arial" w:eastAsia="仿宋_GB2312;仿宋" w:hAnsi="Arial" w:cs="Arial"/>
                <w:sz w:val="18"/>
                <w:szCs w:val="13"/>
              </w:rPr>
              <w:t>2582</w:t>
            </w:r>
          </w:p>
        </w:tc>
        <w:tc>
          <w:tcPr>
            <w:tcW w:w="1891" w:type="dxa"/>
            <w:gridSpan w:val="2"/>
            <w:tcBorders>
              <w:top w:val="single" w:sz="2" w:space="0" w:color="404040"/>
              <w:left w:val="single" w:sz="2" w:space="0" w:color="404040"/>
              <w:bottom w:val="single" w:sz="2" w:space="0" w:color="404040"/>
              <w:right w:val="single" w:sz="2" w:space="0" w:color="404040"/>
            </w:tcBorders>
            <w:shd w:val="clear" w:color="auto" w:fill="auto"/>
            <w:vAlign w:val="center"/>
          </w:tcPr>
          <w:p w14:paraId="7CF5C834" w14:textId="77777777" w:rsidR="00E70101" w:rsidRDefault="0060680B">
            <w:pPr>
              <w:widowControl/>
              <w:spacing w:line="240" w:lineRule="exact"/>
              <w:rPr>
                <w:rFonts w:ascii="Arial" w:eastAsia="仿宋_GB2312;仿宋" w:hAnsi="Arial" w:cs="Arial"/>
                <w:sz w:val="18"/>
                <w:szCs w:val="13"/>
              </w:rPr>
            </w:pPr>
            <w:r>
              <w:rPr>
                <w:rFonts w:ascii="Arial" w:eastAsia="仿宋_GB2312;仿宋" w:hAnsi="Arial" w:cs="Arial"/>
                <w:sz w:val="18"/>
                <w:szCs w:val="13"/>
              </w:rPr>
              <w:t>1721</w:t>
            </w:r>
          </w:p>
        </w:tc>
      </w:tr>
    </w:tbl>
    <w:p w14:paraId="519BAEE1" w14:textId="77777777" w:rsidR="00E70101" w:rsidRDefault="0060680B">
      <w:pPr>
        <w:spacing w:line="360" w:lineRule="auto"/>
        <w:ind w:firstLine="560"/>
        <w:rPr>
          <w:rFonts w:ascii="Arial" w:eastAsia="仿宋" w:hAnsi="Arial" w:cs="Arial"/>
          <w:color w:val="000000"/>
          <w:sz w:val="28"/>
          <w:szCs w:val="28"/>
        </w:rPr>
      </w:pPr>
      <w:r>
        <w:rPr>
          <w:rFonts w:ascii="Arial" w:eastAsia="仿宋" w:hAnsi="Arial" w:cs="Arial"/>
          <w:color w:val="000000"/>
          <w:sz w:val="28"/>
          <w:szCs w:val="28"/>
        </w:rPr>
        <w:t>因此，本次评估取三个比较价值的简单算术平均值作为咨询对象的最终结果。</w:t>
      </w:r>
    </w:p>
    <w:p w14:paraId="5C90C87A" w14:textId="77777777" w:rsidR="00E70101" w:rsidRDefault="0060680B">
      <w:pPr>
        <w:overflowPunct w:val="0"/>
        <w:spacing w:line="360" w:lineRule="auto"/>
        <w:ind w:firstLine="560"/>
        <w:jc w:val="both"/>
        <w:rPr>
          <w:rFonts w:ascii="Arial" w:eastAsia="仿宋" w:hAnsi="Arial" w:cs="Arial"/>
          <w:color w:val="000000"/>
          <w:sz w:val="28"/>
          <w:szCs w:val="28"/>
        </w:rPr>
      </w:pPr>
      <w:r>
        <w:rPr>
          <w:rFonts w:ascii="Arial" w:eastAsia="仿宋" w:hAnsi="Arial" w:cs="Arial"/>
          <w:color w:val="000000"/>
          <w:sz w:val="28"/>
          <w:szCs w:val="28"/>
        </w:rPr>
        <w:t>单</w:t>
      </w:r>
      <w:r>
        <w:rPr>
          <w:rFonts w:ascii="Arial" w:eastAsia="仿宋" w:hAnsi="Arial" w:cs="Arial"/>
          <w:sz w:val="28"/>
          <w:szCs w:val="28"/>
        </w:rPr>
        <w:t>价＝（</w:t>
      </w:r>
      <w:r>
        <w:rPr>
          <w:rFonts w:ascii="Arial" w:eastAsia="仿宋" w:hAnsi="Arial" w:cs="Arial"/>
          <w:sz w:val="28"/>
          <w:szCs w:val="28"/>
        </w:rPr>
        <w:t>3042</w:t>
      </w:r>
      <w:r>
        <w:rPr>
          <w:rFonts w:ascii="Arial" w:eastAsia="仿宋" w:hAnsi="Arial" w:cs="Arial"/>
          <w:sz w:val="28"/>
          <w:szCs w:val="28"/>
        </w:rPr>
        <w:t>＋</w:t>
      </w:r>
      <w:r>
        <w:rPr>
          <w:rFonts w:ascii="Arial" w:eastAsia="仿宋" w:hAnsi="Arial" w:cs="Arial"/>
          <w:sz w:val="28"/>
          <w:szCs w:val="28"/>
        </w:rPr>
        <w:t>2582</w:t>
      </w:r>
      <w:r>
        <w:rPr>
          <w:rFonts w:ascii="Arial" w:eastAsia="仿宋" w:hAnsi="Arial" w:cs="Arial"/>
          <w:sz w:val="28"/>
          <w:szCs w:val="28"/>
        </w:rPr>
        <w:t>＋</w:t>
      </w:r>
      <w:r>
        <w:rPr>
          <w:rFonts w:ascii="Arial" w:eastAsia="仿宋" w:hAnsi="Arial" w:cs="Arial"/>
          <w:sz w:val="28"/>
          <w:szCs w:val="28"/>
        </w:rPr>
        <w:t>1721</w:t>
      </w:r>
      <w:r>
        <w:rPr>
          <w:rFonts w:ascii="Arial" w:eastAsia="仿宋" w:hAnsi="Arial" w:cs="Arial"/>
          <w:sz w:val="28"/>
          <w:szCs w:val="28"/>
        </w:rPr>
        <w:t>）</w:t>
      </w:r>
      <w:r>
        <w:rPr>
          <w:rFonts w:ascii="Arial" w:eastAsia="仿宋" w:hAnsi="Arial" w:cs="Arial"/>
          <w:sz w:val="28"/>
          <w:szCs w:val="28"/>
        </w:rPr>
        <w:t>÷3</w:t>
      </w:r>
      <w:r>
        <w:rPr>
          <w:rFonts w:ascii="Arial" w:eastAsia="仿宋" w:hAnsi="Arial" w:cs="Arial"/>
          <w:sz w:val="28"/>
          <w:szCs w:val="28"/>
        </w:rPr>
        <w:t>＝</w:t>
      </w:r>
      <w:r>
        <w:rPr>
          <w:rFonts w:ascii="Arial" w:eastAsia="仿宋" w:hAnsi="Arial" w:cs="Arial"/>
          <w:sz w:val="28"/>
          <w:szCs w:val="28"/>
        </w:rPr>
        <w:t>2448</w:t>
      </w:r>
      <w:r>
        <w:rPr>
          <w:rFonts w:ascii="Arial" w:eastAsia="仿宋" w:hAnsi="Arial" w:cs="Arial"/>
          <w:sz w:val="28"/>
          <w:szCs w:val="28"/>
        </w:rPr>
        <w:t>（元</w:t>
      </w:r>
      <w:r>
        <w:rPr>
          <w:rFonts w:ascii="Arial" w:eastAsia="仿宋" w:hAnsi="Arial" w:cs="Arial"/>
          <w:sz w:val="28"/>
          <w:szCs w:val="28"/>
        </w:rPr>
        <w:t>/</w:t>
      </w:r>
      <w:r>
        <w:rPr>
          <w:rFonts w:ascii="Arial" w:eastAsia="仿宋" w:hAnsi="Arial" w:cs="Arial"/>
          <w:color w:val="000000"/>
          <w:sz w:val="28"/>
          <w:szCs w:val="28"/>
        </w:rPr>
        <w:t>平方米）</w:t>
      </w:r>
    </w:p>
    <w:p w14:paraId="3967C8E3" w14:textId="77777777" w:rsidR="00E70101" w:rsidRDefault="0060680B">
      <w:pPr>
        <w:spacing w:before="120" w:line="360" w:lineRule="auto"/>
        <w:ind w:firstLine="560"/>
        <w:jc w:val="both"/>
      </w:pPr>
      <w:r>
        <w:rPr>
          <w:rFonts w:ascii="Arial" w:eastAsia="仿宋_GB2312;仿宋" w:hAnsi="Arial" w:cs="Arial"/>
          <w:sz w:val="28"/>
          <w:szCs w:val="28"/>
        </w:rPr>
        <w:t>咨询对象土地面积为</w:t>
      </w:r>
      <w:r>
        <w:rPr>
          <w:rFonts w:ascii="Arial" w:eastAsia="仿宋_GB2312;仿宋" w:hAnsi="Arial" w:cs="Arial"/>
          <w:sz w:val="28"/>
          <w:szCs w:val="28"/>
        </w:rPr>
        <w:t>370379.14</w:t>
      </w:r>
      <w:r>
        <w:rPr>
          <w:rFonts w:ascii="Arial" w:eastAsia="仿宋_GB2312;仿宋" w:hAnsi="Arial" w:cs="Arial"/>
          <w:sz w:val="28"/>
          <w:szCs w:val="28"/>
        </w:rPr>
        <w:t>平方米。则有：</w:t>
      </w:r>
    </w:p>
    <w:p w14:paraId="5D927AC3" w14:textId="77777777" w:rsidR="00E70101" w:rsidRDefault="0060680B">
      <w:pPr>
        <w:spacing w:before="120" w:line="360" w:lineRule="auto"/>
        <w:ind w:firstLine="560"/>
        <w:jc w:val="both"/>
        <w:rPr>
          <w:rFonts w:ascii="Arial" w:hAnsi="Arial" w:cs="Arial"/>
          <w:sz w:val="28"/>
        </w:rPr>
      </w:pPr>
      <w:r>
        <w:rPr>
          <w:rFonts w:ascii="Arial" w:eastAsia="仿宋_GB2312;仿宋" w:hAnsi="Arial" w:cs="Arial"/>
          <w:sz w:val="28"/>
          <w:szCs w:val="28"/>
        </w:rPr>
        <w:t>土地取得费及相关税费</w:t>
      </w:r>
      <w:r>
        <w:rPr>
          <w:rFonts w:ascii="Arial" w:eastAsia="仿宋_GB2312;仿宋" w:hAnsi="Arial" w:cs="Arial"/>
          <w:sz w:val="28"/>
          <w:szCs w:val="28"/>
        </w:rPr>
        <w:t>=2448×370379.14÷10000=90669</w:t>
      </w:r>
      <w:r>
        <w:rPr>
          <w:rFonts w:ascii="Arial" w:eastAsia="仿宋_GB2312;仿宋" w:hAnsi="Arial" w:cs="Arial"/>
          <w:sz w:val="28"/>
          <w:szCs w:val="28"/>
        </w:rPr>
        <w:t>（万元）</w:t>
      </w:r>
      <w:r>
        <w:rPr>
          <w:rFonts w:ascii="Arial" w:eastAsia="Arial" w:hAnsi="Arial" w:cs="Arial"/>
          <w:sz w:val="28"/>
        </w:rPr>
        <w:t xml:space="preserve"> </w:t>
      </w:r>
    </w:p>
    <w:p w14:paraId="577C83EC" w14:textId="77777777" w:rsidR="00E70101" w:rsidRDefault="0060680B">
      <w:pPr>
        <w:spacing w:line="360" w:lineRule="auto"/>
        <w:ind w:firstLine="565"/>
      </w:pPr>
      <w:r>
        <w:rPr>
          <w:rFonts w:ascii="Arial" w:eastAsia="仿宋_GB2312;仿宋" w:hAnsi="Arial" w:cs="Arial"/>
          <w:b/>
          <w:sz w:val="28"/>
        </w:rPr>
        <w:t>2.</w:t>
      </w:r>
      <w:r>
        <w:rPr>
          <w:rFonts w:ascii="Arial" w:eastAsia="仿宋_GB2312;仿宋" w:hAnsi="Arial" w:cs="Arial"/>
          <w:b/>
          <w:sz w:val="28"/>
        </w:rPr>
        <w:t>土地开发费</w:t>
      </w:r>
    </w:p>
    <w:p w14:paraId="5EDDE2F4" w14:textId="77777777" w:rsidR="00E70101" w:rsidRDefault="0060680B">
      <w:pPr>
        <w:spacing w:line="360" w:lineRule="auto"/>
        <w:ind w:firstLine="563"/>
        <w:rPr>
          <w:rFonts w:ascii="Arial" w:eastAsia="仿宋_GB2312;仿宋" w:hAnsi="Arial" w:cs="Arial"/>
          <w:sz w:val="28"/>
        </w:rPr>
      </w:pPr>
      <w:r>
        <w:rPr>
          <w:rFonts w:ascii="Arial" w:eastAsia="仿宋_GB2312;仿宋" w:hAnsi="Arial" w:cs="Arial"/>
          <w:sz w:val="28"/>
        </w:rPr>
        <w:t>咨询对象位于北京市基准地价工业用途七级地价区</w:t>
      </w:r>
      <w:r>
        <w:rPr>
          <w:rFonts w:ascii="Arial" w:eastAsia="仿宋_GB2312;仿宋" w:hAnsi="Arial" w:cs="Arial"/>
          <w:sz w:val="28"/>
          <w:szCs w:val="28"/>
        </w:rPr>
        <w:t>，参考《北京市人民政府关于更新出让国有建设用地使用权基准地价的通知》</w:t>
      </w:r>
      <w:r>
        <w:rPr>
          <w:rFonts w:ascii="Arial" w:eastAsia="仿宋_GB2312;仿宋" w:hAnsi="Arial" w:cs="Arial"/>
          <w:sz w:val="28"/>
          <w:szCs w:val="28"/>
        </w:rPr>
        <w:t>[</w:t>
      </w:r>
      <w:r>
        <w:rPr>
          <w:rFonts w:ascii="Arial" w:eastAsia="仿宋_GB2312;仿宋" w:hAnsi="Arial" w:cs="Arial"/>
          <w:sz w:val="28"/>
          <w:szCs w:val="28"/>
        </w:rPr>
        <w:t>京政发（</w:t>
      </w:r>
      <w:r>
        <w:rPr>
          <w:rFonts w:ascii="Arial" w:eastAsia="仿宋_GB2312;仿宋" w:hAnsi="Arial" w:cs="Arial"/>
          <w:sz w:val="28"/>
          <w:szCs w:val="28"/>
        </w:rPr>
        <w:t>2022</w:t>
      </w:r>
      <w:r>
        <w:rPr>
          <w:rFonts w:ascii="Arial" w:eastAsia="仿宋_GB2312;仿宋" w:hAnsi="Arial" w:cs="Arial"/>
          <w:sz w:val="28"/>
          <w:szCs w:val="28"/>
        </w:rPr>
        <w:t>）</w:t>
      </w:r>
      <w:r>
        <w:rPr>
          <w:rFonts w:ascii="Arial" w:eastAsia="仿宋_GB2312;仿宋" w:hAnsi="Arial" w:cs="Arial"/>
          <w:sz w:val="28"/>
          <w:szCs w:val="28"/>
        </w:rPr>
        <w:t>12</w:t>
      </w:r>
      <w:r>
        <w:rPr>
          <w:rFonts w:ascii="Arial" w:eastAsia="仿宋_GB2312;仿宋" w:hAnsi="Arial" w:cs="Arial"/>
          <w:sz w:val="28"/>
          <w:szCs w:val="28"/>
        </w:rPr>
        <w:t>号</w:t>
      </w:r>
      <w:r>
        <w:rPr>
          <w:rFonts w:ascii="Arial" w:eastAsia="仿宋_GB2312;仿宋" w:hAnsi="Arial" w:cs="Arial"/>
          <w:sz w:val="28"/>
          <w:szCs w:val="28"/>
        </w:rPr>
        <w:t>]</w:t>
      </w:r>
      <w:r>
        <w:rPr>
          <w:rFonts w:ascii="Arial" w:eastAsia="仿宋_GB2312;仿宋" w:hAnsi="Arial" w:cs="Arial"/>
          <w:sz w:val="28"/>
          <w:szCs w:val="28"/>
        </w:rPr>
        <w:t>的规定，</w:t>
      </w:r>
      <w:r>
        <w:rPr>
          <w:rFonts w:ascii="Arial" w:eastAsia="仿宋_GB2312;仿宋" w:hAnsi="Arial" w:cs="Arial"/>
          <w:sz w:val="28"/>
        </w:rPr>
        <w:t>该项目宗地外土地开发程度为</w:t>
      </w:r>
      <w:r>
        <w:rPr>
          <w:rFonts w:ascii="Arial" w:eastAsia="仿宋_GB2312;仿宋" w:hAnsi="Arial" w:cs="Arial"/>
          <w:sz w:val="28"/>
        </w:rPr>
        <w:t>“</w:t>
      </w:r>
      <w:r>
        <w:rPr>
          <w:rFonts w:ascii="Arial" w:eastAsia="仿宋_GB2312;仿宋" w:hAnsi="Arial" w:cs="Arial"/>
          <w:sz w:val="28"/>
        </w:rPr>
        <w:t>七通一平</w:t>
      </w:r>
      <w:r>
        <w:rPr>
          <w:rFonts w:ascii="Arial" w:eastAsia="仿宋_GB2312;仿宋" w:hAnsi="Arial" w:cs="Arial"/>
          <w:sz w:val="28"/>
        </w:rPr>
        <w:t>”</w:t>
      </w:r>
      <w:r>
        <w:rPr>
          <w:rFonts w:ascii="Arial" w:eastAsia="仿宋_GB2312;仿宋" w:hAnsi="Arial" w:cs="Arial"/>
          <w:sz w:val="28"/>
        </w:rPr>
        <w:t>，参照北京市基准地价取值标准，土地开发费按</w:t>
      </w:r>
      <w:r>
        <w:rPr>
          <w:rFonts w:ascii="Arial" w:eastAsia="仿宋_GB2312;仿宋" w:hAnsi="Arial" w:cs="Arial"/>
          <w:sz w:val="28"/>
        </w:rPr>
        <w:t>185</w:t>
      </w:r>
      <w:r>
        <w:rPr>
          <w:rFonts w:ascii="Arial" w:eastAsia="仿宋_GB2312;仿宋" w:hAnsi="Arial" w:cs="Arial"/>
          <w:sz w:val="28"/>
        </w:rPr>
        <w:t>元</w:t>
      </w:r>
      <w:r>
        <w:rPr>
          <w:rFonts w:ascii="Arial" w:eastAsia="仿宋_GB2312;仿宋" w:hAnsi="Arial" w:cs="Arial"/>
          <w:sz w:val="28"/>
        </w:rPr>
        <w:t>/</w:t>
      </w:r>
      <w:r>
        <w:rPr>
          <w:rFonts w:ascii="Arial" w:eastAsia="仿宋_GB2312;仿宋" w:hAnsi="Arial" w:cs="Arial"/>
          <w:sz w:val="28"/>
        </w:rPr>
        <w:t>土地平方米记取。</w:t>
      </w:r>
    </w:p>
    <w:p w14:paraId="01588BE7" w14:textId="77777777" w:rsidR="00E70101" w:rsidRDefault="0060680B">
      <w:pPr>
        <w:spacing w:line="360" w:lineRule="auto"/>
        <w:ind w:firstLine="563"/>
        <w:rPr>
          <w:rFonts w:ascii="Arial" w:eastAsia="仿宋_GB2312;仿宋" w:hAnsi="Arial" w:cs="Arial"/>
          <w:sz w:val="28"/>
        </w:rPr>
      </w:pPr>
      <w:r>
        <w:rPr>
          <w:rFonts w:ascii="Arial" w:eastAsia="仿宋_GB2312;仿宋" w:hAnsi="Arial" w:cs="Arial"/>
          <w:sz w:val="28"/>
        </w:rPr>
        <w:t>土地开发费</w:t>
      </w:r>
      <w:r>
        <w:rPr>
          <w:rFonts w:ascii="Arial" w:eastAsia="仿宋_GB2312;仿宋" w:hAnsi="Arial" w:cs="Arial"/>
          <w:sz w:val="28"/>
        </w:rPr>
        <w:t>=185×370379.14÷10000</w:t>
      </w:r>
    </w:p>
    <w:p w14:paraId="3CFBC78D" w14:textId="77777777" w:rsidR="00E70101" w:rsidRDefault="0060680B">
      <w:pPr>
        <w:spacing w:line="360" w:lineRule="auto"/>
        <w:ind w:firstLine="1963"/>
      </w:pPr>
      <w:r>
        <w:rPr>
          <w:rFonts w:ascii="Arial" w:eastAsia="仿宋_GB2312;仿宋" w:hAnsi="Arial" w:cs="Arial"/>
          <w:sz w:val="28"/>
        </w:rPr>
        <w:t>=6852</w:t>
      </w:r>
      <w:r>
        <w:rPr>
          <w:rFonts w:ascii="Arial" w:eastAsia="仿宋_GB2312;仿宋" w:hAnsi="Arial" w:cs="Arial"/>
          <w:sz w:val="28"/>
        </w:rPr>
        <w:t>（万元）</w:t>
      </w:r>
    </w:p>
    <w:p w14:paraId="222353A1" w14:textId="77777777" w:rsidR="00E70101" w:rsidRDefault="0060680B">
      <w:pPr>
        <w:spacing w:line="360" w:lineRule="auto"/>
        <w:ind w:firstLine="565"/>
      </w:pPr>
      <w:r>
        <w:rPr>
          <w:rFonts w:ascii="Arial" w:eastAsia="仿宋_GB2312;仿宋" w:hAnsi="Arial" w:cs="Arial"/>
          <w:b/>
          <w:sz w:val="28"/>
        </w:rPr>
        <w:t>3.</w:t>
      </w:r>
      <w:r>
        <w:rPr>
          <w:rFonts w:ascii="Arial" w:eastAsia="仿宋_GB2312;仿宋" w:hAnsi="Arial" w:cs="Arial"/>
          <w:b/>
          <w:sz w:val="28"/>
        </w:rPr>
        <w:t>投资利息</w:t>
      </w:r>
    </w:p>
    <w:p w14:paraId="404BF98A" w14:textId="77777777" w:rsidR="00E70101" w:rsidRDefault="0060680B">
      <w:pPr>
        <w:spacing w:line="360" w:lineRule="auto"/>
        <w:ind w:firstLine="563"/>
        <w:jc w:val="both"/>
      </w:pPr>
      <w:r>
        <w:rPr>
          <w:rFonts w:ascii="Arial" w:eastAsia="仿宋_GB2312;仿宋" w:hAnsi="Arial" w:cs="Arial"/>
          <w:sz w:val="28"/>
        </w:rPr>
        <w:t>根据待估宗地的实际开发程度，设定土地开发周期为</w:t>
      </w:r>
      <w:r>
        <w:rPr>
          <w:rFonts w:ascii="Arial" w:eastAsia="仿宋_GB2312;仿宋" w:hAnsi="Arial" w:cs="Arial"/>
          <w:sz w:val="28"/>
        </w:rPr>
        <w:t>1</w:t>
      </w:r>
      <w:r>
        <w:rPr>
          <w:rFonts w:ascii="Arial" w:eastAsia="仿宋_GB2312;仿宋" w:hAnsi="Arial" w:cs="Arial"/>
          <w:sz w:val="28"/>
        </w:rPr>
        <w:t>年，投资利息率按咨询期日中国人民银行公布的</w:t>
      </w:r>
      <w:r>
        <w:rPr>
          <w:rFonts w:ascii="Arial" w:eastAsia="仿宋_GB2312;仿宋" w:hAnsi="Arial" w:cs="Arial"/>
          <w:sz w:val="28"/>
        </w:rPr>
        <w:t>1</w:t>
      </w:r>
      <w:r>
        <w:rPr>
          <w:rFonts w:ascii="Arial" w:eastAsia="仿宋_GB2312;仿宋" w:hAnsi="Arial" w:cs="Arial"/>
          <w:sz w:val="28"/>
        </w:rPr>
        <w:t>年期贷款利息率</w:t>
      </w:r>
      <w:r>
        <w:rPr>
          <w:rFonts w:ascii="Arial" w:eastAsia="仿宋_GB2312;仿宋" w:hAnsi="Arial" w:cs="Arial"/>
          <w:sz w:val="28"/>
        </w:rPr>
        <w:t>3.45%</w:t>
      </w:r>
      <w:r>
        <w:rPr>
          <w:rFonts w:ascii="Arial" w:eastAsia="仿宋_GB2312;仿宋" w:hAnsi="Arial" w:cs="Arial"/>
          <w:sz w:val="28"/>
        </w:rPr>
        <w:t>计，假设土地取得费在土地开发初始时一次性投入，土地开发费在开发周期内均匀投入，按照复利计息，则：</w:t>
      </w:r>
    </w:p>
    <w:p w14:paraId="3DB109DC" w14:textId="32E809B5"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投资利息＝</w:t>
      </w:r>
      <w:r>
        <w:rPr>
          <w:rFonts w:ascii="Arial" w:eastAsia="仿宋_GB2312;仿宋" w:hAnsi="Arial" w:cs="Arial"/>
          <w:sz w:val="28"/>
        </w:rPr>
        <w:t>90669×[</w:t>
      </w:r>
      <w:r>
        <w:rPr>
          <w:rFonts w:ascii="Arial" w:eastAsia="仿宋_GB2312;仿宋" w:hAnsi="Arial" w:cs="Arial"/>
          <w:sz w:val="28"/>
        </w:rPr>
        <w:t>（</w:t>
      </w:r>
      <w:r>
        <w:rPr>
          <w:rFonts w:ascii="Arial" w:eastAsia="仿宋_GB2312;仿宋" w:hAnsi="Arial" w:cs="Arial"/>
          <w:sz w:val="28"/>
        </w:rPr>
        <w:t>1+</w:t>
      </w:r>
      <w:r w:rsidR="00693E9D">
        <w:rPr>
          <w:rFonts w:ascii="Arial" w:eastAsia="仿宋_GB2312;仿宋" w:hAnsi="Arial" w:cs="Arial"/>
          <w:sz w:val="28"/>
        </w:rPr>
        <w:t>3.45</w:t>
      </w:r>
      <w:r>
        <w:rPr>
          <w:rFonts w:ascii="Arial" w:eastAsia="仿宋_GB2312;仿宋" w:hAnsi="Arial" w:cs="Arial"/>
          <w:sz w:val="28"/>
        </w:rPr>
        <w:t>%</w:t>
      </w:r>
      <w:r>
        <w:rPr>
          <w:rFonts w:ascii="Arial" w:eastAsia="仿宋_GB2312;仿宋" w:hAnsi="Arial" w:cs="Arial"/>
          <w:sz w:val="28"/>
        </w:rPr>
        <w:t>）</w:t>
      </w:r>
      <w:r>
        <w:rPr>
          <w:rFonts w:ascii="Arial" w:eastAsia="仿宋_GB2312;仿宋" w:hAnsi="Arial" w:cs="Arial"/>
          <w:sz w:val="28"/>
          <w:vertAlign w:val="superscript"/>
        </w:rPr>
        <w:t>1</w:t>
      </w:r>
      <w:r>
        <w:rPr>
          <w:rFonts w:ascii="Arial" w:eastAsia="仿宋_GB2312;仿宋" w:hAnsi="Arial" w:cs="Arial"/>
          <w:sz w:val="28"/>
        </w:rPr>
        <w:t>-1]</w:t>
      </w:r>
      <w:r>
        <w:rPr>
          <w:rFonts w:ascii="Arial" w:eastAsia="仿宋_GB2312;仿宋" w:hAnsi="Arial" w:cs="Arial"/>
          <w:sz w:val="28"/>
        </w:rPr>
        <w:t>＋</w:t>
      </w:r>
      <w:r>
        <w:rPr>
          <w:rFonts w:ascii="Arial" w:eastAsia="仿宋_GB2312;仿宋" w:hAnsi="Arial" w:cs="Arial"/>
          <w:sz w:val="28"/>
        </w:rPr>
        <w:t>6852×[</w:t>
      </w:r>
      <w:r>
        <w:rPr>
          <w:rFonts w:ascii="Arial" w:eastAsia="仿宋_GB2312;仿宋" w:hAnsi="Arial" w:cs="Arial"/>
          <w:sz w:val="28"/>
        </w:rPr>
        <w:t>（</w:t>
      </w:r>
      <w:r w:rsidR="00693E9D">
        <w:rPr>
          <w:rFonts w:ascii="Arial" w:eastAsia="仿宋_GB2312;仿宋" w:hAnsi="Arial" w:cs="Arial"/>
          <w:sz w:val="28"/>
        </w:rPr>
        <w:t>1+3.45</w:t>
      </w:r>
      <w:r>
        <w:rPr>
          <w:rFonts w:ascii="Arial" w:eastAsia="仿宋_GB2312;仿宋" w:hAnsi="Arial" w:cs="Arial"/>
          <w:sz w:val="28"/>
        </w:rPr>
        <w:t>%</w:t>
      </w:r>
      <w:r>
        <w:rPr>
          <w:rFonts w:ascii="Arial" w:eastAsia="仿宋_GB2312;仿宋" w:hAnsi="Arial" w:cs="Arial"/>
          <w:sz w:val="28"/>
        </w:rPr>
        <w:t>）</w:t>
      </w:r>
      <w:r>
        <w:rPr>
          <w:rFonts w:ascii="Arial" w:eastAsia="仿宋_GB2312;仿宋" w:hAnsi="Arial" w:cs="Arial"/>
          <w:sz w:val="28"/>
          <w:vertAlign w:val="superscript"/>
        </w:rPr>
        <w:t>1/2</w:t>
      </w:r>
      <w:r>
        <w:rPr>
          <w:rFonts w:ascii="Arial" w:eastAsia="仿宋_GB2312;仿宋" w:hAnsi="Arial" w:cs="Arial"/>
          <w:sz w:val="28"/>
        </w:rPr>
        <w:t>-1]</w:t>
      </w:r>
      <w:r>
        <w:rPr>
          <w:rFonts w:ascii="Arial" w:eastAsia="仿宋_GB2312;仿宋" w:hAnsi="Arial" w:cs="Arial"/>
          <w:sz w:val="28"/>
          <w:szCs w:val="28"/>
        </w:rPr>
        <w:t xml:space="preserve"> </w:t>
      </w:r>
    </w:p>
    <w:p w14:paraId="4BD417E2" w14:textId="77777777" w:rsidR="00E70101" w:rsidRDefault="0060680B">
      <w:pPr>
        <w:spacing w:line="360" w:lineRule="auto"/>
        <w:ind w:firstLine="1680"/>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3246</w:t>
      </w:r>
      <w:r>
        <w:rPr>
          <w:rFonts w:ascii="Arial" w:eastAsia="仿宋_GB2312;仿宋" w:hAnsi="Arial" w:cs="Arial"/>
          <w:sz w:val="28"/>
        </w:rPr>
        <w:t>（万元）</w:t>
      </w:r>
    </w:p>
    <w:p w14:paraId="22A52693" w14:textId="77777777" w:rsidR="00E70101" w:rsidRDefault="0060680B">
      <w:pPr>
        <w:spacing w:line="360" w:lineRule="auto"/>
        <w:ind w:firstLine="565"/>
      </w:pPr>
      <w:r>
        <w:rPr>
          <w:rFonts w:ascii="Arial" w:eastAsia="仿宋_GB2312;仿宋" w:hAnsi="Arial" w:cs="Arial"/>
          <w:b/>
          <w:sz w:val="28"/>
        </w:rPr>
        <w:t>4.</w:t>
      </w:r>
      <w:r>
        <w:rPr>
          <w:rFonts w:ascii="Arial" w:eastAsia="仿宋_GB2312;仿宋" w:hAnsi="Arial" w:cs="Arial"/>
          <w:b/>
          <w:sz w:val="28"/>
        </w:rPr>
        <w:t>投资利润</w:t>
      </w:r>
    </w:p>
    <w:p w14:paraId="34C59757" w14:textId="77777777" w:rsidR="00E70101" w:rsidRDefault="0060680B">
      <w:pPr>
        <w:spacing w:line="360" w:lineRule="auto"/>
        <w:ind w:firstLine="563"/>
        <w:jc w:val="both"/>
        <w:rPr>
          <w:rFonts w:eastAsia="仿宋_GB2312;仿宋"/>
        </w:rPr>
      </w:pPr>
      <w:r>
        <w:rPr>
          <w:rFonts w:ascii="Arial" w:eastAsia="仿宋_GB2312;仿宋" w:hAnsi="Arial" w:cs="Arial"/>
          <w:sz w:val="28"/>
        </w:rPr>
        <w:t>根据《关于进一步规范土地一级开发项目管理费和利润管理的通知》</w:t>
      </w:r>
      <w:r>
        <w:rPr>
          <w:rFonts w:ascii="Arial" w:eastAsia="仿宋_GB2312;仿宋" w:hAnsi="Arial" w:cs="Arial"/>
          <w:sz w:val="28"/>
        </w:rPr>
        <w:t>[</w:t>
      </w:r>
      <w:r>
        <w:rPr>
          <w:rFonts w:ascii="Arial" w:eastAsia="仿宋_GB2312;仿宋" w:hAnsi="Arial" w:cs="Arial"/>
          <w:sz w:val="28"/>
        </w:rPr>
        <w:t>京规自发（</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303</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，该意见规定，开发时间</w:t>
      </w:r>
      <w:r>
        <w:rPr>
          <w:rFonts w:ascii="Arial" w:eastAsia="仿宋_GB2312;仿宋" w:hAnsi="Arial" w:cs="Arial"/>
          <w:sz w:val="28"/>
        </w:rPr>
        <w:t>1</w:t>
      </w:r>
      <w:r>
        <w:rPr>
          <w:rFonts w:ascii="Arial" w:eastAsia="仿宋_GB2312;仿宋" w:hAnsi="Arial" w:cs="Arial"/>
          <w:sz w:val="28"/>
        </w:rPr>
        <w:t>年期的利润率为</w:t>
      </w:r>
      <w:r>
        <w:rPr>
          <w:rFonts w:ascii="Arial" w:eastAsia="仿宋_GB2312;仿宋" w:hAnsi="Arial" w:cs="Arial"/>
          <w:sz w:val="28"/>
        </w:rPr>
        <w:t>15%</w:t>
      </w:r>
      <w:r>
        <w:rPr>
          <w:rFonts w:ascii="Arial" w:eastAsia="仿宋_GB2312;仿宋" w:hAnsi="Arial" w:cs="Arial"/>
          <w:sz w:val="28"/>
        </w:rPr>
        <w:t>，本次估算参考该规定确定土地开发投资利润率取</w:t>
      </w:r>
      <w:r>
        <w:rPr>
          <w:rFonts w:ascii="Arial" w:eastAsia="仿宋_GB2312;仿宋" w:hAnsi="Arial" w:cs="Arial"/>
          <w:sz w:val="28"/>
        </w:rPr>
        <w:t>15%</w:t>
      </w:r>
      <w:r>
        <w:rPr>
          <w:rFonts w:ascii="Arial" w:eastAsia="仿宋_GB2312;仿宋" w:hAnsi="Arial" w:cs="Arial"/>
          <w:sz w:val="28"/>
        </w:rPr>
        <w:t>，则：</w:t>
      </w:r>
      <w:r>
        <w:rPr>
          <w:rFonts w:ascii="Arial" w:eastAsia="Arial" w:hAnsi="Arial" w:cs="Arial"/>
          <w:sz w:val="28"/>
        </w:rPr>
        <w:t xml:space="preserve"> </w:t>
      </w:r>
    </w:p>
    <w:p w14:paraId="1B4BB874" w14:textId="77777777" w:rsidR="00E70101" w:rsidRDefault="0060680B">
      <w:pPr>
        <w:spacing w:line="360" w:lineRule="auto"/>
        <w:ind w:firstLine="563"/>
      </w:pPr>
      <w:r>
        <w:rPr>
          <w:rFonts w:ascii="Arial" w:eastAsia="仿宋_GB2312;仿宋" w:hAnsi="Arial" w:cs="Arial"/>
          <w:sz w:val="28"/>
        </w:rPr>
        <w:t>投资利润＝（土地取得费</w:t>
      </w:r>
      <w:r>
        <w:rPr>
          <w:rFonts w:ascii="Arial" w:eastAsia="仿宋_GB2312;仿宋" w:hAnsi="Arial" w:cs="Arial"/>
          <w:sz w:val="28"/>
        </w:rPr>
        <w:t>+</w:t>
      </w:r>
      <w:r>
        <w:rPr>
          <w:rFonts w:ascii="Arial" w:eastAsia="仿宋_GB2312;仿宋" w:hAnsi="Arial" w:cs="Arial"/>
          <w:sz w:val="28"/>
        </w:rPr>
        <w:t>土地开发费）</w:t>
      </w:r>
      <w:r>
        <w:rPr>
          <w:rFonts w:ascii="Arial" w:eastAsia="Arial" w:hAnsi="Arial" w:cs="Arial"/>
          <w:sz w:val="28"/>
        </w:rPr>
        <w:t xml:space="preserve"> </w:t>
      </w:r>
      <w:r>
        <w:rPr>
          <w:rFonts w:ascii="Arial" w:eastAsia="仿宋_GB2312;仿宋" w:hAnsi="Arial" w:cs="Arial"/>
          <w:sz w:val="28"/>
        </w:rPr>
        <w:t>×</w:t>
      </w:r>
      <w:r>
        <w:rPr>
          <w:rFonts w:ascii="Arial" w:eastAsia="仿宋_GB2312;仿宋" w:hAnsi="Arial" w:cs="Arial"/>
          <w:sz w:val="28"/>
        </w:rPr>
        <w:t>投资利润率</w:t>
      </w:r>
    </w:p>
    <w:p w14:paraId="42EFF76F" w14:textId="77777777" w:rsidR="00E70101" w:rsidRDefault="0060680B">
      <w:pPr>
        <w:spacing w:line="360" w:lineRule="auto"/>
        <w:ind w:firstLine="1683"/>
      </w:pPr>
      <w:r>
        <w:rPr>
          <w:rFonts w:ascii="Arial" w:eastAsia="仿宋_GB2312;仿宋" w:hAnsi="Arial" w:cs="Arial"/>
          <w:sz w:val="28"/>
        </w:rPr>
        <w:t>＝（</w:t>
      </w:r>
      <w:r>
        <w:rPr>
          <w:rFonts w:ascii="Arial" w:eastAsia="仿宋_GB2312;仿宋" w:hAnsi="Arial" w:cs="Arial"/>
          <w:sz w:val="28"/>
        </w:rPr>
        <w:t>90669+6852</w:t>
      </w:r>
      <w:r>
        <w:rPr>
          <w:rFonts w:ascii="Arial" w:eastAsia="仿宋_GB2312;仿宋" w:hAnsi="Arial" w:cs="Arial"/>
          <w:sz w:val="28"/>
        </w:rPr>
        <w:t>）</w:t>
      </w:r>
      <w:r>
        <w:rPr>
          <w:rFonts w:ascii="Arial" w:eastAsia="仿宋_GB2312;仿宋" w:hAnsi="Arial" w:cs="Arial"/>
          <w:sz w:val="28"/>
        </w:rPr>
        <w:t>×15%</w:t>
      </w:r>
    </w:p>
    <w:p w14:paraId="0AF42722" w14:textId="77777777" w:rsidR="00E70101" w:rsidRDefault="0060680B">
      <w:pPr>
        <w:spacing w:line="360" w:lineRule="auto"/>
        <w:ind w:firstLine="1683"/>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14628</w:t>
      </w:r>
      <w:r>
        <w:rPr>
          <w:rFonts w:ascii="Arial" w:eastAsia="仿宋_GB2312;仿宋" w:hAnsi="Arial" w:cs="Arial"/>
          <w:sz w:val="28"/>
        </w:rPr>
        <w:t>（万元）</w:t>
      </w:r>
    </w:p>
    <w:p w14:paraId="538DF39B" w14:textId="77777777" w:rsidR="00E70101" w:rsidRDefault="0060680B">
      <w:pPr>
        <w:spacing w:line="360" w:lineRule="auto"/>
        <w:ind w:firstLine="565"/>
      </w:pPr>
      <w:r>
        <w:rPr>
          <w:rFonts w:ascii="Arial" w:eastAsia="仿宋_GB2312;仿宋" w:hAnsi="Arial" w:cs="Arial"/>
          <w:b/>
          <w:sz w:val="28"/>
        </w:rPr>
        <w:t>5.</w:t>
      </w:r>
      <w:r>
        <w:rPr>
          <w:rFonts w:ascii="Arial" w:eastAsia="仿宋_GB2312;仿宋" w:hAnsi="Arial" w:cs="Arial"/>
          <w:b/>
          <w:sz w:val="28"/>
        </w:rPr>
        <w:t>土地增值</w:t>
      </w:r>
    </w:p>
    <w:p w14:paraId="07C75A41" w14:textId="77777777" w:rsidR="00E70101" w:rsidRDefault="0060680B">
      <w:pPr>
        <w:spacing w:line="360" w:lineRule="auto"/>
        <w:ind w:firstLine="560"/>
        <w:jc w:val="both"/>
        <w:outlineLvl w:val="0"/>
        <w:rPr>
          <w:rFonts w:ascii="Arial" w:eastAsia="仿宋_GB2312;仿宋" w:hAnsi="Arial" w:cs="Arial"/>
          <w:sz w:val="28"/>
          <w:szCs w:val="28"/>
        </w:rPr>
      </w:pPr>
      <w:r>
        <w:rPr>
          <w:rFonts w:ascii="Arial" w:eastAsia="仿宋_GB2312;仿宋" w:hAnsi="Arial" w:cs="Arial"/>
          <w:sz w:val="28"/>
          <w:szCs w:val="28"/>
        </w:rPr>
        <w:t>土地增值按该区域土地内，因用途等土地使用条件改变或进行土地开发而产生的价值增值额或比例测算。咨询对象为划拨用地，故本次评估未考虑土地增值收益的影响。</w:t>
      </w:r>
    </w:p>
    <w:p w14:paraId="05DE1408" w14:textId="77777777" w:rsidR="00E70101" w:rsidRDefault="0060680B">
      <w:pPr>
        <w:spacing w:line="360" w:lineRule="auto"/>
        <w:ind w:firstLine="565"/>
      </w:pPr>
      <w:r>
        <w:rPr>
          <w:rFonts w:ascii="Arial" w:eastAsia="仿宋_GB2312;仿宋" w:hAnsi="Arial" w:cs="Arial"/>
          <w:b/>
          <w:sz w:val="28"/>
        </w:rPr>
        <w:t>6.</w:t>
      </w:r>
      <w:r>
        <w:rPr>
          <w:rFonts w:ascii="Arial" w:eastAsia="仿宋_GB2312;仿宋" w:hAnsi="Arial" w:cs="Arial"/>
          <w:b/>
          <w:sz w:val="28"/>
        </w:rPr>
        <w:t>无年期限制下土地使用权价格</w:t>
      </w:r>
    </w:p>
    <w:p w14:paraId="33B33506" w14:textId="77777777" w:rsidR="00E70101" w:rsidRDefault="0060680B">
      <w:pPr>
        <w:spacing w:line="360" w:lineRule="auto"/>
        <w:ind w:firstLine="560"/>
        <w:jc w:val="both"/>
        <w:outlineLvl w:val="0"/>
      </w:pPr>
      <w:r>
        <w:rPr>
          <w:rFonts w:ascii="Arial" w:eastAsia="仿宋_GB2312;仿宋" w:hAnsi="Arial" w:cs="Arial"/>
          <w:sz w:val="28"/>
          <w:szCs w:val="28"/>
        </w:rPr>
        <w:t>咨询对象为划拨用地，为无年期限制的土地使用权价格价格，故不进行年期修正。</w:t>
      </w:r>
    </w:p>
    <w:p w14:paraId="7D05F0E8" w14:textId="77777777" w:rsidR="00E70101" w:rsidRDefault="0060680B">
      <w:pPr>
        <w:spacing w:line="360" w:lineRule="auto"/>
        <w:ind w:firstLine="563"/>
        <w:rPr>
          <w:rFonts w:ascii="Arial" w:eastAsia="仿宋_GB2312;仿宋" w:hAnsi="Arial" w:cs="Arial"/>
          <w:sz w:val="28"/>
          <w:szCs w:val="28"/>
        </w:rPr>
      </w:pPr>
      <w:r>
        <w:rPr>
          <w:rFonts w:ascii="Arial" w:eastAsia="仿宋_GB2312;仿宋" w:hAnsi="Arial" w:cs="Arial"/>
          <w:sz w:val="28"/>
          <w:szCs w:val="28"/>
        </w:rPr>
        <w:t>承上，本次评估采用成本逼近法测算宗地地价的结果为：</w:t>
      </w:r>
      <w:r>
        <w:rPr>
          <w:rFonts w:ascii="Arial" w:eastAsia="Arial" w:hAnsi="Arial" w:cs="Arial"/>
          <w:sz w:val="28"/>
          <w:szCs w:val="28"/>
        </w:rPr>
        <w:t xml:space="preserve"> </w:t>
      </w:r>
    </w:p>
    <w:p w14:paraId="67F7EA4B" w14:textId="77777777" w:rsidR="00E70101" w:rsidRDefault="0060680B">
      <w:pPr>
        <w:spacing w:line="360" w:lineRule="auto"/>
        <w:ind w:firstLine="560"/>
        <w:jc w:val="both"/>
        <w:outlineLvl w:val="0"/>
        <w:rPr>
          <w:rFonts w:ascii="Arial" w:eastAsia="仿宋_GB2312;仿宋" w:hAnsi="Arial" w:cs="Arial"/>
          <w:sz w:val="28"/>
          <w:szCs w:val="28"/>
        </w:rPr>
      </w:pPr>
      <w:r>
        <w:rPr>
          <w:rFonts w:ascii="Arial" w:eastAsia="仿宋_GB2312;仿宋" w:hAnsi="Arial" w:cs="Arial"/>
          <w:sz w:val="28"/>
          <w:szCs w:val="28"/>
        </w:rPr>
        <w:t>土地价格</w:t>
      </w:r>
      <w:r>
        <w:rPr>
          <w:rFonts w:ascii="Arial" w:eastAsia="仿宋_GB2312;仿宋" w:hAnsi="Arial" w:cs="Arial"/>
          <w:sz w:val="28"/>
          <w:szCs w:val="28"/>
        </w:rPr>
        <w:t>=</w:t>
      </w:r>
      <w:r>
        <w:rPr>
          <w:rFonts w:ascii="Arial" w:eastAsia="仿宋_GB2312;仿宋" w:hAnsi="Arial" w:cs="Arial"/>
          <w:sz w:val="28"/>
          <w:szCs w:val="28"/>
        </w:rPr>
        <w:t>土地取得费及相关税费</w:t>
      </w:r>
      <w:r>
        <w:rPr>
          <w:rFonts w:ascii="Arial" w:eastAsia="仿宋_GB2312;仿宋" w:hAnsi="Arial" w:cs="Arial"/>
          <w:sz w:val="28"/>
          <w:szCs w:val="28"/>
        </w:rPr>
        <w:t>+</w:t>
      </w:r>
      <w:r>
        <w:rPr>
          <w:rFonts w:ascii="Arial" w:eastAsia="仿宋_GB2312;仿宋" w:hAnsi="Arial" w:cs="Arial"/>
          <w:sz w:val="28"/>
          <w:szCs w:val="28"/>
        </w:rPr>
        <w:t>土地开发费</w:t>
      </w:r>
      <w:r>
        <w:rPr>
          <w:rFonts w:ascii="Arial" w:eastAsia="仿宋_GB2312;仿宋" w:hAnsi="Arial" w:cs="Arial"/>
          <w:sz w:val="28"/>
          <w:szCs w:val="28"/>
        </w:rPr>
        <w:t>+</w:t>
      </w:r>
      <w:r>
        <w:rPr>
          <w:rFonts w:ascii="Arial" w:eastAsia="仿宋_GB2312;仿宋" w:hAnsi="Arial" w:cs="Arial"/>
          <w:sz w:val="28"/>
          <w:szCs w:val="28"/>
        </w:rPr>
        <w:t>利息</w:t>
      </w:r>
      <w:r>
        <w:rPr>
          <w:rFonts w:ascii="Arial" w:eastAsia="仿宋_GB2312;仿宋" w:hAnsi="Arial" w:cs="Arial"/>
          <w:sz w:val="28"/>
          <w:szCs w:val="28"/>
        </w:rPr>
        <w:t>+</w:t>
      </w:r>
      <w:r>
        <w:rPr>
          <w:rFonts w:ascii="Arial" w:eastAsia="仿宋_GB2312;仿宋" w:hAnsi="Arial" w:cs="Arial"/>
          <w:sz w:val="28"/>
          <w:szCs w:val="28"/>
        </w:rPr>
        <w:t>利润</w:t>
      </w:r>
      <w:r>
        <w:rPr>
          <w:rFonts w:ascii="Arial" w:eastAsia="仿宋_GB2312;仿宋" w:hAnsi="Arial" w:cs="Arial"/>
          <w:sz w:val="28"/>
          <w:szCs w:val="28"/>
        </w:rPr>
        <w:t>+</w:t>
      </w:r>
      <w:r>
        <w:rPr>
          <w:rFonts w:ascii="Arial" w:eastAsia="仿宋_GB2312;仿宋" w:hAnsi="Arial" w:cs="Arial"/>
          <w:sz w:val="28"/>
          <w:szCs w:val="28"/>
        </w:rPr>
        <w:t>土地增值</w:t>
      </w:r>
    </w:p>
    <w:p w14:paraId="2CE41C62" w14:textId="77777777" w:rsidR="00E70101" w:rsidRDefault="0060680B">
      <w:pPr>
        <w:spacing w:line="360" w:lineRule="auto"/>
        <w:ind w:firstLine="563"/>
        <w:rPr>
          <w:rFonts w:ascii="Arial" w:eastAsia="仿宋_GB2312;仿宋" w:hAnsi="Arial" w:cs="Arial"/>
          <w:sz w:val="28"/>
        </w:rPr>
      </w:pPr>
      <w:r>
        <w:rPr>
          <w:rFonts w:ascii="Arial" w:eastAsia="仿宋_GB2312;仿宋" w:hAnsi="Arial" w:cs="Arial"/>
          <w:sz w:val="28"/>
          <w:szCs w:val="28"/>
        </w:rPr>
        <w:t>=</w:t>
      </w:r>
      <w:r>
        <w:rPr>
          <w:rFonts w:ascii="Arial" w:eastAsia="仿宋_GB2312;仿宋" w:hAnsi="Arial" w:cs="Arial"/>
          <w:sz w:val="28"/>
        </w:rPr>
        <w:t>90669+6852+3246+14628+0</w:t>
      </w:r>
    </w:p>
    <w:p w14:paraId="4621ACF9" w14:textId="77777777" w:rsidR="00E70101" w:rsidRDefault="0060680B">
      <w:pPr>
        <w:spacing w:line="360" w:lineRule="auto"/>
        <w:ind w:firstLine="560"/>
      </w:pPr>
      <w:r>
        <w:rPr>
          <w:rFonts w:ascii="Arial" w:eastAsia="仿宋_GB2312;仿宋" w:hAnsi="Arial" w:cs="Arial"/>
          <w:sz w:val="28"/>
          <w:szCs w:val="28"/>
        </w:rPr>
        <w:t>=</w:t>
      </w:r>
      <w:r>
        <w:rPr>
          <w:rFonts w:ascii="Arial" w:eastAsia="仿宋_GB2312;仿宋" w:hAnsi="Arial" w:cs="Arial"/>
          <w:sz w:val="28"/>
        </w:rPr>
        <w:t>115395</w:t>
      </w:r>
      <w:r>
        <w:rPr>
          <w:rFonts w:ascii="Arial" w:eastAsia="仿宋_GB2312;仿宋" w:hAnsi="Arial" w:cs="Arial"/>
          <w:sz w:val="28"/>
        </w:rPr>
        <w:t>（万元）</w:t>
      </w:r>
    </w:p>
    <w:p w14:paraId="14F5B057" w14:textId="77777777" w:rsidR="00E70101" w:rsidRDefault="0060680B">
      <w:pPr>
        <w:spacing w:line="360" w:lineRule="auto"/>
        <w:ind w:firstLine="565"/>
        <w:rPr>
          <w:rFonts w:ascii="Arial" w:eastAsia="仿宋_GB2312;仿宋" w:hAnsi="Arial" w:cs="Arial"/>
          <w:b/>
          <w:sz w:val="28"/>
        </w:rPr>
      </w:pPr>
      <w:r>
        <w:rPr>
          <w:rFonts w:ascii="Arial" w:eastAsia="仿宋_GB2312;仿宋" w:hAnsi="Arial" w:cs="Arial"/>
          <w:b/>
          <w:sz w:val="28"/>
        </w:rPr>
        <w:t>7.</w:t>
      </w:r>
      <w:r>
        <w:rPr>
          <w:rFonts w:ascii="Arial" w:eastAsia="仿宋_GB2312;仿宋" w:hAnsi="Arial" w:cs="Arial"/>
          <w:b/>
          <w:sz w:val="28"/>
        </w:rPr>
        <w:t>咨询对象土地使用权地面价</w:t>
      </w:r>
    </w:p>
    <w:p w14:paraId="307AB1F4" w14:textId="77777777" w:rsidR="00E70101" w:rsidRDefault="0060680B">
      <w:pPr>
        <w:spacing w:line="360" w:lineRule="auto"/>
        <w:ind w:firstLine="563"/>
        <w:rPr>
          <w:rFonts w:ascii="Arial" w:eastAsia="仿宋_GB2312;仿宋" w:hAnsi="Arial" w:cs="Arial"/>
          <w:sz w:val="28"/>
        </w:rPr>
      </w:pPr>
      <w:r>
        <w:rPr>
          <w:rFonts w:ascii="Arial" w:eastAsia="仿宋_GB2312;仿宋" w:hAnsi="Arial" w:cs="Arial"/>
          <w:sz w:val="28"/>
        </w:rPr>
        <w:t>咨询对象土地使用权地面价</w:t>
      </w:r>
    </w:p>
    <w:p w14:paraId="6E09A7E4" w14:textId="77777777" w:rsidR="00E70101" w:rsidRDefault="0060680B">
      <w:pPr>
        <w:spacing w:line="360" w:lineRule="auto"/>
        <w:ind w:firstLine="563"/>
        <w:rPr>
          <w:rFonts w:ascii="Arial" w:eastAsia="仿宋_GB2312;仿宋" w:hAnsi="Arial" w:cs="Arial"/>
          <w:sz w:val="28"/>
        </w:rPr>
      </w:pPr>
      <w:r>
        <w:rPr>
          <w:rFonts w:ascii="Arial" w:eastAsia="仿宋_GB2312;仿宋" w:hAnsi="Arial" w:cs="Arial"/>
          <w:sz w:val="28"/>
        </w:rPr>
        <w:t>=115395×10000÷370379.14</w:t>
      </w:r>
    </w:p>
    <w:p w14:paraId="037AD642" w14:textId="77777777" w:rsidR="00E70101" w:rsidRDefault="0060680B">
      <w:pPr>
        <w:spacing w:line="360" w:lineRule="auto"/>
        <w:ind w:firstLine="563"/>
        <w:rPr>
          <w:rFonts w:cs="Arial"/>
        </w:rPr>
      </w:pPr>
      <w:r>
        <w:rPr>
          <w:rFonts w:ascii="Arial" w:eastAsia="仿宋_GB2312;仿宋" w:hAnsi="Arial" w:cs="Arial"/>
          <w:sz w:val="28"/>
        </w:rPr>
        <w:t>=3116</w:t>
      </w:r>
      <w:r>
        <w:rPr>
          <w:rFonts w:ascii="Arial" w:eastAsia="仿宋_GB2312;仿宋" w:hAnsi="Arial" w:cs="Arial"/>
          <w:sz w:val="28"/>
        </w:rPr>
        <w:t>（元</w:t>
      </w:r>
      <w:r>
        <w:rPr>
          <w:rFonts w:ascii="Arial" w:eastAsia="仿宋_GB2312;仿宋" w:hAnsi="Arial" w:cs="Arial"/>
          <w:sz w:val="28"/>
        </w:rPr>
        <w:t>/</w:t>
      </w:r>
      <w:r>
        <w:rPr>
          <w:rFonts w:ascii="Arial" w:eastAsia="仿宋_GB2312;仿宋" w:hAnsi="Arial" w:cs="Arial"/>
          <w:sz w:val="28"/>
        </w:rPr>
        <w:t>平方米）</w:t>
      </w:r>
    </w:p>
    <w:tbl>
      <w:tblPr>
        <w:tblW w:w="9304" w:type="dxa"/>
        <w:jc w:val="center"/>
        <w:tblCellMar>
          <w:top w:w="57" w:type="dxa"/>
          <w:left w:w="28" w:type="dxa"/>
          <w:bottom w:w="57" w:type="dxa"/>
          <w:right w:w="28" w:type="dxa"/>
        </w:tblCellMar>
        <w:tblLook w:val="0000" w:firstRow="0" w:lastRow="0" w:firstColumn="0" w:lastColumn="0" w:noHBand="0" w:noVBand="0"/>
      </w:tblPr>
      <w:tblGrid>
        <w:gridCol w:w="792"/>
        <w:gridCol w:w="2221"/>
        <w:gridCol w:w="944"/>
        <w:gridCol w:w="944"/>
        <w:gridCol w:w="944"/>
        <w:gridCol w:w="807"/>
        <w:gridCol w:w="2652"/>
      </w:tblGrid>
      <w:tr w:rsidR="00E70101" w14:paraId="0652A2FF" w14:textId="77777777">
        <w:trPr>
          <w:cantSplit/>
          <w:jc w:val="center"/>
        </w:trPr>
        <w:tc>
          <w:tcPr>
            <w:tcW w:w="792" w:type="dxa"/>
            <w:tcBorders>
              <w:top w:val="single" w:sz="2" w:space="0" w:color="404040"/>
              <w:left w:val="single" w:sz="2" w:space="0" w:color="404040"/>
              <w:bottom w:val="single" w:sz="2" w:space="0" w:color="404040"/>
            </w:tcBorders>
            <w:shd w:val="clear" w:color="auto" w:fill="auto"/>
            <w:vAlign w:val="center"/>
          </w:tcPr>
          <w:p w14:paraId="1A7A6258"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序号</w:t>
            </w:r>
          </w:p>
        </w:tc>
        <w:tc>
          <w:tcPr>
            <w:tcW w:w="2221" w:type="dxa"/>
            <w:tcBorders>
              <w:top w:val="single" w:sz="2" w:space="0" w:color="404040"/>
              <w:left w:val="single" w:sz="2" w:space="0" w:color="404040"/>
              <w:bottom w:val="single" w:sz="2" w:space="0" w:color="404040"/>
            </w:tcBorders>
            <w:shd w:val="clear" w:color="auto" w:fill="auto"/>
            <w:vAlign w:val="center"/>
          </w:tcPr>
          <w:p w14:paraId="641B7E91"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项目</w:t>
            </w:r>
          </w:p>
        </w:tc>
        <w:tc>
          <w:tcPr>
            <w:tcW w:w="944" w:type="dxa"/>
            <w:tcBorders>
              <w:top w:val="single" w:sz="2" w:space="0" w:color="404040"/>
              <w:left w:val="single" w:sz="2" w:space="0" w:color="404040"/>
              <w:bottom w:val="single" w:sz="2" w:space="0" w:color="404040"/>
            </w:tcBorders>
            <w:shd w:val="clear" w:color="auto" w:fill="auto"/>
            <w:vAlign w:val="center"/>
          </w:tcPr>
          <w:p w14:paraId="0DD36E26"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总额（元）</w:t>
            </w:r>
          </w:p>
        </w:tc>
        <w:tc>
          <w:tcPr>
            <w:tcW w:w="944" w:type="dxa"/>
            <w:tcBorders>
              <w:top w:val="single" w:sz="2" w:space="0" w:color="404040"/>
              <w:left w:val="single" w:sz="2" w:space="0" w:color="404040"/>
              <w:bottom w:val="single" w:sz="2" w:space="0" w:color="404040"/>
            </w:tcBorders>
            <w:shd w:val="clear" w:color="auto" w:fill="auto"/>
            <w:vAlign w:val="center"/>
          </w:tcPr>
          <w:p w14:paraId="033569BF"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面积</w:t>
            </w:r>
          </w:p>
        </w:tc>
        <w:tc>
          <w:tcPr>
            <w:tcW w:w="944" w:type="dxa"/>
            <w:tcBorders>
              <w:top w:val="single" w:sz="2" w:space="0" w:color="404040"/>
              <w:left w:val="single" w:sz="2" w:space="0" w:color="404040"/>
              <w:bottom w:val="single" w:sz="2" w:space="0" w:color="404040"/>
            </w:tcBorders>
            <w:shd w:val="clear" w:color="auto" w:fill="auto"/>
            <w:vAlign w:val="center"/>
          </w:tcPr>
          <w:p w14:paraId="332671DF"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单价</w:t>
            </w:r>
          </w:p>
        </w:tc>
        <w:tc>
          <w:tcPr>
            <w:tcW w:w="807" w:type="dxa"/>
            <w:tcBorders>
              <w:top w:val="single" w:sz="2" w:space="0" w:color="404040"/>
              <w:left w:val="single" w:sz="2" w:space="0" w:color="404040"/>
              <w:bottom w:val="single" w:sz="2" w:space="0" w:color="404040"/>
            </w:tcBorders>
            <w:shd w:val="clear" w:color="auto" w:fill="auto"/>
            <w:vAlign w:val="center"/>
          </w:tcPr>
          <w:p w14:paraId="64EB354E"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系数</w:t>
            </w:r>
          </w:p>
        </w:tc>
        <w:tc>
          <w:tcPr>
            <w:tcW w:w="2652" w:type="dxa"/>
            <w:tcBorders>
              <w:top w:val="single" w:sz="2" w:space="0" w:color="404040"/>
              <w:left w:val="single" w:sz="2" w:space="0" w:color="404040"/>
              <w:bottom w:val="single" w:sz="2" w:space="0" w:color="404040"/>
              <w:right w:val="single" w:sz="2" w:space="0" w:color="404040"/>
            </w:tcBorders>
            <w:shd w:val="clear" w:color="auto" w:fill="auto"/>
            <w:vAlign w:val="center"/>
          </w:tcPr>
          <w:p w14:paraId="2E68D225"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备注</w:t>
            </w:r>
          </w:p>
        </w:tc>
      </w:tr>
      <w:tr w:rsidR="00E70101" w14:paraId="387769BC" w14:textId="77777777">
        <w:trPr>
          <w:cantSplit/>
          <w:jc w:val="center"/>
        </w:trPr>
        <w:tc>
          <w:tcPr>
            <w:tcW w:w="792" w:type="dxa"/>
            <w:tcBorders>
              <w:top w:val="single" w:sz="2" w:space="0" w:color="404040"/>
              <w:left w:val="single" w:sz="2" w:space="0" w:color="404040"/>
              <w:bottom w:val="single" w:sz="2" w:space="0" w:color="404040"/>
            </w:tcBorders>
            <w:shd w:val="clear" w:color="auto" w:fill="auto"/>
            <w:vAlign w:val="center"/>
          </w:tcPr>
          <w:p w14:paraId="2B43C40A"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1</w:t>
            </w:r>
          </w:p>
        </w:tc>
        <w:tc>
          <w:tcPr>
            <w:tcW w:w="2221" w:type="dxa"/>
            <w:tcBorders>
              <w:top w:val="single" w:sz="2" w:space="0" w:color="404040"/>
              <w:left w:val="single" w:sz="2" w:space="0" w:color="404040"/>
              <w:bottom w:val="single" w:sz="2" w:space="0" w:color="404040"/>
            </w:tcBorders>
            <w:shd w:val="clear" w:color="auto" w:fill="auto"/>
            <w:vAlign w:val="center"/>
          </w:tcPr>
          <w:p w14:paraId="61C47E56"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土地取得费</w:t>
            </w:r>
          </w:p>
        </w:tc>
        <w:tc>
          <w:tcPr>
            <w:tcW w:w="944" w:type="dxa"/>
            <w:tcBorders>
              <w:top w:val="single" w:sz="2" w:space="0" w:color="404040"/>
              <w:left w:val="single" w:sz="2" w:space="0" w:color="404040"/>
              <w:bottom w:val="single" w:sz="2" w:space="0" w:color="404040"/>
            </w:tcBorders>
            <w:shd w:val="clear" w:color="auto" w:fill="auto"/>
            <w:vAlign w:val="center"/>
          </w:tcPr>
          <w:p w14:paraId="4A2F86C1"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90669</w:t>
            </w:r>
          </w:p>
        </w:tc>
        <w:tc>
          <w:tcPr>
            <w:tcW w:w="944" w:type="dxa"/>
            <w:tcBorders>
              <w:top w:val="single" w:sz="2" w:space="0" w:color="404040"/>
              <w:left w:val="single" w:sz="2" w:space="0" w:color="404040"/>
              <w:bottom w:val="single" w:sz="2" w:space="0" w:color="404040"/>
            </w:tcBorders>
            <w:shd w:val="clear" w:color="auto" w:fill="auto"/>
            <w:vAlign w:val="center"/>
          </w:tcPr>
          <w:p w14:paraId="1C5167F7" w14:textId="77777777" w:rsidR="00E70101" w:rsidRDefault="0060680B">
            <w:pPr>
              <w:spacing w:line="240" w:lineRule="auto"/>
              <w:rPr>
                <w:rFonts w:ascii="Arial" w:eastAsia="华文细黑" w:hAnsi="Arial" w:cs="Arial"/>
                <w:sz w:val="18"/>
                <w:szCs w:val="18"/>
              </w:rPr>
            </w:pPr>
            <w:r>
              <w:rPr>
                <w:rFonts w:ascii="Arial" w:eastAsia="华文细黑" w:hAnsi="Arial" w:cs="Arial"/>
                <w:sz w:val="18"/>
                <w:szCs w:val="18"/>
              </w:rPr>
              <w:t>370379.14</w:t>
            </w:r>
          </w:p>
        </w:tc>
        <w:tc>
          <w:tcPr>
            <w:tcW w:w="944" w:type="dxa"/>
            <w:tcBorders>
              <w:top w:val="single" w:sz="2" w:space="0" w:color="404040"/>
              <w:left w:val="single" w:sz="2" w:space="0" w:color="404040"/>
              <w:bottom w:val="single" w:sz="2" w:space="0" w:color="404040"/>
            </w:tcBorders>
            <w:shd w:val="clear" w:color="auto" w:fill="auto"/>
            <w:vAlign w:val="center"/>
          </w:tcPr>
          <w:p w14:paraId="7A0E3E00" w14:textId="77777777" w:rsidR="00E70101" w:rsidRDefault="0060680B">
            <w:pPr>
              <w:spacing w:line="240" w:lineRule="auto"/>
              <w:rPr>
                <w:rFonts w:ascii="Arial" w:eastAsia="华文细黑" w:hAnsi="Arial" w:cs="Arial"/>
                <w:bCs/>
                <w:sz w:val="18"/>
              </w:rPr>
            </w:pPr>
            <w:r>
              <w:rPr>
                <w:rFonts w:ascii="Arial" w:eastAsia="华文细黑" w:hAnsi="Arial" w:cs="Arial"/>
                <w:bCs/>
                <w:sz w:val="18"/>
              </w:rPr>
              <w:t>2448</w:t>
            </w:r>
          </w:p>
        </w:tc>
        <w:tc>
          <w:tcPr>
            <w:tcW w:w="807" w:type="dxa"/>
            <w:tcBorders>
              <w:top w:val="single" w:sz="2" w:space="0" w:color="404040"/>
              <w:left w:val="single" w:sz="2" w:space="0" w:color="404040"/>
              <w:bottom w:val="single" w:sz="2" w:space="0" w:color="404040"/>
            </w:tcBorders>
            <w:shd w:val="clear" w:color="auto" w:fill="auto"/>
            <w:vAlign w:val="center"/>
          </w:tcPr>
          <w:p w14:paraId="0F6D8CF3" w14:textId="77777777" w:rsidR="00E70101" w:rsidRDefault="0060680B">
            <w:pPr>
              <w:spacing w:line="240" w:lineRule="auto"/>
              <w:rPr>
                <w:rFonts w:ascii="华文细黑" w:eastAsia="华文细黑" w:hAnsi="华文细黑" w:cs="华文细黑"/>
                <w:bCs/>
                <w:sz w:val="18"/>
              </w:rPr>
            </w:pPr>
            <w:r>
              <w:rPr>
                <w:rFonts w:ascii="华文细黑" w:eastAsia="华文细黑" w:hAnsi="华文细黑" w:cs="华文细黑"/>
                <w:bCs/>
                <w:sz w:val="18"/>
              </w:rPr>
              <w:t>——</w:t>
            </w:r>
          </w:p>
        </w:tc>
        <w:tc>
          <w:tcPr>
            <w:tcW w:w="2652" w:type="dxa"/>
            <w:tcBorders>
              <w:top w:val="single" w:sz="2" w:space="0" w:color="404040"/>
              <w:left w:val="single" w:sz="2" w:space="0" w:color="404040"/>
              <w:bottom w:val="single" w:sz="2" w:space="0" w:color="404040"/>
              <w:right w:val="single" w:sz="2" w:space="0" w:color="404040"/>
            </w:tcBorders>
            <w:shd w:val="clear" w:color="auto" w:fill="auto"/>
            <w:vAlign w:val="center"/>
          </w:tcPr>
          <w:p w14:paraId="78C4FEFF" w14:textId="77777777" w:rsidR="00E70101" w:rsidRDefault="00E70101">
            <w:pPr>
              <w:widowControl/>
              <w:snapToGrid w:val="0"/>
              <w:spacing w:line="240" w:lineRule="auto"/>
              <w:textAlignment w:val="auto"/>
              <w:rPr>
                <w:rFonts w:ascii="Arial" w:eastAsia="华文细黑" w:hAnsi="Arial" w:cs="宋体;SimSun"/>
                <w:bCs/>
                <w:sz w:val="18"/>
              </w:rPr>
            </w:pPr>
          </w:p>
        </w:tc>
      </w:tr>
      <w:tr w:rsidR="00E70101" w14:paraId="6DBBC931" w14:textId="77777777">
        <w:trPr>
          <w:cantSplit/>
          <w:jc w:val="center"/>
        </w:trPr>
        <w:tc>
          <w:tcPr>
            <w:tcW w:w="792" w:type="dxa"/>
            <w:tcBorders>
              <w:top w:val="single" w:sz="2" w:space="0" w:color="404040"/>
              <w:left w:val="single" w:sz="2" w:space="0" w:color="404040"/>
              <w:bottom w:val="single" w:sz="2" w:space="0" w:color="404040"/>
            </w:tcBorders>
            <w:shd w:val="clear" w:color="auto" w:fill="auto"/>
            <w:vAlign w:val="center"/>
          </w:tcPr>
          <w:p w14:paraId="582016C1"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2</w:t>
            </w:r>
          </w:p>
        </w:tc>
        <w:tc>
          <w:tcPr>
            <w:tcW w:w="2221" w:type="dxa"/>
            <w:tcBorders>
              <w:top w:val="single" w:sz="2" w:space="0" w:color="404040"/>
              <w:left w:val="single" w:sz="2" w:space="0" w:color="404040"/>
              <w:bottom w:val="single" w:sz="2" w:space="0" w:color="404040"/>
            </w:tcBorders>
            <w:shd w:val="clear" w:color="auto" w:fill="auto"/>
            <w:vAlign w:val="center"/>
          </w:tcPr>
          <w:p w14:paraId="6215D290"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土地开发费</w:t>
            </w:r>
          </w:p>
        </w:tc>
        <w:tc>
          <w:tcPr>
            <w:tcW w:w="944" w:type="dxa"/>
            <w:tcBorders>
              <w:top w:val="single" w:sz="2" w:space="0" w:color="404040"/>
              <w:left w:val="single" w:sz="2" w:space="0" w:color="404040"/>
              <w:bottom w:val="single" w:sz="2" w:space="0" w:color="404040"/>
            </w:tcBorders>
            <w:shd w:val="clear" w:color="auto" w:fill="auto"/>
            <w:vAlign w:val="center"/>
          </w:tcPr>
          <w:p w14:paraId="7A3BC017"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6852</w:t>
            </w:r>
          </w:p>
        </w:tc>
        <w:tc>
          <w:tcPr>
            <w:tcW w:w="944" w:type="dxa"/>
            <w:tcBorders>
              <w:top w:val="single" w:sz="2" w:space="0" w:color="404040"/>
              <w:left w:val="single" w:sz="2" w:space="0" w:color="404040"/>
              <w:bottom w:val="single" w:sz="2" w:space="0" w:color="404040"/>
            </w:tcBorders>
            <w:shd w:val="clear" w:color="auto" w:fill="auto"/>
            <w:vAlign w:val="center"/>
          </w:tcPr>
          <w:p w14:paraId="61453421"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370379.14</w:t>
            </w:r>
          </w:p>
        </w:tc>
        <w:tc>
          <w:tcPr>
            <w:tcW w:w="944" w:type="dxa"/>
            <w:tcBorders>
              <w:top w:val="single" w:sz="2" w:space="0" w:color="404040"/>
              <w:left w:val="single" w:sz="2" w:space="0" w:color="404040"/>
              <w:bottom w:val="single" w:sz="2" w:space="0" w:color="404040"/>
            </w:tcBorders>
            <w:shd w:val="clear" w:color="auto" w:fill="auto"/>
            <w:vAlign w:val="center"/>
          </w:tcPr>
          <w:p w14:paraId="36EDC6E8"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185</w:t>
            </w:r>
          </w:p>
        </w:tc>
        <w:tc>
          <w:tcPr>
            <w:tcW w:w="807" w:type="dxa"/>
            <w:tcBorders>
              <w:top w:val="single" w:sz="2" w:space="0" w:color="404040"/>
              <w:left w:val="single" w:sz="2" w:space="0" w:color="404040"/>
              <w:bottom w:val="single" w:sz="2" w:space="0" w:color="404040"/>
            </w:tcBorders>
            <w:shd w:val="clear" w:color="auto" w:fill="auto"/>
            <w:vAlign w:val="center"/>
          </w:tcPr>
          <w:p w14:paraId="5AF481DB" w14:textId="77777777" w:rsidR="00E70101" w:rsidRDefault="0060680B">
            <w:pPr>
              <w:widowControl/>
              <w:spacing w:line="240" w:lineRule="auto"/>
              <w:textAlignment w:val="auto"/>
              <w:rPr>
                <w:rFonts w:ascii="Arial" w:eastAsia="华文细黑" w:hAnsi="Arial" w:cs="Arial"/>
                <w:bCs/>
                <w:sz w:val="18"/>
              </w:rPr>
            </w:pPr>
            <w:r>
              <w:rPr>
                <w:rFonts w:ascii="华文细黑" w:eastAsia="华文细黑" w:hAnsi="华文细黑" w:cs="华文细黑"/>
                <w:bCs/>
                <w:sz w:val="18"/>
              </w:rPr>
              <w:t>——</w:t>
            </w:r>
          </w:p>
        </w:tc>
        <w:tc>
          <w:tcPr>
            <w:tcW w:w="2652" w:type="dxa"/>
            <w:tcBorders>
              <w:top w:val="single" w:sz="2" w:space="0" w:color="404040"/>
              <w:left w:val="single" w:sz="2" w:space="0" w:color="404040"/>
              <w:bottom w:val="single" w:sz="2" w:space="0" w:color="404040"/>
              <w:right w:val="single" w:sz="2" w:space="0" w:color="404040"/>
            </w:tcBorders>
            <w:shd w:val="clear" w:color="auto" w:fill="auto"/>
            <w:vAlign w:val="center"/>
          </w:tcPr>
          <w:p w14:paraId="712684A6" w14:textId="77777777" w:rsidR="00E70101" w:rsidRDefault="0060680B">
            <w:pPr>
              <w:widowControl/>
              <w:spacing w:line="240" w:lineRule="auto"/>
              <w:textAlignment w:val="auto"/>
              <w:rPr>
                <w:rFonts w:ascii="Arial" w:eastAsia="华文细黑" w:hAnsi="Arial" w:cs="Arial"/>
                <w:sz w:val="18"/>
              </w:rPr>
            </w:pPr>
            <w:r>
              <w:rPr>
                <w:rFonts w:ascii="Arial" w:eastAsia="华文细黑" w:hAnsi="Arial" w:cs="Arial"/>
                <w:sz w:val="18"/>
              </w:rPr>
              <w:t>即宗地红线外市政费用及宗地红线内土地平整费用，根据待估宗地区域对土地开发成本来估算。</w:t>
            </w:r>
          </w:p>
        </w:tc>
      </w:tr>
      <w:tr w:rsidR="00E70101" w14:paraId="27F44F04" w14:textId="77777777">
        <w:trPr>
          <w:cantSplit/>
          <w:jc w:val="center"/>
        </w:trPr>
        <w:tc>
          <w:tcPr>
            <w:tcW w:w="792" w:type="dxa"/>
            <w:tcBorders>
              <w:top w:val="single" w:sz="2" w:space="0" w:color="404040"/>
              <w:left w:val="single" w:sz="2" w:space="0" w:color="404040"/>
              <w:bottom w:val="single" w:sz="2" w:space="0" w:color="404040"/>
            </w:tcBorders>
            <w:shd w:val="clear" w:color="auto" w:fill="auto"/>
            <w:vAlign w:val="center"/>
          </w:tcPr>
          <w:p w14:paraId="5822446D"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3</w:t>
            </w:r>
          </w:p>
        </w:tc>
        <w:tc>
          <w:tcPr>
            <w:tcW w:w="2221" w:type="dxa"/>
            <w:tcBorders>
              <w:top w:val="single" w:sz="2" w:space="0" w:color="404040"/>
              <w:left w:val="single" w:sz="2" w:space="0" w:color="404040"/>
              <w:bottom w:val="single" w:sz="2" w:space="0" w:color="404040"/>
            </w:tcBorders>
            <w:shd w:val="clear" w:color="auto" w:fill="auto"/>
            <w:vAlign w:val="center"/>
          </w:tcPr>
          <w:p w14:paraId="35A7EB88"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税费</w:t>
            </w:r>
          </w:p>
        </w:tc>
        <w:tc>
          <w:tcPr>
            <w:tcW w:w="944" w:type="dxa"/>
            <w:tcBorders>
              <w:top w:val="single" w:sz="2" w:space="0" w:color="404040"/>
              <w:left w:val="single" w:sz="2" w:space="0" w:color="404040"/>
              <w:bottom w:val="single" w:sz="2" w:space="0" w:color="404040"/>
            </w:tcBorders>
            <w:shd w:val="clear" w:color="auto" w:fill="auto"/>
            <w:vAlign w:val="center"/>
          </w:tcPr>
          <w:p w14:paraId="06038365" w14:textId="77777777" w:rsidR="00E70101" w:rsidRDefault="0060680B">
            <w:pPr>
              <w:spacing w:line="240" w:lineRule="auto"/>
              <w:rPr>
                <w:rFonts w:ascii="华文细黑" w:eastAsia="华文细黑" w:hAnsi="华文细黑" w:cs="华文细黑"/>
                <w:bCs/>
                <w:sz w:val="18"/>
              </w:rPr>
            </w:pPr>
            <w:r>
              <w:rPr>
                <w:rFonts w:ascii="华文细黑" w:eastAsia="华文细黑" w:hAnsi="华文细黑" w:cs="华文细黑"/>
                <w:bCs/>
                <w:sz w:val="18"/>
              </w:rPr>
              <w:t>——</w:t>
            </w:r>
          </w:p>
        </w:tc>
        <w:tc>
          <w:tcPr>
            <w:tcW w:w="944" w:type="dxa"/>
            <w:tcBorders>
              <w:top w:val="single" w:sz="2" w:space="0" w:color="404040"/>
              <w:left w:val="single" w:sz="2" w:space="0" w:color="404040"/>
              <w:bottom w:val="single" w:sz="2" w:space="0" w:color="404040"/>
            </w:tcBorders>
            <w:shd w:val="clear" w:color="auto" w:fill="auto"/>
            <w:vAlign w:val="center"/>
          </w:tcPr>
          <w:p w14:paraId="4FD47C01" w14:textId="77777777" w:rsidR="00E70101" w:rsidRDefault="0060680B">
            <w:pPr>
              <w:spacing w:line="240" w:lineRule="auto"/>
              <w:rPr>
                <w:rFonts w:ascii="华文细黑" w:eastAsia="华文细黑" w:hAnsi="华文细黑" w:cs="华文细黑"/>
                <w:bCs/>
                <w:sz w:val="18"/>
              </w:rPr>
            </w:pPr>
            <w:r>
              <w:rPr>
                <w:rFonts w:ascii="华文细黑" w:eastAsia="华文细黑" w:hAnsi="华文细黑" w:cs="华文细黑"/>
                <w:bCs/>
                <w:sz w:val="18"/>
              </w:rPr>
              <w:t>——</w:t>
            </w:r>
          </w:p>
        </w:tc>
        <w:tc>
          <w:tcPr>
            <w:tcW w:w="944" w:type="dxa"/>
            <w:tcBorders>
              <w:top w:val="single" w:sz="2" w:space="0" w:color="404040"/>
              <w:left w:val="single" w:sz="2" w:space="0" w:color="404040"/>
              <w:bottom w:val="single" w:sz="2" w:space="0" w:color="404040"/>
            </w:tcBorders>
            <w:shd w:val="clear" w:color="auto" w:fill="auto"/>
            <w:vAlign w:val="center"/>
          </w:tcPr>
          <w:p w14:paraId="25A602B0" w14:textId="77777777" w:rsidR="00E70101" w:rsidRDefault="0060680B">
            <w:pPr>
              <w:spacing w:line="240" w:lineRule="auto"/>
              <w:rPr>
                <w:rFonts w:ascii="华文细黑" w:eastAsia="华文细黑" w:hAnsi="华文细黑" w:cs="华文细黑"/>
                <w:bCs/>
                <w:sz w:val="18"/>
              </w:rPr>
            </w:pPr>
            <w:r>
              <w:rPr>
                <w:rFonts w:ascii="华文细黑" w:eastAsia="华文细黑" w:hAnsi="华文细黑" w:cs="华文细黑"/>
                <w:bCs/>
                <w:sz w:val="18"/>
              </w:rPr>
              <w:t>——</w:t>
            </w:r>
          </w:p>
        </w:tc>
        <w:tc>
          <w:tcPr>
            <w:tcW w:w="807" w:type="dxa"/>
            <w:tcBorders>
              <w:top w:val="single" w:sz="2" w:space="0" w:color="404040"/>
              <w:left w:val="single" w:sz="2" w:space="0" w:color="404040"/>
              <w:bottom w:val="single" w:sz="2" w:space="0" w:color="404040"/>
            </w:tcBorders>
            <w:shd w:val="clear" w:color="auto" w:fill="auto"/>
            <w:vAlign w:val="center"/>
          </w:tcPr>
          <w:p w14:paraId="6CC1E8FC" w14:textId="77777777" w:rsidR="00E70101" w:rsidRDefault="0060680B">
            <w:pPr>
              <w:spacing w:line="240" w:lineRule="auto"/>
              <w:rPr>
                <w:rFonts w:ascii="华文细黑" w:eastAsia="华文细黑" w:hAnsi="华文细黑" w:cs="华文细黑"/>
                <w:bCs/>
                <w:sz w:val="18"/>
              </w:rPr>
            </w:pPr>
            <w:r>
              <w:rPr>
                <w:rFonts w:ascii="华文细黑" w:eastAsia="华文细黑" w:hAnsi="华文细黑" w:cs="华文细黑"/>
                <w:bCs/>
                <w:sz w:val="18"/>
              </w:rPr>
              <w:t>——</w:t>
            </w:r>
          </w:p>
        </w:tc>
        <w:tc>
          <w:tcPr>
            <w:tcW w:w="2652" w:type="dxa"/>
            <w:tcBorders>
              <w:top w:val="single" w:sz="2" w:space="0" w:color="404040"/>
              <w:left w:val="single" w:sz="2" w:space="0" w:color="404040"/>
              <w:bottom w:val="single" w:sz="2" w:space="0" w:color="404040"/>
              <w:right w:val="single" w:sz="2" w:space="0" w:color="404040"/>
            </w:tcBorders>
            <w:shd w:val="clear" w:color="auto" w:fill="auto"/>
            <w:vAlign w:val="center"/>
          </w:tcPr>
          <w:p w14:paraId="6613FD96" w14:textId="77777777" w:rsidR="00E70101" w:rsidRDefault="0060680B">
            <w:pPr>
              <w:widowControl/>
              <w:spacing w:line="240" w:lineRule="auto"/>
              <w:textAlignment w:val="auto"/>
              <w:rPr>
                <w:rFonts w:ascii="Arial" w:eastAsia="华文细黑" w:hAnsi="Arial" w:cs="Arial"/>
                <w:sz w:val="18"/>
              </w:rPr>
            </w:pPr>
            <w:r>
              <w:rPr>
                <w:rFonts w:ascii="Arial" w:eastAsia="华文细黑" w:hAnsi="Arial" w:cs="Arial"/>
                <w:sz w:val="18"/>
              </w:rPr>
              <w:t>在土地取得和开发过程中影响政府缴纳的税费，包括耕地占用税、耕地开垦费、征地管理费等以及其他在土地取得过程中直接相关的税费</w:t>
            </w:r>
          </w:p>
        </w:tc>
      </w:tr>
      <w:tr w:rsidR="00E70101" w14:paraId="0BF19A56" w14:textId="77777777">
        <w:trPr>
          <w:cantSplit/>
          <w:jc w:val="center"/>
        </w:trPr>
        <w:tc>
          <w:tcPr>
            <w:tcW w:w="792" w:type="dxa"/>
            <w:tcBorders>
              <w:top w:val="single" w:sz="2" w:space="0" w:color="404040"/>
              <w:left w:val="single" w:sz="2" w:space="0" w:color="404040"/>
              <w:bottom w:val="single" w:sz="2" w:space="0" w:color="404040"/>
            </w:tcBorders>
            <w:shd w:val="clear" w:color="auto" w:fill="auto"/>
            <w:vAlign w:val="center"/>
          </w:tcPr>
          <w:p w14:paraId="62881907"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4</w:t>
            </w:r>
          </w:p>
        </w:tc>
        <w:tc>
          <w:tcPr>
            <w:tcW w:w="2221" w:type="dxa"/>
            <w:tcBorders>
              <w:top w:val="single" w:sz="2" w:space="0" w:color="404040"/>
              <w:left w:val="single" w:sz="2" w:space="0" w:color="404040"/>
              <w:bottom w:val="single" w:sz="2" w:space="0" w:color="404040"/>
            </w:tcBorders>
            <w:shd w:val="clear" w:color="auto" w:fill="auto"/>
            <w:vAlign w:val="center"/>
          </w:tcPr>
          <w:p w14:paraId="1A3513D0"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贷款利息</w:t>
            </w:r>
          </w:p>
        </w:tc>
        <w:tc>
          <w:tcPr>
            <w:tcW w:w="944" w:type="dxa"/>
            <w:tcBorders>
              <w:top w:val="single" w:sz="2" w:space="0" w:color="404040"/>
              <w:left w:val="single" w:sz="2" w:space="0" w:color="404040"/>
              <w:bottom w:val="single" w:sz="2" w:space="0" w:color="404040"/>
            </w:tcBorders>
            <w:shd w:val="clear" w:color="auto" w:fill="auto"/>
            <w:vAlign w:val="center"/>
          </w:tcPr>
          <w:p w14:paraId="0145C61E"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3246</w:t>
            </w:r>
          </w:p>
        </w:tc>
        <w:tc>
          <w:tcPr>
            <w:tcW w:w="944" w:type="dxa"/>
            <w:tcBorders>
              <w:top w:val="single" w:sz="2" w:space="0" w:color="404040"/>
              <w:left w:val="single" w:sz="2" w:space="0" w:color="404040"/>
              <w:bottom w:val="single" w:sz="2" w:space="0" w:color="404040"/>
            </w:tcBorders>
            <w:shd w:val="clear" w:color="auto" w:fill="auto"/>
            <w:vAlign w:val="center"/>
          </w:tcPr>
          <w:p w14:paraId="6CCE1F2C" w14:textId="77777777" w:rsidR="00E70101" w:rsidRDefault="0060680B">
            <w:pPr>
              <w:widowControl/>
              <w:spacing w:line="240" w:lineRule="auto"/>
              <w:textAlignment w:val="auto"/>
              <w:rPr>
                <w:rFonts w:ascii="Arial" w:eastAsia="华文细黑" w:hAnsi="Arial" w:cs="Arial"/>
                <w:bCs/>
                <w:sz w:val="18"/>
              </w:rPr>
            </w:pPr>
            <w:r>
              <w:rPr>
                <w:rFonts w:ascii="华文细黑" w:eastAsia="华文细黑" w:hAnsi="华文细黑" w:cs="华文细黑"/>
                <w:bCs/>
                <w:sz w:val="18"/>
              </w:rPr>
              <w:t>——</w:t>
            </w:r>
          </w:p>
        </w:tc>
        <w:tc>
          <w:tcPr>
            <w:tcW w:w="944" w:type="dxa"/>
            <w:tcBorders>
              <w:top w:val="single" w:sz="2" w:space="0" w:color="404040"/>
              <w:left w:val="single" w:sz="2" w:space="0" w:color="404040"/>
              <w:bottom w:val="single" w:sz="2" w:space="0" w:color="404040"/>
            </w:tcBorders>
            <w:shd w:val="clear" w:color="auto" w:fill="auto"/>
            <w:vAlign w:val="center"/>
          </w:tcPr>
          <w:p w14:paraId="3A8ED69E" w14:textId="77777777" w:rsidR="00E70101" w:rsidRDefault="0060680B">
            <w:pPr>
              <w:widowControl/>
              <w:spacing w:line="240" w:lineRule="auto"/>
              <w:textAlignment w:val="auto"/>
              <w:rPr>
                <w:rFonts w:ascii="Arial" w:eastAsia="华文细黑" w:hAnsi="Arial" w:cs="Arial"/>
                <w:bCs/>
                <w:sz w:val="18"/>
              </w:rPr>
            </w:pPr>
            <w:r>
              <w:rPr>
                <w:rFonts w:ascii="华文细黑" w:eastAsia="华文细黑" w:hAnsi="华文细黑" w:cs="华文细黑"/>
                <w:bCs/>
                <w:sz w:val="18"/>
              </w:rPr>
              <w:t>——</w:t>
            </w:r>
          </w:p>
        </w:tc>
        <w:tc>
          <w:tcPr>
            <w:tcW w:w="807" w:type="dxa"/>
            <w:tcBorders>
              <w:top w:val="single" w:sz="2" w:space="0" w:color="404040"/>
              <w:left w:val="single" w:sz="2" w:space="0" w:color="404040"/>
              <w:bottom w:val="single" w:sz="2" w:space="0" w:color="404040"/>
            </w:tcBorders>
            <w:shd w:val="clear" w:color="auto" w:fill="auto"/>
            <w:vAlign w:val="center"/>
          </w:tcPr>
          <w:p w14:paraId="14CC458A"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3.45%</w:t>
            </w:r>
          </w:p>
        </w:tc>
        <w:tc>
          <w:tcPr>
            <w:tcW w:w="2652" w:type="dxa"/>
            <w:tcBorders>
              <w:top w:val="single" w:sz="2" w:space="0" w:color="404040"/>
              <w:left w:val="single" w:sz="2" w:space="0" w:color="404040"/>
              <w:bottom w:val="single" w:sz="2" w:space="0" w:color="404040"/>
              <w:right w:val="single" w:sz="2" w:space="0" w:color="404040"/>
            </w:tcBorders>
            <w:shd w:val="clear" w:color="auto" w:fill="auto"/>
            <w:vAlign w:val="center"/>
          </w:tcPr>
          <w:p w14:paraId="7B948650"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w:t>
            </w:r>
            <w:r>
              <w:rPr>
                <w:rFonts w:ascii="Arial" w:eastAsia="华文细黑" w:hAnsi="Arial" w:cs="Arial"/>
                <w:bCs/>
                <w:sz w:val="18"/>
              </w:rPr>
              <w:t>１＋３</w:t>
            </w:r>
            <w:r>
              <w:rPr>
                <w:rFonts w:ascii="Arial" w:eastAsia="华文细黑" w:hAnsi="Arial" w:cs="Arial"/>
                <w:bCs/>
                <w:sz w:val="18"/>
              </w:rPr>
              <w:t>)×</w:t>
            </w:r>
            <w:r>
              <w:rPr>
                <w:rFonts w:ascii="Arial" w:eastAsia="华文细黑" w:hAnsi="Arial" w:cs="Arial"/>
                <w:bCs/>
                <w:sz w:val="18"/>
              </w:rPr>
              <w:t>土地开发期</w:t>
            </w:r>
            <w:r>
              <w:rPr>
                <w:rFonts w:ascii="Arial" w:eastAsia="华文细黑" w:hAnsi="Arial" w:cs="Arial"/>
                <w:bCs/>
                <w:sz w:val="18"/>
              </w:rPr>
              <w:t>+</w:t>
            </w:r>
            <w:r>
              <w:rPr>
                <w:rFonts w:ascii="Arial" w:eastAsia="华文细黑" w:hAnsi="Arial" w:cs="Arial"/>
                <w:bCs/>
                <w:sz w:val="18"/>
              </w:rPr>
              <w:t>２</w:t>
            </w:r>
            <w:r>
              <w:rPr>
                <w:rFonts w:ascii="Arial" w:eastAsia="华文细黑" w:hAnsi="Arial" w:cs="Arial"/>
                <w:bCs/>
                <w:sz w:val="18"/>
              </w:rPr>
              <w:t>×(</w:t>
            </w:r>
            <w:r>
              <w:rPr>
                <w:rFonts w:ascii="Arial" w:eastAsia="华文细黑" w:hAnsi="Arial" w:cs="Arial"/>
                <w:bCs/>
                <w:sz w:val="18"/>
              </w:rPr>
              <w:t>土地开发期</w:t>
            </w:r>
            <w:r>
              <w:rPr>
                <w:rFonts w:ascii="Arial" w:eastAsia="华文细黑" w:hAnsi="Arial" w:cs="Arial"/>
                <w:bCs/>
                <w:sz w:val="18"/>
              </w:rPr>
              <w:t>÷</w:t>
            </w:r>
            <w:r>
              <w:rPr>
                <w:rFonts w:ascii="Arial" w:eastAsia="华文细黑" w:hAnsi="Arial" w:cs="Arial"/>
                <w:bCs/>
                <w:sz w:val="18"/>
              </w:rPr>
              <w:t>２</w:t>
            </w:r>
            <w:r>
              <w:rPr>
                <w:rFonts w:ascii="Arial" w:eastAsia="华文细黑" w:hAnsi="Arial" w:cs="Arial"/>
                <w:bCs/>
                <w:sz w:val="18"/>
              </w:rPr>
              <w:t>))×</w:t>
            </w:r>
            <w:r>
              <w:rPr>
                <w:rFonts w:ascii="Arial" w:eastAsia="华文细黑" w:hAnsi="Arial" w:cs="Arial"/>
                <w:bCs/>
                <w:sz w:val="18"/>
              </w:rPr>
              <w:t>利率</w:t>
            </w:r>
          </w:p>
        </w:tc>
      </w:tr>
      <w:tr w:rsidR="00E70101" w14:paraId="6939A8E0" w14:textId="77777777">
        <w:trPr>
          <w:cantSplit/>
          <w:jc w:val="center"/>
        </w:trPr>
        <w:tc>
          <w:tcPr>
            <w:tcW w:w="792" w:type="dxa"/>
            <w:tcBorders>
              <w:top w:val="single" w:sz="2" w:space="0" w:color="404040"/>
              <w:left w:val="single" w:sz="2" w:space="0" w:color="404040"/>
              <w:bottom w:val="single" w:sz="2" w:space="0" w:color="404040"/>
            </w:tcBorders>
            <w:shd w:val="clear" w:color="auto" w:fill="auto"/>
            <w:vAlign w:val="center"/>
          </w:tcPr>
          <w:p w14:paraId="4EBA7EAD"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5</w:t>
            </w:r>
          </w:p>
        </w:tc>
        <w:tc>
          <w:tcPr>
            <w:tcW w:w="2221" w:type="dxa"/>
            <w:tcBorders>
              <w:top w:val="single" w:sz="2" w:space="0" w:color="404040"/>
              <w:left w:val="single" w:sz="2" w:space="0" w:color="404040"/>
              <w:bottom w:val="single" w:sz="2" w:space="0" w:color="404040"/>
            </w:tcBorders>
            <w:shd w:val="clear" w:color="auto" w:fill="auto"/>
            <w:vAlign w:val="center"/>
          </w:tcPr>
          <w:p w14:paraId="639A9DD8"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利润</w:t>
            </w:r>
          </w:p>
        </w:tc>
        <w:tc>
          <w:tcPr>
            <w:tcW w:w="944" w:type="dxa"/>
            <w:tcBorders>
              <w:top w:val="single" w:sz="2" w:space="0" w:color="404040"/>
              <w:left w:val="single" w:sz="2" w:space="0" w:color="404040"/>
              <w:bottom w:val="single" w:sz="2" w:space="0" w:color="404040"/>
            </w:tcBorders>
            <w:shd w:val="clear" w:color="auto" w:fill="auto"/>
            <w:vAlign w:val="center"/>
          </w:tcPr>
          <w:p w14:paraId="3DA64FFF"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14628</w:t>
            </w:r>
          </w:p>
        </w:tc>
        <w:tc>
          <w:tcPr>
            <w:tcW w:w="944" w:type="dxa"/>
            <w:tcBorders>
              <w:top w:val="single" w:sz="2" w:space="0" w:color="404040"/>
              <w:left w:val="single" w:sz="2" w:space="0" w:color="404040"/>
              <w:bottom w:val="single" w:sz="2" w:space="0" w:color="404040"/>
            </w:tcBorders>
            <w:shd w:val="clear" w:color="auto" w:fill="auto"/>
            <w:vAlign w:val="center"/>
          </w:tcPr>
          <w:p w14:paraId="3057AC06" w14:textId="77777777" w:rsidR="00E70101" w:rsidRDefault="0060680B">
            <w:pPr>
              <w:widowControl/>
              <w:spacing w:line="240" w:lineRule="auto"/>
              <w:textAlignment w:val="auto"/>
              <w:rPr>
                <w:rFonts w:ascii="Arial" w:eastAsia="华文细黑" w:hAnsi="Arial" w:cs="Arial"/>
                <w:bCs/>
                <w:sz w:val="18"/>
              </w:rPr>
            </w:pPr>
            <w:r>
              <w:rPr>
                <w:rFonts w:ascii="华文细黑" w:eastAsia="华文细黑" w:hAnsi="华文细黑" w:cs="华文细黑"/>
                <w:bCs/>
                <w:sz w:val="18"/>
              </w:rPr>
              <w:t>——</w:t>
            </w:r>
          </w:p>
        </w:tc>
        <w:tc>
          <w:tcPr>
            <w:tcW w:w="944" w:type="dxa"/>
            <w:tcBorders>
              <w:top w:val="single" w:sz="2" w:space="0" w:color="404040"/>
              <w:left w:val="single" w:sz="2" w:space="0" w:color="404040"/>
              <w:bottom w:val="single" w:sz="2" w:space="0" w:color="404040"/>
            </w:tcBorders>
            <w:shd w:val="clear" w:color="auto" w:fill="auto"/>
            <w:vAlign w:val="center"/>
          </w:tcPr>
          <w:p w14:paraId="2E6F3979" w14:textId="77777777" w:rsidR="00E70101" w:rsidRDefault="0060680B">
            <w:pPr>
              <w:widowControl/>
              <w:spacing w:line="240" w:lineRule="auto"/>
              <w:textAlignment w:val="auto"/>
              <w:rPr>
                <w:rFonts w:ascii="Arial" w:eastAsia="华文细黑" w:hAnsi="Arial" w:cs="Arial"/>
                <w:bCs/>
                <w:sz w:val="18"/>
              </w:rPr>
            </w:pPr>
            <w:r>
              <w:rPr>
                <w:rFonts w:ascii="华文细黑" w:eastAsia="华文细黑" w:hAnsi="华文细黑" w:cs="华文细黑"/>
                <w:bCs/>
                <w:sz w:val="18"/>
              </w:rPr>
              <w:t>——</w:t>
            </w:r>
          </w:p>
        </w:tc>
        <w:tc>
          <w:tcPr>
            <w:tcW w:w="807" w:type="dxa"/>
            <w:tcBorders>
              <w:top w:val="single" w:sz="2" w:space="0" w:color="404040"/>
              <w:left w:val="single" w:sz="2" w:space="0" w:color="404040"/>
              <w:bottom w:val="single" w:sz="2" w:space="0" w:color="404040"/>
            </w:tcBorders>
            <w:shd w:val="clear" w:color="auto" w:fill="auto"/>
            <w:vAlign w:val="center"/>
          </w:tcPr>
          <w:p w14:paraId="7BFCA1E2"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15%</w:t>
            </w:r>
          </w:p>
        </w:tc>
        <w:tc>
          <w:tcPr>
            <w:tcW w:w="2652" w:type="dxa"/>
            <w:tcBorders>
              <w:top w:val="single" w:sz="2" w:space="0" w:color="404040"/>
              <w:left w:val="single" w:sz="2" w:space="0" w:color="404040"/>
              <w:bottom w:val="single" w:sz="2" w:space="0" w:color="404040"/>
              <w:right w:val="single" w:sz="2" w:space="0" w:color="404040"/>
            </w:tcBorders>
            <w:shd w:val="clear" w:color="auto" w:fill="auto"/>
            <w:vAlign w:val="center"/>
          </w:tcPr>
          <w:p w14:paraId="25DB4D85"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（１＋２＋３）</w:t>
            </w:r>
            <w:r>
              <w:rPr>
                <w:rFonts w:ascii="Arial" w:eastAsia="华文细黑" w:hAnsi="Arial" w:cs="Arial"/>
                <w:bCs/>
                <w:sz w:val="18"/>
              </w:rPr>
              <w:t>×</w:t>
            </w:r>
            <w:r>
              <w:rPr>
                <w:rFonts w:ascii="Arial" w:eastAsia="华文细黑" w:hAnsi="Arial" w:cs="Arial"/>
                <w:bCs/>
                <w:sz w:val="18"/>
              </w:rPr>
              <w:t>利润率</w:t>
            </w:r>
          </w:p>
        </w:tc>
      </w:tr>
      <w:tr w:rsidR="00E70101" w14:paraId="7FAC338B" w14:textId="77777777">
        <w:trPr>
          <w:cantSplit/>
          <w:jc w:val="center"/>
        </w:trPr>
        <w:tc>
          <w:tcPr>
            <w:tcW w:w="792" w:type="dxa"/>
            <w:tcBorders>
              <w:top w:val="single" w:sz="2" w:space="0" w:color="404040"/>
              <w:left w:val="single" w:sz="2" w:space="0" w:color="404040"/>
              <w:bottom w:val="single" w:sz="2" w:space="0" w:color="404040"/>
            </w:tcBorders>
            <w:shd w:val="clear" w:color="auto" w:fill="auto"/>
            <w:vAlign w:val="center"/>
          </w:tcPr>
          <w:p w14:paraId="6410971A"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6</w:t>
            </w:r>
          </w:p>
        </w:tc>
        <w:tc>
          <w:tcPr>
            <w:tcW w:w="2221" w:type="dxa"/>
            <w:tcBorders>
              <w:top w:val="single" w:sz="2" w:space="0" w:color="404040"/>
              <w:left w:val="single" w:sz="2" w:space="0" w:color="404040"/>
              <w:bottom w:val="single" w:sz="2" w:space="0" w:color="404040"/>
            </w:tcBorders>
            <w:shd w:val="clear" w:color="auto" w:fill="auto"/>
            <w:vAlign w:val="center"/>
          </w:tcPr>
          <w:p w14:paraId="6B81B8B4"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土地成本价格</w:t>
            </w:r>
          </w:p>
        </w:tc>
        <w:tc>
          <w:tcPr>
            <w:tcW w:w="944" w:type="dxa"/>
            <w:tcBorders>
              <w:top w:val="single" w:sz="2" w:space="0" w:color="404040"/>
              <w:left w:val="single" w:sz="2" w:space="0" w:color="404040"/>
              <w:bottom w:val="single" w:sz="2" w:space="0" w:color="404040"/>
            </w:tcBorders>
            <w:shd w:val="clear" w:color="auto" w:fill="auto"/>
            <w:vAlign w:val="center"/>
          </w:tcPr>
          <w:p w14:paraId="6A97BFAF"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115395</w:t>
            </w:r>
          </w:p>
        </w:tc>
        <w:tc>
          <w:tcPr>
            <w:tcW w:w="944" w:type="dxa"/>
            <w:tcBorders>
              <w:top w:val="single" w:sz="2" w:space="0" w:color="404040"/>
              <w:left w:val="single" w:sz="2" w:space="0" w:color="404040"/>
              <w:bottom w:val="single" w:sz="2" w:space="0" w:color="404040"/>
            </w:tcBorders>
            <w:shd w:val="clear" w:color="auto" w:fill="auto"/>
            <w:vAlign w:val="center"/>
          </w:tcPr>
          <w:p w14:paraId="5AA184CC" w14:textId="77777777" w:rsidR="00E70101" w:rsidRDefault="0060680B">
            <w:pPr>
              <w:spacing w:line="240" w:lineRule="auto"/>
              <w:rPr>
                <w:rFonts w:ascii="华文细黑" w:eastAsia="华文细黑" w:hAnsi="华文细黑" w:cs="华文细黑"/>
                <w:bCs/>
                <w:sz w:val="18"/>
              </w:rPr>
            </w:pPr>
            <w:r>
              <w:rPr>
                <w:rFonts w:ascii="华文细黑" w:eastAsia="华文细黑" w:hAnsi="华文细黑" w:cs="华文细黑"/>
                <w:bCs/>
                <w:sz w:val="18"/>
              </w:rPr>
              <w:t>——</w:t>
            </w:r>
          </w:p>
        </w:tc>
        <w:tc>
          <w:tcPr>
            <w:tcW w:w="944" w:type="dxa"/>
            <w:tcBorders>
              <w:top w:val="single" w:sz="2" w:space="0" w:color="404040"/>
              <w:left w:val="single" w:sz="2" w:space="0" w:color="404040"/>
              <w:bottom w:val="single" w:sz="2" w:space="0" w:color="404040"/>
            </w:tcBorders>
            <w:shd w:val="clear" w:color="auto" w:fill="auto"/>
            <w:vAlign w:val="center"/>
          </w:tcPr>
          <w:p w14:paraId="0170795A" w14:textId="77777777" w:rsidR="00E70101" w:rsidRDefault="0060680B">
            <w:pPr>
              <w:spacing w:line="240" w:lineRule="auto"/>
              <w:rPr>
                <w:rFonts w:ascii="华文细黑" w:eastAsia="华文细黑" w:hAnsi="华文细黑" w:cs="华文细黑"/>
                <w:bCs/>
                <w:sz w:val="18"/>
              </w:rPr>
            </w:pPr>
            <w:r>
              <w:rPr>
                <w:rFonts w:ascii="华文细黑" w:eastAsia="华文细黑" w:hAnsi="华文细黑" w:cs="华文细黑"/>
                <w:bCs/>
                <w:sz w:val="18"/>
              </w:rPr>
              <w:t>——</w:t>
            </w:r>
          </w:p>
        </w:tc>
        <w:tc>
          <w:tcPr>
            <w:tcW w:w="807" w:type="dxa"/>
            <w:tcBorders>
              <w:top w:val="single" w:sz="2" w:space="0" w:color="404040"/>
              <w:left w:val="single" w:sz="2" w:space="0" w:color="404040"/>
              <w:bottom w:val="single" w:sz="2" w:space="0" w:color="404040"/>
            </w:tcBorders>
            <w:shd w:val="clear" w:color="auto" w:fill="auto"/>
            <w:vAlign w:val="center"/>
          </w:tcPr>
          <w:p w14:paraId="52EC331B" w14:textId="77777777" w:rsidR="00E70101" w:rsidRDefault="0060680B">
            <w:pPr>
              <w:spacing w:line="240" w:lineRule="auto"/>
              <w:rPr>
                <w:rFonts w:ascii="华文细黑" w:eastAsia="华文细黑" w:hAnsi="华文细黑" w:cs="华文细黑"/>
                <w:bCs/>
                <w:sz w:val="18"/>
              </w:rPr>
            </w:pPr>
            <w:r>
              <w:rPr>
                <w:rFonts w:ascii="华文细黑" w:eastAsia="华文细黑" w:hAnsi="华文细黑" w:cs="华文细黑"/>
                <w:bCs/>
                <w:sz w:val="18"/>
              </w:rPr>
              <w:t>——</w:t>
            </w:r>
          </w:p>
        </w:tc>
        <w:tc>
          <w:tcPr>
            <w:tcW w:w="2652" w:type="dxa"/>
            <w:tcBorders>
              <w:top w:val="single" w:sz="2" w:space="0" w:color="404040"/>
              <w:left w:val="single" w:sz="2" w:space="0" w:color="404040"/>
              <w:bottom w:val="single" w:sz="2" w:space="0" w:color="404040"/>
              <w:right w:val="single" w:sz="2" w:space="0" w:color="404040"/>
            </w:tcBorders>
            <w:shd w:val="clear" w:color="auto" w:fill="auto"/>
            <w:vAlign w:val="center"/>
          </w:tcPr>
          <w:p w14:paraId="4A71829A"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1-</w:t>
            </w:r>
            <w:r>
              <w:rPr>
                <w:rFonts w:ascii="Arial" w:eastAsia="华文细黑" w:hAnsi="Arial" w:cs="Arial"/>
                <w:bCs/>
                <w:sz w:val="18"/>
              </w:rPr>
              <w:t>５项之和</w:t>
            </w:r>
          </w:p>
        </w:tc>
      </w:tr>
      <w:tr w:rsidR="00E70101" w14:paraId="12D2F01F" w14:textId="77777777">
        <w:trPr>
          <w:cantSplit/>
          <w:jc w:val="center"/>
        </w:trPr>
        <w:tc>
          <w:tcPr>
            <w:tcW w:w="792" w:type="dxa"/>
            <w:tcBorders>
              <w:top w:val="single" w:sz="2" w:space="0" w:color="404040"/>
              <w:left w:val="single" w:sz="2" w:space="0" w:color="404040"/>
              <w:bottom w:val="single" w:sz="2" w:space="0" w:color="404040"/>
            </w:tcBorders>
            <w:shd w:val="clear" w:color="auto" w:fill="auto"/>
            <w:vAlign w:val="center"/>
          </w:tcPr>
          <w:p w14:paraId="0C426764"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7</w:t>
            </w:r>
          </w:p>
        </w:tc>
        <w:tc>
          <w:tcPr>
            <w:tcW w:w="2221" w:type="dxa"/>
            <w:tcBorders>
              <w:top w:val="single" w:sz="2" w:space="0" w:color="404040"/>
              <w:left w:val="single" w:sz="2" w:space="0" w:color="404040"/>
              <w:bottom w:val="single" w:sz="2" w:space="0" w:color="404040"/>
            </w:tcBorders>
            <w:shd w:val="clear" w:color="auto" w:fill="auto"/>
            <w:vAlign w:val="center"/>
          </w:tcPr>
          <w:p w14:paraId="6A851F99"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土地增值</w:t>
            </w:r>
          </w:p>
        </w:tc>
        <w:tc>
          <w:tcPr>
            <w:tcW w:w="944" w:type="dxa"/>
            <w:tcBorders>
              <w:top w:val="single" w:sz="2" w:space="0" w:color="404040"/>
              <w:left w:val="single" w:sz="2" w:space="0" w:color="404040"/>
              <w:bottom w:val="single" w:sz="2" w:space="0" w:color="404040"/>
            </w:tcBorders>
            <w:shd w:val="clear" w:color="auto" w:fill="auto"/>
            <w:vAlign w:val="center"/>
          </w:tcPr>
          <w:p w14:paraId="101A1A3C" w14:textId="77777777" w:rsidR="00E70101" w:rsidRDefault="0060680B">
            <w:pPr>
              <w:spacing w:line="240" w:lineRule="auto"/>
              <w:rPr>
                <w:rFonts w:ascii="华文细黑" w:eastAsia="华文细黑" w:hAnsi="华文细黑" w:cs="华文细黑"/>
                <w:bCs/>
                <w:sz w:val="18"/>
              </w:rPr>
            </w:pPr>
            <w:r>
              <w:rPr>
                <w:rFonts w:ascii="华文细黑" w:eastAsia="华文细黑" w:hAnsi="华文细黑" w:cs="华文细黑"/>
                <w:bCs/>
                <w:sz w:val="18"/>
              </w:rPr>
              <w:t>——</w:t>
            </w:r>
          </w:p>
        </w:tc>
        <w:tc>
          <w:tcPr>
            <w:tcW w:w="944" w:type="dxa"/>
            <w:tcBorders>
              <w:top w:val="single" w:sz="2" w:space="0" w:color="404040"/>
              <w:left w:val="single" w:sz="2" w:space="0" w:color="404040"/>
              <w:bottom w:val="single" w:sz="2" w:space="0" w:color="404040"/>
            </w:tcBorders>
            <w:shd w:val="clear" w:color="auto" w:fill="auto"/>
            <w:vAlign w:val="center"/>
          </w:tcPr>
          <w:p w14:paraId="546D279E" w14:textId="77777777" w:rsidR="00E70101" w:rsidRDefault="0060680B">
            <w:pPr>
              <w:spacing w:line="240" w:lineRule="auto"/>
              <w:rPr>
                <w:rFonts w:ascii="华文细黑" w:eastAsia="华文细黑" w:hAnsi="华文细黑" w:cs="华文细黑"/>
                <w:bCs/>
                <w:sz w:val="18"/>
              </w:rPr>
            </w:pPr>
            <w:r>
              <w:rPr>
                <w:rFonts w:ascii="华文细黑" w:eastAsia="华文细黑" w:hAnsi="华文细黑" w:cs="华文细黑"/>
                <w:bCs/>
                <w:sz w:val="18"/>
              </w:rPr>
              <w:t>——</w:t>
            </w:r>
          </w:p>
        </w:tc>
        <w:tc>
          <w:tcPr>
            <w:tcW w:w="944" w:type="dxa"/>
            <w:tcBorders>
              <w:top w:val="single" w:sz="2" w:space="0" w:color="404040"/>
              <w:left w:val="single" w:sz="2" w:space="0" w:color="404040"/>
              <w:bottom w:val="single" w:sz="2" w:space="0" w:color="404040"/>
            </w:tcBorders>
            <w:shd w:val="clear" w:color="auto" w:fill="auto"/>
            <w:vAlign w:val="center"/>
          </w:tcPr>
          <w:p w14:paraId="7A95BE99" w14:textId="77777777" w:rsidR="00E70101" w:rsidRDefault="0060680B">
            <w:pPr>
              <w:spacing w:line="240" w:lineRule="auto"/>
              <w:rPr>
                <w:rFonts w:ascii="华文细黑" w:eastAsia="华文细黑" w:hAnsi="华文细黑" w:cs="华文细黑"/>
                <w:bCs/>
                <w:sz w:val="18"/>
              </w:rPr>
            </w:pPr>
            <w:r>
              <w:rPr>
                <w:rFonts w:ascii="华文细黑" w:eastAsia="华文细黑" w:hAnsi="华文细黑" w:cs="华文细黑"/>
                <w:bCs/>
                <w:sz w:val="18"/>
              </w:rPr>
              <w:t>——</w:t>
            </w:r>
          </w:p>
        </w:tc>
        <w:tc>
          <w:tcPr>
            <w:tcW w:w="807" w:type="dxa"/>
            <w:tcBorders>
              <w:top w:val="single" w:sz="2" w:space="0" w:color="404040"/>
              <w:left w:val="single" w:sz="2" w:space="0" w:color="404040"/>
              <w:bottom w:val="single" w:sz="2" w:space="0" w:color="404040"/>
            </w:tcBorders>
            <w:shd w:val="clear" w:color="auto" w:fill="auto"/>
            <w:vAlign w:val="center"/>
          </w:tcPr>
          <w:p w14:paraId="5DBDEA7E"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0%</w:t>
            </w:r>
          </w:p>
        </w:tc>
        <w:tc>
          <w:tcPr>
            <w:tcW w:w="2652" w:type="dxa"/>
            <w:tcBorders>
              <w:top w:val="single" w:sz="2" w:space="0" w:color="404040"/>
              <w:left w:val="single" w:sz="2" w:space="0" w:color="404040"/>
              <w:bottom w:val="single" w:sz="2" w:space="0" w:color="404040"/>
              <w:right w:val="single" w:sz="2" w:space="0" w:color="404040"/>
            </w:tcBorders>
            <w:shd w:val="clear" w:color="auto" w:fill="auto"/>
            <w:vAlign w:val="center"/>
          </w:tcPr>
          <w:p w14:paraId="59D9C7CD"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６</w:t>
            </w:r>
            <w:r>
              <w:rPr>
                <w:rFonts w:ascii="Arial" w:eastAsia="华文细黑" w:hAnsi="Arial" w:cs="Arial"/>
                <w:bCs/>
                <w:sz w:val="18"/>
              </w:rPr>
              <w:t>×</w:t>
            </w:r>
            <w:r>
              <w:rPr>
                <w:rFonts w:ascii="Arial" w:eastAsia="华文细黑" w:hAnsi="Arial" w:cs="Arial"/>
                <w:bCs/>
                <w:sz w:val="18"/>
              </w:rPr>
              <w:t>增值率；参考政府土地出让收益计取</w:t>
            </w:r>
          </w:p>
        </w:tc>
      </w:tr>
      <w:tr w:rsidR="00E70101" w14:paraId="3348C2FE" w14:textId="77777777">
        <w:trPr>
          <w:cantSplit/>
          <w:jc w:val="center"/>
        </w:trPr>
        <w:tc>
          <w:tcPr>
            <w:tcW w:w="792" w:type="dxa"/>
            <w:tcBorders>
              <w:top w:val="single" w:sz="2" w:space="0" w:color="404040"/>
              <w:left w:val="single" w:sz="2" w:space="0" w:color="404040"/>
              <w:bottom w:val="single" w:sz="2" w:space="0" w:color="404040"/>
            </w:tcBorders>
            <w:shd w:val="clear" w:color="auto" w:fill="auto"/>
            <w:vAlign w:val="center"/>
          </w:tcPr>
          <w:p w14:paraId="41529746"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8</w:t>
            </w:r>
          </w:p>
        </w:tc>
        <w:tc>
          <w:tcPr>
            <w:tcW w:w="2221" w:type="dxa"/>
            <w:tcBorders>
              <w:top w:val="single" w:sz="2" w:space="0" w:color="404040"/>
              <w:left w:val="single" w:sz="2" w:space="0" w:color="404040"/>
              <w:bottom w:val="single" w:sz="2" w:space="0" w:color="404040"/>
            </w:tcBorders>
            <w:shd w:val="clear" w:color="auto" w:fill="auto"/>
            <w:vAlign w:val="center"/>
          </w:tcPr>
          <w:p w14:paraId="1882333F"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无限年期土地价格</w:t>
            </w:r>
          </w:p>
        </w:tc>
        <w:tc>
          <w:tcPr>
            <w:tcW w:w="944" w:type="dxa"/>
            <w:tcBorders>
              <w:top w:val="single" w:sz="2" w:space="0" w:color="404040"/>
              <w:left w:val="single" w:sz="2" w:space="0" w:color="404040"/>
              <w:bottom w:val="single" w:sz="2" w:space="0" w:color="404040"/>
            </w:tcBorders>
            <w:shd w:val="clear" w:color="auto" w:fill="auto"/>
            <w:vAlign w:val="center"/>
          </w:tcPr>
          <w:p w14:paraId="55F4B10E" w14:textId="77777777" w:rsidR="00E70101" w:rsidRDefault="0060680B">
            <w:pPr>
              <w:spacing w:line="240" w:lineRule="auto"/>
              <w:rPr>
                <w:rFonts w:ascii="Arial" w:eastAsia="华文细黑" w:hAnsi="Arial" w:cs="Arial"/>
                <w:bCs/>
                <w:sz w:val="18"/>
              </w:rPr>
            </w:pPr>
            <w:r>
              <w:rPr>
                <w:rFonts w:ascii="Arial" w:eastAsia="华文细黑" w:hAnsi="Arial" w:cs="Arial"/>
                <w:bCs/>
                <w:sz w:val="18"/>
              </w:rPr>
              <w:t>115395</w:t>
            </w:r>
          </w:p>
        </w:tc>
        <w:tc>
          <w:tcPr>
            <w:tcW w:w="944" w:type="dxa"/>
            <w:tcBorders>
              <w:top w:val="single" w:sz="2" w:space="0" w:color="404040"/>
              <w:left w:val="single" w:sz="2" w:space="0" w:color="404040"/>
              <w:bottom w:val="single" w:sz="2" w:space="0" w:color="404040"/>
            </w:tcBorders>
            <w:shd w:val="clear" w:color="auto" w:fill="auto"/>
            <w:vAlign w:val="center"/>
          </w:tcPr>
          <w:p w14:paraId="273956A1" w14:textId="77777777" w:rsidR="00E70101" w:rsidRDefault="0060680B">
            <w:pPr>
              <w:spacing w:line="240" w:lineRule="auto"/>
              <w:rPr>
                <w:rFonts w:ascii="华文细黑" w:eastAsia="华文细黑" w:hAnsi="华文细黑" w:cs="华文细黑"/>
                <w:bCs/>
                <w:sz w:val="18"/>
              </w:rPr>
            </w:pPr>
            <w:r>
              <w:rPr>
                <w:rFonts w:ascii="华文细黑" w:eastAsia="华文细黑" w:hAnsi="华文细黑" w:cs="华文细黑"/>
                <w:bCs/>
                <w:sz w:val="18"/>
              </w:rPr>
              <w:t>——</w:t>
            </w:r>
          </w:p>
        </w:tc>
        <w:tc>
          <w:tcPr>
            <w:tcW w:w="944" w:type="dxa"/>
            <w:tcBorders>
              <w:top w:val="single" w:sz="2" w:space="0" w:color="404040"/>
              <w:left w:val="single" w:sz="2" w:space="0" w:color="404040"/>
              <w:bottom w:val="single" w:sz="2" w:space="0" w:color="404040"/>
            </w:tcBorders>
            <w:shd w:val="clear" w:color="auto" w:fill="auto"/>
            <w:vAlign w:val="center"/>
          </w:tcPr>
          <w:p w14:paraId="5DBD3195" w14:textId="77777777" w:rsidR="00E70101" w:rsidRDefault="0060680B">
            <w:pPr>
              <w:spacing w:line="240" w:lineRule="auto"/>
              <w:rPr>
                <w:rFonts w:ascii="华文细黑" w:eastAsia="华文细黑" w:hAnsi="华文细黑" w:cs="华文细黑"/>
                <w:bCs/>
                <w:sz w:val="18"/>
              </w:rPr>
            </w:pPr>
            <w:r>
              <w:rPr>
                <w:rFonts w:ascii="华文细黑" w:eastAsia="华文细黑" w:hAnsi="华文细黑" w:cs="华文细黑"/>
                <w:bCs/>
                <w:sz w:val="18"/>
              </w:rPr>
              <w:t>——</w:t>
            </w:r>
          </w:p>
        </w:tc>
        <w:tc>
          <w:tcPr>
            <w:tcW w:w="807" w:type="dxa"/>
            <w:tcBorders>
              <w:top w:val="single" w:sz="2" w:space="0" w:color="404040"/>
              <w:left w:val="single" w:sz="2" w:space="0" w:color="404040"/>
              <w:bottom w:val="single" w:sz="2" w:space="0" w:color="404040"/>
            </w:tcBorders>
            <w:shd w:val="clear" w:color="auto" w:fill="auto"/>
            <w:vAlign w:val="center"/>
          </w:tcPr>
          <w:p w14:paraId="3E240BD4" w14:textId="77777777" w:rsidR="00E70101" w:rsidRDefault="0060680B">
            <w:pPr>
              <w:spacing w:line="240" w:lineRule="auto"/>
              <w:rPr>
                <w:rFonts w:ascii="华文细黑" w:eastAsia="华文细黑" w:hAnsi="华文细黑" w:cs="华文细黑"/>
                <w:bCs/>
                <w:sz w:val="18"/>
              </w:rPr>
            </w:pPr>
            <w:r>
              <w:rPr>
                <w:rFonts w:ascii="华文细黑" w:eastAsia="华文细黑" w:hAnsi="华文细黑" w:cs="华文细黑"/>
                <w:bCs/>
                <w:sz w:val="18"/>
              </w:rPr>
              <w:t>——</w:t>
            </w:r>
          </w:p>
        </w:tc>
        <w:tc>
          <w:tcPr>
            <w:tcW w:w="2652" w:type="dxa"/>
            <w:tcBorders>
              <w:top w:val="single" w:sz="2" w:space="0" w:color="404040"/>
              <w:left w:val="single" w:sz="2" w:space="0" w:color="404040"/>
              <w:bottom w:val="single" w:sz="2" w:space="0" w:color="404040"/>
              <w:right w:val="single" w:sz="2" w:space="0" w:color="404040"/>
            </w:tcBorders>
            <w:shd w:val="clear" w:color="auto" w:fill="auto"/>
            <w:vAlign w:val="center"/>
          </w:tcPr>
          <w:p w14:paraId="07E690AC"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６＋７</w:t>
            </w:r>
          </w:p>
        </w:tc>
      </w:tr>
      <w:tr w:rsidR="00E70101" w14:paraId="46987D58" w14:textId="77777777">
        <w:trPr>
          <w:cantSplit/>
          <w:jc w:val="center"/>
        </w:trPr>
        <w:tc>
          <w:tcPr>
            <w:tcW w:w="792" w:type="dxa"/>
            <w:tcBorders>
              <w:top w:val="single" w:sz="2" w:space="0" w:color="404040"/>
              <w:left w:val="single" w:sz="2" w:space="0" w:color="404040"/>
              <w:bottom w:val="single" w:sz="2" w:space="0" w:color="404040"/>
            </w:tcBorders>
            <w:shd w:val="clear" w:color="auto" w:fill="auto"/>
            <w:vAlign w:val="center"/>
          </w:tcPr>
          <w:p w14:paraId="096D6012"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9</w:t>
            </w:r>
          </w:p>
        </w:tc>
        <w:tc>
          <w:tcPr>
            <w:tcW w:w="2221" w:type="dxa"/>
            <w:tcBorders>
              <w:top w:val="single" w:sz="2" w:space="0" w:color="404040"/>
              <w:left w:val="single" w:sz="2" w:space="0" w:color="404040"/>
              <w:bottom w:val="single" w:sz="2" w:space="0" w:color="404040"/>
            </w:tcBorders>
            <w:shd w:val="clear" w:color="auto" w:fill="auto"/>
            <w:vAlign w:val="center"/>
          </w:tcPr>
          <w:p w14:paraId="440B4531"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土地价格</w:t>
            </w:r>
          </w:p>
        </w:tc>
        <w:tc>
          <w:tcPr>
            <w:tcW w:w="944" w:type="dxa"/>
            <w:tcBorders>
              <w:top w:val="single" w:sz="2" w:space="0" w:color="404040"/>
              <w:left w:val="single" w:sz="2" w:space="0" w:color="404040"/>
              <w:bottom w:val="single" w:sz="2" w:space="0" w:color="404040"/>
            </w:tcBorders>
            <w:shd w:val="clear" w:color="auto" w:fill="auto"/>
            <w:vAlign w:val="center"/>
          </w:tcPr>
          <w:p w14:paraId="7F6A3A8B" w14:textId="77777777" w:rsidR="00E70101" w:rsidRDefault="0060680B">
            <w:pPr>
              <w:spacing w:line="240" w:lineRule="auto"/>
              <w:rPr>
                <w:rFonts w:ascii="Arial" w:eastAsia="华文细黑" w:hAnsi="Arial" w:cs="Arial"/>
                <w:bCs/>
                <w:sz w:val="18"/>
              </w:rPr>
            </w:pPr>
            <w:r>
              <w:rPr>
                <w:rFonts w:ascii="Arial" w:eastAsia="华文细黑" w:hAnsi="Arial" w:cs="Arial"/>
                <w:bCs/>
                <w:sz w:val="18"/>
              </w:rPr>
              <w:t>115395</w:t>
            </w:r>
          </w:p>
        </w:tc>
        <w:tc>
          <w:tcPr>
            <w:tcW w:w="944" w:type="dxa"/>
            <w:tcBorders>
              <w:top w:val="single" w:sz="2" w:space="0" w:color="404040"/>
              <w:left w:val="single" w:sz="2" w:space="0" w:color="404040"/>
              <w:bottom w:val="single" w:sz="2" w:space="0" w:color="404040"/>
            </w:tcBorders>
            <w:shd w:val="clear" w:color="auto" w:fill="auto"/>
            <w:vAlign w:val="center"/>
          </w:tcPr>
          <w:p w14:paraId="2954ED38"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370379.14</w:t>
            </w:r>
          </w:p>
        </w:tc>
        <w:tc>
          <w:tcPr>
            <w:tcW w:w="944" w:type="dxa"/>
            <w:tcBorders>
              <w:top w:val="single" w:sz="2" w:space="0" w:color="404040"/>
              <w:left w:val="single" w:sz="2" w:space="0" w:color="404040"/>
              <w:bottom w:val="single" w:sz="2" w:space="0" w:color="404040"/>
            </w:tcBorders>
            <w:shd w:val="clear" w:color="auto" w:fill="auto"/>
            <w:vAlign w:val="center"/>
          </w:tcPr>
          <w:p w14:paraId="3A1D4799"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3116</w:t>
            </w:r>
          </w:p>
        </w:tc>
        <w:tc>
          <w:tcPr>
            <w:tcW w:w="807" w:type="dxa"/>
            <w:tcBorders>
              <w:top w:val="single" w:sz="2" w:space="0" w:color="404040"/>
              <w:left w:val="single" w:sz="2" w:space="0" w:color="404040"/>
              <w:bottom w:val="single" w:sz="2" w:space="0" w:color="404040"/>
            </w:tcBorders>
            <w:shd w:val="clear" w:color="auto" w:fill="auto"/>
            <w:vAlign w:val="center"/>
          </w:tcPr>
          <w:p w14:paraId="105092A6" w14:textId="77777777" w:rsidR="00E70101" w:rsidRDefault="0060680B">
            <w:pPr>
              <w:widowControl/>
              <w:spacing w:line="240" w:lineRule="auto"/>
              <w:textAlignment w:val="auto"/>
              <w:rPr>
                <w:rFonts w:ascii="华文细黑" w:eastAsia="华文细黑" w:hAnsi="华文细黑" w:cs="华文细黑"/>
                <w:bCs/>
                <w:sz w:val="18"/>
              </w:rPr>
            </w:pPr>
            <w:r>
              <w:rPr>
                <w:rFonts w:ascii="华文细黑" w:eastAsia="华文细黑" w:hAnsi="华文细黑" w:cs="华文细黑"/>
                <w:bCs/>
                <w:sz w:val="18"/>
              </w:rPr>
              <w:t>——</w:t>
            </w:r>
          </w:p>
        </w:tc>
        <w:tc>
          <w:tcPr>
            <w:tcW w:w="2652" w:type="dxa"/>
            <w:tcBorders>
              <w:top w:val="single" w:sz="2" w:space="0" w:color="404040"/>
              <w:left w:val="single" w:sz="2" w:space="0" w:color="404040"/>
              <w:bottom w:val="single" w:sz="2" w:space="0" w:color="404040"/>
              <w:right w:val="single" w:sz="2" w:space="0" w:color="404040"/>
            </w:tcBorders>
            <w:shd w:val="clear" w:color="auto" w:fill="auto"/>
            <w:vAlign w:val="center"/>
          </w:tcPr>
          <w:p w14:paraId="7E16AA84"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 xml:space="preserve">　</w:t>
            </w:r>
          </w:p>
        </w:tc>
      </w:tr>
    </w:tbl>
    <w:p w14:paraId="630D6851" w14:textId="77777777" w:rsidR="00E70101" w:rsidRDefault="00E70101">
      <w:pPr>
        <w:spacing w:line="360" w:lineRule="auto"/>
        <w:ind w:firstLine="563"/>
        <w:rPr>
          <w:rFonts w:ascii="Arial" w:eastAsia="仿宋_GB2312;仿宋" w:hAnsi="Arial" w:cs="Arial"/>
          <w:sz w:val="28"/>
        </w:rPr>
      </w:pPr>
    </w:p>
    <w:p w14:paraId="1467D2FB" w14:textId="77777777" w:rsidR="00E70101" w:rsidRDefault="0060680B">
      <w:pPr>
        <w:spacing w:line="360" w:lineRule="auto"/>
        <w:ind w:firstLine="560"/>
        <w:jc w:val="both"/>
        <w:rPr>
          <w:rFonts w:ascii="仿宋_GB2312;仿宋" w:eastAsia="仿宋_GB2312;仿宋" w:hAnsi="仿宋_GB2312;仿宋" w:cs="Calibri"/>
          <w:sz w:val="28"/>
        </w:rPr>
      </w:pPr>
      <w:r>
        <w:rPr>
          <w:rFonts w:ascii="仿宋_GB2312;仿宋" w:eastAsia="仿宋_GB2312;仿宋" w:hAnsi="仿宋_GB2312;仿宋" w:cs="Calibri"/>
          <w:sz w:val="28"/>
        </w:rPr>
        <w:t>各方法权重确定详见下表：</w:t>
      </w:r>
    </w:p>
    <w:tbl>
      <w:tblPr>
        <w:tblW w:w="10279" w:type="dxa"/>
        <w:jc w:val="center"/>
        <w:tblLook w:val="0000" w:firstRow="0" w:lastRow="0" w:firstColumn="0" w:lastColumn="0" w:noHBand="0" w:noVBand="0"/>
      </w:tblPr>
      <w:tblGrid>
        <w:gridCol w:w="1362"/>
        <w:gridCol w:w="895"/>
        <w:gridCol w:w="5741"/>
        <w:gridCol w:w="1134"/>
        <w:gridCol w:w="1147"/>
      </w:tblGrid>
      <w:tr w:rsidR="00E70101" w14:paraId="4E035541" w14:textId="77777777">
        <w:trPr>
          <w:trHeight w:val="425"/>
          <w:jc w:val="center"/>
        </w:trPr>
        <w:tc>
          <w:tcPr>
            <w:tcW w:w="1027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E159BB5"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权重确定打分评价体系</w:t>
            </w:r>
          </w:p>
        </w:tc>
      </w:tr>
      <w:tr w:rsidR="00E70101" w14:paraId="1717A891" w14:textId="77777777">
        <w:trPr>
          <w:trHeight w:val="425"/>
          <w:jc w:val="center"/>
        </w:trPr>
        <w:tc>
          <w:tcPr>
            <w:tcW w:w="1362" w:type="dxa"/>
            <w:vMerge w:val="restart"/>
            <w:tcBorders>
              <w:top w:val="single" w:sz="4" w:space="0" w:color="000000"/>
              <w:left w:val="single" w:sz="4" w:space="0" w:color="000000"/>
              <w:bottom w:val="single" w:sz="4" w:space="0" w:color="000000"/>
            </w:tcBorders>
            <w:shd w:val="clear" w:color="auto" w:fill="auto"/>
            <w:vAlign w:val="center"/>
          </w:tcPr>
          <w:p w14:paraId="70EA8B08"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评价因素</w:t>
            </w:r>
          </w:p>
        </w:tc>
        <w:tc>
          <w:tcPr>
            <w:tcW w:w="895" w:type="dxa"/>
            <w:vMerge w:val="restart"/>
            <w:tcBorders>
              <w:top w:val="single" w:sz="4" w:space="0" w:color="000000"/>
              <w:left w:val="single" w:sz="4" w:space="0" w:color="000000"/>
              <w:bottom w:val="single" w:sz="4" w:space="0" w:color="000000"/>
            </w:tcBorders>
            <w:shd w:val="clear" w:color="auto" w:fill="auto"/>
            <w:vAlign w:val="center"/>
          </w:tcPr>
          <w:p w14:paraId="70E4ABBD"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标准分值</w:t>
            </w:r>
          </w:p>
        </w:tc>
        <w:tc>
          <w:tcPr>
            <w:tcW w:w="5741" w:type="dxa"/>
            <w:vMerge w:val="restart"/>
            <w:tcBorders>
              <w:top w:val="single" w:sz="4" w:space="0" w:color="000000"/>
              <w:left w:val="single" w:sz="4" w:space="0" w:color="000000"/>
              <w:bottom w:val="single" w:sz="4" w:space="0" w:color="000000"/>
            </w:tcBorders>
            <w:shd w:val="clear" w:color="auto" w:fill="auto"/>
            <w:vAlign w:val="center"/>
          </w:tcPr>
          <w:p w14:paraId="0F9D58FD"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打分考虑因素</w:t>
            </w:r>
          </w:p>
        </w:tc>
        <w:tc>
          <w:tcPr>
            <w:tcW w:w="22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26BA7F8"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咨询对象</w:t>
            </w:r>
          </w:p>
        </w:tc>
      </w:tr>
      <w:tr w:rsidR="00E70101" w14:paraId="54350BA3" w14:textId="77777777">
        <w:trPr>
          <w:trHeight w:val="425"/>
          <w:jc w:val="center"/>
        </w:trPr>
        <w:tc>
          <w:tcPr>
            <w:tcW w:w="1362" w:type="dxa"/>
            <w:vMerge/>
            <w:tcBorders>
              <w:top w:val="single" w:sz="4" w:space="0" w:color="000000"/>
              <w:left w:val="single" w:sz="4" w:space="0" w:color="000000"/>
              <w:bottom w:val="single" w:sz="4" w:space="0" w:color="000000"/>
            </w:tcBorders>
            <w:shd w:val="clear" w:color="auto" w:fill="auto"/>
            <w:vAlign w:val="center"/>
          </w:tcPr>
          <w:p w14:paraId="01AA837E" w14:textId="77777777" w:rsidR="00E70101" w:rsidRDefault="00E70101">
            <w:pPr>
              <w:widowControl/>
              <w:snapToGrid w:val="0"/>
              <w:spacing w:line="240" w:lineRule="auto"/>
              <w:rPr>
                <w:rFonts w:ascii="Arial" w:eastAsia="仿宋_GB2312;仿宋" w:hAnsi="Arial" w:cs="Arial"/>
                <w:sz w:val="22"/>
                <w:szCs w:val="22"/>
              </w:rPr>
            </w:pPr>
          </w:p>
        </w:tc>
        <w:tc>
          <w:tcPr>
            <w:tcW w:w="895" w:type="dxa"/>
            <w:vMerge/>
            <w:tcBorders>
              <w:top w:val="single" w:sz="4" w:space="0" w:color="000000"/>
              <w:left w:val="single" w:sz="4" w:space="0" w:color="000000"/>
              <w:bottom w:val="single" w:sz="4" w:space="0" w:color="000000"/>
            </w:tcBorders>
            <w:shd w:val="clear" w:color="auto" w:fill="auto"/>
            <w:vAlign w:val="center"/>
          </w:tcPr>
          <w:p w14:paraId="058330D3" w14:textId="77777777" w:rsidR="00E70101" w:rsidRDefault="00E70101">
            <w:pPr>
              <w:widowControl/>
              <w:snapToGrid w:val="0"/>
              <w:spacing w:line="240" w:lineRule="auto"/>
              <w:rPr>
                <w:rFonts w:ascii="Arial" w:eastAsia="仿宋_GB2312;仿宋" w:hAnsi="Arial" w:cs="Arial"/>
                <w:sz w:val="22"/>
                <w:szCs w:val="22"/>
              </w:rPr>
            </w:pPr>
          </w:p>
        </w:tc>
        <w:tc>
          <w:tcPr>
            <w:tcW w:w="5741" w:type="dxa"/>
            <w:vMerge/>
            <w:tcBorders>
              <w:top w:val="single" w:sz="4" w:space="0" w:color="000000"/>
              <w:left w:val="single" w:sz="4" w:space="0" w:color="000000"/>
              <w:bottom w:val="single" w:sz="4" w:space="0" w:color="000000"/>
            </w:tcBorders>
            <w:shd w:val="clear" w:color="auto" w:fill="auto"/>
            <w:vAlign w:val="center"/>
          </w:tcPr>
          <w:p w14:paraId="14F4BD0A" w14:textId="77777777" w:rsidR="00E70101" w:rsidRDefault="00E70101">
            <w:pPr>
              <w:widowControl/>
              <w:snapToGrid w:val="0"/>
              <w:spacing w:line="240" w:lineRule="auto"/>
              <w:rPr>
                <w:rFonts w:ascii="Arial" w:eastAsia="仿宋_GB2312;仿宋" w:hAnsi="Arial" w:cs="Arial"/>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14:paraId="0C04DD74"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成本逼近法</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0518B"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市场比较法</w:t>
            </w:r>
          </w:p>
        </w:tc>
      </w:tr>
      <w:tr w:rsidR="00E70101" w14:paraId="7F0228DB" w14:textId="77777777">
        <w:trPr>
          <w:trHeight w:val="425"/>
          <w:jc w:val="center"/>
        </w:trPr>
        <w:tc>
          <w:tcPr>
            <w:tcW w:w="1362" w:type="dxa"/>
            <w:vMerge w:val="restart"/>
            <w:tcBorders>
              <w:top w:val="single" w:sz="4" w:space="0" w:color="000000"/>
              <w:left w:val="single" w:sz="4" w:space="0" w:color="000000"/>
              <w:bottom w:val="single" w:sz="4" w:space="0" w:color="000000"/>
            </w:tcBorders>
            <w:shd w:val="clear" w:color="auto" w:fill="auto"/>
            <w:vAlign w:val="center"/>
          </w:tcPr>
          <w:p w14:paraId="120C4F03"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咨询方法的代表性</w:t>
            </w:r>
          </w:p>
        </w:tc>
        <w:tc>
          <w:tcPr>
            <w:tcW w:w="895" w:type="dxa"/>
            <w:vMerge w:val="restart"/>
            <w:tcBorders>
              <w:top w:val="single" w:sz="4" w:space="0" w:color="000000"/>
              <w:left w:val="single" w:sz="4" w:space="0" w:color="000000"/>
              <w:bottom w:val="single" w:sz="4" w:space="0" w:color="000000"/>
            </w:tcBorders>
            <w:shd w:val="clear" w:color="auto" w:fill="auto"/>
            <w:vAlign w:val="center"/>
          </w:tcPr>
          <w:p w14:paraId="7D3FD956"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25</w:t>
            </w:r>
          </w:p>
        </w:tc>
        <w:tc>
          <w:tcPr>
            <w:tcW w:w="5741" w:type="dxa"/>
            <w:tcBorders>
              <w:top w:val="single" w:sz="4" w:space="0" w:color="000000"/>
              <w:left w:val="single" w:sz="4" w:space="0" w:color="000000"/>
              <w:bottom w:val="single" w:sz="4" w:space="0" w:color="000000"/>
            </w:tcBorders>
            <w:shd w:val="clear" w:color="auto" w:fill="auto"/>
            <w:vAlign w:val="center"/>
          </w:tcPr>
          <w:p w14:paraId="1581C1BD" w14:textId="77777777" w:rsidR="00E70101" w:rsidRDefault="0060680B">
            <w:pPr>
              <w:spacing w:line="240" w:lineRule="auto"/>
              <w:rPr>
                <w:rFonts w:ascii="Arial" w:eastAsia="仿宋_GB2312;仿宋" w:hAnsi="Arial" w:cs="Arial"/>
                <w:sz w:val="22"/>
                <w:szCs w:val="22"/>
              </w:rPr>
            </w:pPr>
            <w:r>
              <w:rPr>
                <w:rFonts w:ascii="Arial" w:eastAsia="仿宋_GB2312;仿宋" w:hAnsi="Arial" w:cs="Arial"/>
                <w:sz w:val="22"/>
                <w:szCs w:val="22"/>
              </w:rPr>
              <w:t>1</w:t>
            </w:r>
            <w:r>
              <w:rPr>
                <w:rFonts w:ascii="Arial" w:eastAsia="仿宋_GB2312;仿宋" w:hAnsi="Arial" w:cs="Arial"/>
                <w:sz w:val="22"/>
                <w:szCs w:val="22"/>
              </w:rPr>
              <w:t>、咨询方法选取分析充分、合理，取</w:t>
            </w:r>
            <w:r>
              <w:rPr>
                <w:rFonts w:ascii="Arial" w:eastAsia="仿宋_GB2312;仿宋" w:hAnsi="Arial" w:cs="Arial"/>
                <w:sz w:val="22"/>
                <w:szCs w:val="22"/>
              </w:rPr>
              <w:t>20</w:t>
            </w:r>
            <w:r>
              <w:rPr>
                <w:rFonts w:ascii="Arial" w:eastAsia="仿宋_GB2312;仿宋" w:hAnsi="Arial" w:cs="Arial"/>
                <w:sz w:val="22"/>
                <w:szCs w:val="22"/>
              </w:rPr>
              <w:t>～</w:t>
            </w:r>
            <w:r>
              <w:rPr>
                <w:rFonts w:ascii="Arial" w:eastAsia="仿宋_GB2312;仿宋" w:hAnsi="Arial" w:cs="Arial"/>
                <w:sz w:val="22"/>
                <w:szCs w:val="22"/>
              </w:rPr>
              <w:t>25</w:t>
            </w:r>
            <w:r>
              <w:rPr>
                <w:rFonts w:ascii="Arial" w:eastAsia="仿宋_GB2312;仿宋" w:hAnsi="Arial" w:cs="Arial"/>
                <w:sz w:val="22"/>
                <w:szCs w:val="22"/>
              </w:rPr>
              <w:t>分；</w:t>
            </w:r>
          </w:p>
        </w:tc>
        <w:tc>
          <w:tcPr>
            <w:tcW w:w="1134" w:type="dxa"/>
            <w:vMerge w:val="restart"/>
            <w:tcBorders>
              <w:top w:val="single" w:sz="4" w:space="0" w:color="000000"/>
              <w:left w:val="single" w:sz="4" w:space="0" w:color="000000"/>
              <w:bottom w:val="single" w:sz="4" w:space="0" w:color="000000"/>
            </w:tcBorders>
            <w:shd w:val="clear" w:color="auto" w:fill="auto"/>
            <w:vAlign w:val="center"/>
          </w:tcPr>
          <w:p w14:paraId="2DF22F20" w14:textId="77777777" w:rsidR="00E70101" w:rsidRDefault="0060680B">
            <w:pPr>
              <w:widowControl/>
              <w:spacing w:line="240" w:lineRule="auto"/>
              <w:jc w:val="center"/>
              <w:rPr>
                <w:rFonts w:ascii="Arial" w:eastAsia="仿宋_GB2312;仿宋" w:hAnsi="Arial" w:cs="Arial"/>
                <w:szCs w:val="24"/>
              </w:rPr>
            </w:pPr>
            <w:r>
              <w:rPr>
                <w:rFonts w:ascii="Arial" w:eastAsia="仿宋_GB2312;仿宋" w:hAnsi="Arial" w:cs="Arial"/>
                <w:szCs w:val="24"/>
              </w:rPr>
              <w:t>12</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F06B2B2" w14:textId="77777777" w:rsidR="00E70101" w:rsidRDefault="0060680B">
            <w:pPr>
              <w:widowControl/>
              <w:spacing w:line="240" w:lineRule="auto"/>
              <w:jc w:val="center"/>
              <w:rPr>
                <w:rFonts w:ascii="Arial" w:eastAsia="仿宋_GB2312;仿宋" w:hAnsi="Arial" w:cs="Arial"/>
                <w:szCs w:val="24"/>
              </w:rPr>
            </w:pPr>
            <w:r>
              <w:rPr>
                <w:rFonts w:ascii="Arial" w:eastAsia="仿宋_GB2312;仿宋" w:hAnsi="Arial" w:cs="Arial"/>
                <w:szCs w:val="24"/>
              </w:rPr>
              <w:t>24</w:t>
            </w:r>
          </w:p>
        </w:tc>
      </w:tr>
      <w:tr w:rsidR="00E70101" w14:paraId="2BBFD905" w14:textId="77777777">
        <w:trPr>
          <w:trHeight w:val="425"/>
          <w:jc w:val="center"/>
        </w:trPr>
        <w:tc>
          <w:tcPr>
            <w:tcW w:w="1362" w:type="dxa"/>
            <w:vMerge/>
            <w:tcBorders>
              <w:top w:val="single" w:sz="4" w:space="0" w:color="000000"/>
              <w:left w:val="single" w:sz="4" w:space="0" w:color="000000"/>
              <w:bottom w:val="single" w:sz="4" w:space="0" w:color="000000"/>
            </w:tcBorders>
            <w:shd w:val="clear" w:color="auto" w:fill="auto"/>
            <w:vAlign w:val="center"/>
          </w:tcPr>
          <w:p w14:paraId="10E663BB" w14:textId="77777777" w:rsidR="00E70101" w:rsidRDefault="00E70101">
            <w:pPr>
              <w:widowControl/>
              <w:snapToGrid w:val="0"/>
              <w:spacing w:line="240" w:lineRule="auto"/>
              <w:rPr>
                <w:rFonts w:ascii="Arial" w:eastAsia="仿宋_GB2312;仿宋" w:hAnsi="Arial" w:cs="Arial"/>
                <w:sz w:val="22"/>
                <w:szCs w:val="22"/>
              </w:rPr>
            </w:pPr>
          </w:p>
        </w:tc>
        <w:tc>
          <w:tcPr>
            <w:tcW w:w="895" w:type="dxa"/>
            <w:vMerge/>
            <w:tcBorders>
              <w:top w:val="single" w:sz="4" w:space="0" w:color="000000"/>
              <w:left w:val="single" w:sz="4" w:space="0" w:color="000000"/>
              <w:bottom w:val="single" w:sz="4" w:space="0" w:color="000000"/>
            </w:tcBorders>
            <w:shd w:val="clear" w:color="auto" w:fill="auto"/>
            <w:vAlign w:val="center"/>
          </w:tcPr>
          <w:p w14:paraId="718CAE4F" w14:textId="77777777" w:rsidR="00E70101" w:rsidRDefault="00E70101">
            <w:pPr>
              <w:widowControl/>
              <w:snapToGrid w:val="0"/>
              <w:spacing w:line="240" w:lineRule="auto"/>
              <w:rPr>
                <w:rFonts w:ascii="Arial" w:eastAsia="仿宋_GB2312;仿宋" w:hAnsi="Arial" w:cs="Arial"/>
                <w:sz w:val="22"/>
                <w:szCs w:val="22"/>
              </w:rPr>
            </w:pPr>
          </w:p>
        </w:tc>
        <w:tc>
          <w:tcPr>
            <w:tcW w:w="5741" w:type="dxa"/>
            <w:tcBorders>
              <w:top w:val="single" w:sz="4" w:space="0" w:color="000000"/>
              <w:left w:val="single" w:sz="4" w:space="0" w:color="000000"/>
              <w:bottom w:val="single" w:sz="4" w:space="0" w:color="000000"/>
            </w:tcBorders>
            <w:shd w:val="clear" w:color="auto" w:fill="auto"/>
            <w:vAlign w:val="center"/>
          </w:tcPr>
          <w:p w14:paraId="3D080170" w14:textId="77777777" w:rsidR="00E70101" w:rsidRDefault="0060680B">
            <w:pPr>
              <w:spacing w:line="240" w:lineRule="auto"/>
              <w:rPr>
                <w:rFonts w:ascii="Arial" w:eastAsia="仿宋_GB2312;仿宋" w:hAnsi="Arial" w:cs="Arial"/>
                <w:sz w:val="22"/>
                <w:szCs w:val="22"/>
              </w:rPr>
            </w:pPr>
            <w:r>
              <w:rPr>
                <w:rFonts w:ascii="Arial" w:eastAsia="仿宋_GB2312;仿宋" w:hAnsi="Arial" w:cs="Arial"/>
                <w:sz w:val="22"/>
                <w:szCs w:val="22"/>
              </w:rPr>
              <w:t>2</w:t>
            </w:r>
            <w:r>
              <w:rPr>
                <w:rFonts w:ascii="Arial" w:eastAsia="仿宋_GB2312;仿宋" w:hAnsi="Arial" w:cs="Arial"/>
                <w:sz w:val="22"/>
                <w:szCs w:val="22"/>
              </w:rPr>
              <w:t>、咨询方法选取分析较充分、合理，取</w:t>
            </w:r>
            <w:r>
              <w:rPr>
                <w:rFonts w:ascii="Arial" w:eastAsia="仿宋_GB2312;仿宋" w:hAnsi="Arial" w:cs="Arial"/>
                <w:sz w:val="22"/>
                <w:szCs w:val="22"/>
              </w:rPr>
              <w:t>10</w:t>
            </w:r>
            <w:r>
              <w:rPr>
                <w:rFonts w:ascii="Arial" w:eastAsia="仿宋_GB2312;仿宋" w:hAnsi="Arial" w:cs="Arial"/>
                <w:sz w:val="22"/>
                <w:szCs w:val="22"/>
              </w:rPr>
              <w:t>～</w:t>
            </w:r>
            <w:r>
              <w:rPr>
                <w:rFonts w:ascii="Arial" w:eastAsia="仿宋_GB2312;仿宋" w:hAnsi="Arial" w:cs="Arial"/>
                <w:sz w:val="22"/>
                <w:szCs w:val="22"/>
              </w:rPr>
              <w:t>19</w:t>
            </w:r>
            <w:r>
              <w:rPr>
                <w:rFonts w:ascii="Arial" w:eastAsia="仿宋_GB2312;仿宋" w:hAnsi="Arial" w:cs="Arial"/>
                <w:sz w:val="22"/>
                <w:szCs w:val="22"/>
              </w:rPr>
              <w:t>分；</w:t>
            </w:r>
          </w:p>
        </w:tc>
        <w:tc>
          <w:tcPr>
            <w:tcW w:w="1134" w:type="dxa"/>
            <w:vMerge/>
            <w:tcBorders>
              <w:top w:val="single" w:sz="4" w:space="0" w:color="000000"/>
              <w:left w:val="single" w:sz="4" w:space="0" w:color="000000"/>
              <w:bottom w:val="single" w:sz="4" w:space="0" w:color="000000"/>
            </w:tcBorders>
            <w:shd w:val="clear" w:color="auto" w:fill="auto"/>
            <w:vAlign w:val="center"/>
          </w:tcPr>
          <w:p w14:paraId="772BFF86" w14:textId="77777777" w:rsidR="00E70101" w:rsidRDefault="00E70101">
            <w:pPr>
              <w:widowControl/>
              <w:snapToGrid w:val="0"/>
              <w:spacing w:line="240" w:lineRule="auto"/>
              <w:rPr>
                <w:rFonts w:ascii="Arial" w:eastAsia="仿宋_GB2312;仿宋" w:hAnsi="Arial" w:cs="Arial"/>
                <w:sz w:val="22"/>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F6AFB6" w14:textId="77777777" w:rsidR="00E70101" w:rsidRDefault="00E70101">
            <w:pPr>
              <w:widowControl/>
              <w:snapToGrid w:val="0"/>
              <w:spacing w:line="240" w:lineRule="auto"/>
              <w:rPr>
                <w:rFonts w:ascii="Arial" w:eastAsia="仿宋_GB2312;仿宋" w:hAnsi="Arial" w:cs="Arial"/>
                <w:szCs w:val="24"/>
              </w:rPr>
            </w:pPr>
          </w:p>
        </w:tc>
      </w:tr>
      <w:tr w:rsidR="00E70101" w14:paraId="7467C405" w14:textId="77777777">
        <w:trPr>
          <w:trHeight w:val="425"/>
          <w:jc w:val="center"/>
        </w:trPr>
        <w:tc>
          <w:tcPr>
            <w:tcW w:w="1362" w:type="dxa"/>
            <w:vMerge/>
            <w:tcBorders>
              <w:top w:val="single" w:sz="4" w:space="0" w:color="000000"/>
              <w:left w:val="single" w:sz="4" w:space="0" w:color="000000"/>
              <w:bottom w:val="single" w:sz="4" w:space="0" w:color="000000"/>
            </w:tcBorders>
            <w:shd w:val="clear" w:color="auto" w:fill="auto"/>
            <w:vAlign w:val="center"/>
          </w:tcPr>
          <w:p w14:paraId="79F5710D" w14:textId="77777777" w:rsidR="00E70101" w:rsidRDefault="00E70101">
            <w:pPr>
              <w:widowControl/>
              <w:snapToGrid w:val="0"/>
              <w:spacing w:line="240" w:lineRule="auto"/>
              <w:rPr>
                <w:rFonts w:ascii="Arial" w:eastAsia="仿宋_GB2312;仿宋" w:hAnsi="Arial" w:cs="Arial"/>
                <w:sz w:val="22"/>
                <w:szCs w:val="22"/>
              </w:rPr>
            </w:pPr>
          </w:p>
        </w:tc>
        <w:tc>
          <w:tcPr>
            <w:tcW w:w="895" w:type="dxa"/>
            <w:vMerge/>
            <w:tcBorders>
              <w:top w:val="single" w:sz="4" w:space="0" w:color="000000"/>
              <w:left w:val="single" w:sz="4" w:space="0" w:color="000000"/>
              <w:bottom w:val="single" w:sz="4" w:space="0" w:color="000000"/>
            </w:tcBorders>
            <w:shd w:val="clear" w:color="auto" w:fill="auto"/>
            <w:vAlign w:val="center"/>
          </w:tcPr>
          <w:p w14:paraId="57FEF090" w14:textId="77777777" w:rsidR="00E70101" w:rsidRDefault="00E70101">
            <w:pPr>
              <w:widowControl/>
              <w:snapToGrid w:val="0"/>
              <w:spacing w:line="240" w:lineRule="auto"/>
              <w:rPr>
                <w:rFonts w:ascii="Arial" w:eastAsia="仿宋_GB2312;仿宋" w:hAnsi="Arial" w:cs="Arial"/>
                <w:sz w:val="22"/>
                <w:szCs w:val="22"/>
              </w:rPr>
            </w:pPr>
          </w:p>
        </w:tc>
        <w:tc>
          <w:tcPr>
            <w:tcW w:w="5741" w:type="dxa"/>
            <w:tcBorders>
              <w:top w:val="single" w:sz="4" w:space="0" w:color="000000"/>
              <w:left w:val="single" w:sz="4" w:space="0" w:color="000000"/>
              <w:bottom w:val="single" w:sz="4" w:space="0" w:color="000000"/>
            </w:tcBorders>
            <w:shd w:val="clear" w:color="auto" w:fill="auto"/>
            <w:vAlign w:val="center"/>
          </w:tcPr>
          <w:p w14:paraId="6A5FB36E" w14:textId="77777777" w:rsidR="00E70101" w:rsidRDefault="0060680B">
            <w:pPr>
              <w:spacing w:line="240" w:lineRule="auto"/>
              <w:rPr>
                <w:rFonts w:ascii="Arial" w:eastAsia="仿宋_GB2312;仿宋" w:hAnsi="Arial" w:cs="Arial"/>
                <w:sz w:val="22"/>
                <w:szCs w:val="22"/>
              </w:rPr>
            </w:pPr>
            <w:r>
              <w:rPr>
                <w:rFonts w:ascii="Arial" w:eastAsia="仿宋_GB2312;仿宋" w:hAnsi="Arial" w:cs="Arial"/>
                <w:sz w:val="22"/>
                <w:szCs w:val="22"/>
              </w:rPr>
              <w:t>3</w:t>
            </w:r>
            <w:r>
              <w:rPr>
                <w:rFonts w:ascii="Arial" w:eastAsia="仿宋_GB2312;仿宋" w:hAnsi="Arial" w:cs="Arial"/>
                <w:sz w:val="22"/>
                <w:szCs w:val="22"/>
              </w:rPr>
              <w:t>、咨询方法选取分析较不充分，取</w:t>
            </w:r>
            <w:r>
              <w:rPr>
                <w:rFonts w:ascii="Arial" w:eastAsia="仿宋_GB2312;仿宋" w:hAnsi="Arial" w:cs="Arial"/>
                <w:sz w:val="22"/>
                <w:szCs w:val="22"/>
              </w:rPr>
              <w:t>0</w:t>
            </w:r>
            <w:r>
              <w:rPr>
                <w:rFonts w:ascii="Arial" w:eastAsia="仿宋_GB2312;仿宋" w:hAnsi="Arial" w:cs="Arial"/>
                <w:sz w:val="22"/>
                <w:szCs w:val="22"/>
              </w:rPr>
              <w:t>～</w:t>
            </w:r>
            <w:r>
              <w:rPr>
                <w:rFonts w:ascii="Arial" w:eastAsia="仿宋_GB2312;仿宋" w:hAnsi="Arial" w:cs="Arial"/>
                <w:sz w:val="22"/>
                <w:szCs w:val="22"/>
              </w:rPr>
              <w:t>9</w:t>
            </w:r>
            <w:r>
              <w:rPr>
                <w:rFonts w:ascii="Arial" w:eastAsia="仿宋_GB2312;仿宋" w:hAnsi="Arial" w:cs="Arial"/>
                <w:sz w:val="22"/>
                <w:szCs w:val="22"/>
              </w:rPr>
              <w:t>分；</w:t>
            </w:r>
          </w:p>
        </w:tc>
        <w:tc>
          <w:tcPr>
            <w:tcW w:w="1134" w:type="dxa"/>
            <w:vMerge/>
            <w:tcBorders>
              <w:top w:val="single" w:sz="4" w:space="0" w:color="000000"/>
              <w:left w:val="single" w:sz="4" w:space="0" w:color="000000"/>
              <w:bottom w:val="single" w:sz="4" w:space="0" w:color="000000"/>
            </w:tcBorders>
            <w:shd w:val="clear" w:color="auto" w:fill="auto"/>
            <w:vAlign w:val="center"/>
          </w:tcPr>
          <w:p w14:paraId="74736B1C" w14:textId="77777777" w:rsidR="00E70101" w:rsidRDefault="00E70101">
            <w:pPr>
              <w:widowControl/>
              <w:snapToGrid w:val="0"/>
              <w:spacing w:line="240" w:lineRule="auto"/>
              <w:rPr>
                <w:rFonts w:ascii="Arial" w:eastAsia="仿宋_GB2312;仿宋" w:hAnsi="Arial" w:cs="Arial"/>
                <w:sz w:val="22"/>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E0FD72" w14:textId="77777777" w:rsidR="00E70101" w:rsidRDefault="00E70101">
            <w:pPr>
              <w:widowControl/>
              <w:snapToGrid w:val="0"/>
              <w:spacing w:line="240" w:lineRule="auto"/>
              <w:rPr>
                <w:rFonts w:ascii="Arial" w:eastAsia="仿宋_GB2312;仿宋" w:hAnsi="Arial" w:cs="Arial"/>
                <w:szCs w:val="24"/>
              </w:rPr>
            </w:pPr>
          </w:p>
        </w:tc>
      </w:tr>
      <w:tr w:rsidR="00E70101" w14:paraId="3F8E4CE4" w14:textId="77777777">
        <w:trPr>
          <w:trHeight w:val="425"/>
          <w:jc w:val="center"/>
        </w:trPr>
        <w:tc>
          <w:tcPr>
            <w:tcW w:w="1362" w:type="dxa"/>
            <w:vMerge w:val="restart"/>
            <w:tcBorders>
              <w:top w:val="single" w:sz="4" w:space="0" w:color="000000"/>
              <w:left w:val="single" w:sz="4" w:space="0" w:color="000000"/>
              <w:bottom w:val="single" w:sz="4" w:space="0" w:color="000000"/>
            </w:tcBorders>
            <w:shd w:val="clear" w:color="auto" w:fill="auto"/>
            <w:vAlign w:val="center"/>
          </w:tcPr>
          <w:p w14:paraId="4BD7EA34"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咨询方法所要求的评估资料的完整性</w:t>
            </w:r>
          </w:p>
        </w:tc>
        <w:tc>
          <w:tcPr>
            <w:tcW w:w="895" w:type="dxa"/>
            <w:vMerge w:val="restart"/>
            <w:tcBorders>
              <w:top w:val="single" w:sz="4" w:space="0" w:color="000000"/>
              <w:left w:val="single" w:sz="4" w:space="0" w:color="000000"/>
              <w:bottom w:val="single" w:sz="4" w:space="0" w:color="000000"/>
            </w:tcBorders>
            <w:shd w:val="clear" w:color="auto" w:fill="auto"/>
            <w:vAlign w:val="center"/>
          </w:tcPr>
          <w:p w14:paraId="3540A66E"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15</w:t>
            </w:r>
          </w:p>
        </w:tc>
        <w:tc>
          <w:tcPr>
            <w:tcW w:w="5741" w:type="dxa"/>
            <w:tcBorders>
              <w:top w:val="single" w:sz="4" w:space="0" w:color="000000"/>
              <w:left w:val="single" w:sz="4" w:space="0" w:color="000000"/>
              <w:bottom w:val="single" w:sz="4" w:space="0" w:color="000000"/>
            </w:tcBorders>
            <w:shd w:val="clear" w:color="auto" w:fill="auto"/>
            <w:vAlign w:val="center"/>
          </w:tcPr>
          <w:p w14:paraId="0C3DA620" w14:textId="77777777" w:rsidR="00E70101" w:rsidRDefault="0060680B">
            <w:pPr>
              <w:spacing w:line="240" w:lineRule="auto"/>
              <w:rPr>
                <w:rFonts w:ascii="Arial" w:eastAsia="仿宋_GB2312;仿宋" w:hAnsi="Arial" w:cs="Arial"/>
                <w:sz w:val="22"/>
                <w:szCs w:val="22"/>
              </w:rPr>
            </w:pPr>
            <w:r>
              <w:rPr>
                <w:rFonts w:ascii="Arial" w:eastAsia="仿宋_GB2312;仿宋" w:hAnsi="Arial" w:cs="Arial"/>
                <w:sz w:val="22"/>
                <w:szCs w:val="22"/>
              </w:rPr>
              <w:t>1</w:t>
            </w:r>
            <w:r>
              <w:rPr>
                <w:rFonts w:ascii="Arial" w:eastAsia="仿宋_GB2312;仿宋" w:hAnsi="Arial" w:cs="Arial"/>
                <w:sz w:val="22"/>
                <w:szCs w:val="22"/>
              </w:rPr>
              <w:t>、估算资料完整，来源依据充分，取</w:t>
            </w:r>
            <w:r>
              <w:rPr>
                <w:rFonts w:ascii="Arial" w:eastAsia="仿宋_GB2312;仿宋" w:hAnsi="Arial" w:cs="Arial"/>
                <w:sz w:val="22"/>
                <w:szCs w:val="22"/>
              </w:rPr>
              <w:t>10</w:t>
            </w:r>
            <w:r>
              <w:rPr>
                <w:rFonts w:ascii="Arial" w:eastAsia="仿宋_GB2312;仿宋" w:hAnsi="Arial" w:cs="Arial"/>
                <w:sz w:val="22"/>
                <w:szCs w:val="22"/>
              </w:rPr>
              <w:t>～</w:t>
            </w:r>
            <w:r>
              <w:rPr>
                <w:rFonts w:ascii="Arial" w:eastAsia="仿宋_GB2312;仿宋" w:hAnsi="Arial" w:cs="Arial"/>
                <w:sz w:val="22"/>
                <w:szCs w:val="22"/>
              </w:rPr>
              <w:t>15</w:t>
            </w:r>
            <w:r>
              <w:rPr>
                <w:rFonts w:ascii="Arial" w:eastAsia="仿宋_GB2312;仿宋" w:hAnsi="Arial" w:cs="Arial"/>
                <w:sz w:val="22"/>
                <w:szCs w:val="22"/>
              </w:rPr>
              <w:t>分；</w:t>
            </w:r>
          </w:p>
        </w:tc>
        <w:tc>
          <w:tcPr>
            <w:tcW w:w="1134" w:type="dxa"/>
            <w:vMerge w:val="restart"/>
            <w:tcBorders>
              <w:top w:val="single" w:sz="4" w:space="0" w:color="000000"/>
              <w:left w:val="single" w:sz="4" w:space="0" w:color="000000"/>
              <w:bottom w:val="single" w:sz="4" w:space="0" w:color="000000"/>
            </w:tcBorders>
            <w:shd w:val="clear" w:color="auto" w:fill="auto"/>
            <w:vAlign w:val="center"/>
          </w:tcPr>
          <w:p w14:paraId="341ADD23" w14:textId="77777777" w:rsidR="00E70101" w:rsidRDefault="0060680B">
            <w:pPr>
              <w:widowControl/>
              <w:spacing w:line="240" w:lineRule="auto"/>
              <w:jc w:val="center"/>
              <w:rPr>
                <w:rFonts w:ascii="Arial" w:eastAsia="仿宋_GB2312;仿宋" w:hAnsi="Arial" w:cs="Arial"/>
                <w:szCs w:val="24"/>
              </w:rPr>
            </w:pPr>
            <w:r>
              <w:rPr>
                <w:rFonts w:ascii="Arial" w:eastAsia="仿宋_GB2312;仿宋" w:hAnsi="Arial" w:cs="Arial"/>
                <w:szCs w:val="24"/>
              </w:rPr>
              <w:t>8</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5A25472" w14:textId="77777777" w:rsidR="00E70101" w:rsidRDefault="0060680B">
            <w:pPr>
              <w:widowControl/>
              <w:spacing w:line="240" w:lineRule="auto"/>
              <w:jc w:val="center"/>
              <w:rPr>
                <w:rFonts w:ascii="Arial" w:eastAsia="仿宋_GB2312;仿宋" w:hAnsi="Arial" w:cs="Arial"/>
                <w:szCs w:val="24"/>
              </w:rPr>
            </w:pPr>
            <w:r>
              <w:rPr>
                <w:rFonts w:ascii="Arial" w:eastAsia="仿宋_GB2312;仿宋" w:hAnsi="Arial" w:cs="Arial"/>
                <w:szCs w:val="24"/>
              </w:rPr>
              <w:t>13</w:t>
            </w:r>
          </w:p>
        </w:tc>
      </w:tr>
      <w:tr w:rsidR="00E70101" w14:paraId="21A5CA83" w14:textId="77777777">
        <w:trPr>
          <w:trHeight w:val="425"/>
          <w:jc w:val="center"/>
        </w:trPr>
        <w:tc>
          <w:tcPr>
            <w:tcW w:w="1362" w:type="dxa"/>
            <w:vMerge/>
            <w:tcBorders>
              <w:top w:val="single" w:sz="4" w:space="0" w:color="000000"/>
              <w:left w:val="single" w:sz="4" w:space="0" w:color="000000"/>
              <w:bottom w:val="single" w:sz="4" w:space="0" w:color="000000"/>
            </w:tcBorders>
            <w:shd w:val="clear" w:color="auto" w:fill="auto"/>
            <w:vAlign w:val="center"/>
          </w:tcPr>
          <w:p w14:paraId="51289880" w14:textId="77777777" w:rsidR="00E70101" w:rsidRDefault="00E70101">
            <w:pPr>
              <w:widowControl/>
              <w:snapToGrid w:val="0"/>
              <w:spacing w:line="240" w:lineRule="auto"/>
              <w:rPr>
                <w:rFonts w:ascii="Arial" w:eastAsia="仿宋_GB2312;仿宋" w:hAnsi="Arial" w:cs="Arial"/>
                <w:sz w:val="22"/>
                <w:szCs w:val="22"/>
              </w:rPr>
            </w:pPr>
          </w:p>
        </w:tc>
        <w:tc>
          <w:tcPr>
            <w:tcW w:w="895" w:type="dxa"/>
            <w:vMerge/>
            <w:tcBorders>
              <w:top w:val="single" w:sz="4" w:space="0" w:color="000000"/>
              <w:left w:val="single" w:sz="4" w:space="0" w:color="000000"/>
              <w:bottom w:val="single" w:sz="4" w:space="0" w:color="000000"/>
            </w:tcBorders>
            <w:shd w:val="clear" w:color="auto" w:fill="auto"/>
            <w:vAlign w:val="center"/>
          </w:tcPr>
          <w:p w14:paraId="1D6F3FE4" w14:textId="77777777" w:rsidR="00E70101" w:rsidRDefault="00E70101">
            <w:pPr>
              <w:widowControl/>
              <w:snapToGrid w:val="0"/>
              <w:spacing w:line="240" w:lineRule="auto"/>
              <w:rPr>
                <w:rFonts w:ascii="Arial" w:eastAsia="仿宋_GB2312;仿宋" w:hAnsi="Arial" w:cs="Arial"/>
                <w:sz w:val="22"/>
                <w:szCs w:val="22"/>
              </w:rPr>
            </w:pPr>
          </w:p>
        </w:tc>
        <w:tc>
          <w:tcPr>
            <w:tcW w:w="5741" w:type="dxa"/>
            <w:tcBorders>
              <w:top w:val="single" w:sz="4" w:space="0" w:color="000000"/>
              <w:left w:val="single" w:sz="4" w:space="0" w:color="000000"/>
              <w:bottom w:val="single" w:sz="4" w:space="0" w:color="000000"/>
            </w:tcBorders>
            <w:shd w:val="clear" w:color="auto" w:fill="auto"/>
            <w:vAlign w:val="center"/>
          </w:tcPr>
          <w:p w14:paraId="4FF2DC0D" w14:textId="77777777" w:rsidR="00E70101" w:rsidRDefault="0060680B">
            <w:pPr>
              <w:spacing w:line="240" w:lineRule="auto"/>
              <w:rPr>
                <w:rFonts w:ascii="Arial" w:eastAsia="仿宋_GB2312;仿宋" w:hAnsi="Arial" w:cs="Arial"/>
                <w:sz w:val="22"/>
                <w:szCs w:val="22"/>
              </w:rPr>
            </w:pPr>
            <w:r>
              <w:rPr>
                <w:rFonts w:ascii="Arial" w:eastAsia="仿宋_GB2312;仿宋" w:hAnsi="Arial" w:cs="Arial"/>
                <w:sz w:val="22"/>
                <w:szCs w:val="22"/>
              </w:rPr>
              <w:t>2</w:t>
            </w:r>
            <w:r>
              <w:rPr>
                <w:rFonts w:ascii="Arial" w:eastAsia="仿宋_GB2312;仿宋" w:hAnsi="Arial" w:cs="Arial"/>
                <w:sz w:val="22"/>
                <w:szCs w:val="22"/>
              </w:rPr>
              <w:t>、评估资料有欠缺，来源依据较不充分，取</w:t>
            </w:r>
            <w:r>
              <w:rPr>
                <w:rFonts w:ascii="Arial" w:eastAsia="仿宋_GB2312;仿宋" w:hAnsi="Arial" w:cs="Arial"/>
                <w:sz w:val="22"/>
                <w:szCs w:val="22"/>
              </w:rPr>
              <w:t>0</w:t>
            </w:r>
            <w:r>
              <w:rPr>
                <w:rFonts w:ascii="Arial" w:eastAsia="仿宋_GB2312;仿宋" w:hAnsi="Arial" w:cs="Arial"/>
                <w:sz w:val="22"/>
                <w:szCs w:val="22"/>
              </w:rPr>
              <w:t>～</w:t>
            </w:r>
            <w:r>
              <w:rPr>
                <w:rFonts w:ascii="Arial" w:eastAsia="仿宋_GB2312;仿宋" w:hAnsi="Arial" w:cs="Arial"/>
                <w:sz w:val="22"/>
                <w:szCs w:val="22"/>
              </w:rPr>
              <w:t>9</w:t>
            </w:r>
            <w:r>
              <w:rPr>
                <w:rFonts w:ascii="Arial" w:eastAsia="仿宋_GB2312;仿宋" w:hAnsi="Arial" w:cs="Arial"/>
                <w:sz w:val="22"/>
                <w:szCs w:val="22"/>
              </w:rPr>
              <w:t>分；</w:t>
            </w:r>
          </w:p>
        </w:tc>
        <w:tc>
          <w:tcPr>
            <w:tcW w:w="1134" w:type="dxa"/>
            <w:vMerge/>
            <w:tcBorders>
              <w:top w:val="single" w:sz="4" w:space="0" w:color="000000"/>
              <w:left w:val="single" w:sz="4" w:space="0" w:color="000000"/>
              <w:bottom w:val="single" w:sz="4" w:space="0" w:color="000000"/>
            </w:tcBorders>
            <w:shd w:val="clear" w:color="auto" w:fill="auto"/>
            <w:vAlign w:val="center"/>
          </w:tcPr>
          <w:p w14:paraId="32F0D0D7" w14:textId="77777777" w:rsidR="00E70101" w:rsidRDefault="00E70101">
            <w:pPr>
              <w:widowControl/>
              <w:snapToGrid w:val="0"/>
              <w:spacing w:line="240" w:lineRule="auto"/>
              <w:rPr>
                <w:rFonts w:ascii="Arial" w:eastAsia="仿宋_GB2312;仿宋" w:hAnsi="Arial" w:cs="Arial"/>
                <w:sz w:val="22"/>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889415" w14:textId="77777777" w:rsidR="00E70101" w:rsidRDefault="00E70101">
            <w:pPr>
              <w:widowControl/>
              <w:snapToGrid w:val="0"/>
              <w:spacing w:line="240" w:lineRule="auto"/>
              <w:rPr>
                <w:rFonts w:ascii="Arial" w:eastAsia="仿宋_GB2312;仿宋" w:hAnsi="Arial" w:cs="Arial"/>
                <w:szCs w:val="24"/>
              </w:rPr>
            </w:pPr>
          </w:p>
        </w:tc>
      </w:tr>
      <w:tr w:rsidR="00E70101" w14:paraId="061D3D6E" w14:textId="77777777">
        <w:trPr>
          <w:trHeight w:val="425"/>
          <w:jc w:val="center"/>
        </w:trPr>
        <w:tc>
          <w:tcPr>
            <w:tcW w:w="1362" w:type="dxa"/>
            <w:vMerge w:val="restart"/>
            <w:tcBorders>
              <w:top w:val="single" w:sz="4" w:space="0" w:color="000000"/>
              <w:left w:val="single" w:sz="4" w:space="0" w:color="000000"/>
              <w:bottom w:val="single" w:sz="4" w:space="0" w:color="000000"/>
            </w:tcBorders>
            <w:shd w:val="clear" w:color="auto" w:fill="auto"/>
            <w:vAlign w:val="center"/>
          </w:tcPr>
          <w:p w14:paraId="7056D81B"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参数选取的客观性</w:t>
            </w:r>
          </w:p>
        </w:tc>
        <w:tc>
          <w:tcPr>
            <w:tcW w:w="895" w:type="dxa"/>
            <w:vMerge w:val="restart"/>
            <w:tcBorders>
              <w:top w:val="single" w:sz="4" w:space="0" w:color="000000"/>
              <w:left w:val="single" w:sz="4" w:space="0" w:color="000000"/>
              <w:bottom w:val="single" w:sz="4" w:space="0" w:color="000000"/>
            </w:tcBorders>
            <w:shd w:val="clear" w:color="auto" w:fill="auto"/>
            <w:vAlign w:val="center"/>
          </w:tcPr>
          <w:p w14:paraId="4EAD7FD0"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15</w:t>
            </w:r>
          </w:p>
        </w:tc>
        <w:tc>
          <w:tcPr>
            <w:tcW w:w="5741" w:type="dxa"/>
            <w:tcBorders>
              <w:top w:val="single" w:sz="4" w:space="0" w:color="000000"/>
              <w:left w:val="single" w:sz="4" w:space="0" w:color="000000"/>
              <w:bottom w:val="single" w:sz="4" w:space="0" w:color="000000"/>
            </w:tcBorders>
            <w:shd w:val="clear" w:color="auto" w:fill="auto"/>
            <w:vAlign w:val="center"/>
          </w:tcPr>
          <w:p w14:paraId="710D4014" w14:textId="77777777" w:rsidR="00E70101" w:rsidRDefault="0060680B">
            <w:pPr>
              <w:spacing w:line="240" w:lineRule="auto"/>
              <w:rPr>
                <w:rFonts w:ascii="Arial" w:eastAsia="仿宋_GB2312;仿宋" w:hAnsi="Arial" w:cs="Arial"/>
                <w:sz w:val="22"/>
                <w:szCs w:val="22"/>
              </w:rPr>
            </w:pPr>
            <w:r>
              <w:rPr>
                <w:rFonts w:ascii="Arial" w:eastAsia="仿宋_GB2312;仿宋" w:hAnsi="Arial" w:cs="Arial"/>
                <w:sz w:val="22"/>
                <w:szCs w:val="22"/>
              </w:rPr>
              <w:t>1</w:t>
            </w:r>
            <w:r>
              <w:rPr>
                <w:rFonts w:ascii="Arial" w:eastAsia="仿宋_GB2312;仿宋" w:hAnsi="Arial" w:cs="Arial"/>
                <w:sz w:val="22"/>
                <w:szCs w:val="22"/>
              </w:rPr>
              <w:t>、参数从市场上获取，或从权威机构发布的信息上获取，取</w:t>
            </w:r>
            <w:r>
              <w:rPr>
                <w:rFonts w:ascii="Arial" w:eastAsia="仿宋_GB2312;仿宋" w:hAnsi="Arial" w:cs="Arial"/>
                <w:sz w:val="22"/>
                <w:szCs w:val="22"/>
              </w:rPr>
              <w:t>10</w:t>
            </w:r>
            <w:r>
              <w:rPr>
                <w:rFonts w:ascii="Arial" w:eastAsia="仿宋_GB2312;仿宋" w:hAnsi="Arial" w:cs="Arial"/>
                <w:sz w:val="22"/>
                <w:szCs w:val="22"/>
              </w:rPr>
              <w:t>～</w:t>
            </w:r>
            <w:r>
              <w:rPr>
                <w:rFonts w:ascii="Arial" w:eastAsia="仿宋_GB2312;仿宋" w:hAnsi="Arial" w:cs="Arial"/>
                <w:sz w:val="22"/>
                <w:szCs w:val="22"/>
              </w:rPr>
              <w:t>15</w:t>
            </w:r>
            <w:r>
              <w:rPr>
                <w:rFonts w:ascii="Arial" w:eastAsia="仿宋_GB2312;仿宋" w:hAnsi="Arial" w:cs="Arial"/>
                <w:sz w:val="22"/>
                <w:szCs w:val="22"/>
              </w:rPr>
              <w:t>分；</w:t>
            </w:r>
          </w:p>
        </w:tc>
        <w:tc>
          <w:tcPr>
            <w:tcW w:w="1134" w:type="dxa"/>
            <w:vMerge w:val="restart"/>
            <w:tcBorders>
              <w:top w:val="single" w:sz="4" w:space="0" w:color="000000"/>
              <w:left w:val="single" w:sz="4" w:space="0" w:color="000000"/>
              <w:bottom w:val="single" w:sz="4" w:space="0" w:color="000000"/>
            </w:tcBorders>
            <w:shd w:val="clear" w:color="auto" w:fill="auto"/>
            <w:vAlign w:val="center"/>
          </w:tcPr>
          <w:p w14:paraId="2460203A" w14:textId="77777777" w:rsidR="00E70101" w:rsidRDefault="0060680B">
            <w:pPr>
              <w:widowControl/>
              <w:spacing w:line="240" w:lineRule="auto"/>
              <w:jc w:val="center"/>
              <w:rPr>
                <w:rFonts w:ascii="Arial" w:eastAsia="仿宋_GB2312;仿宋" w:hAnsi="Arial" w:cs="Arial"/>
                <w:szCs w:val="24"/>
              </w:rPr>
            </w:pPr>
            <w:r>
              <w:rPr>
                <w:rFonts w:ascii="Arial" w:eastAsia="仿宋_GB2312;仿宋" w:hAnsi="Arial" w:cs="Arial"/>
                <w:szCs w:val="24"/>
              </w:rPr>
              <w:t>5</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6C10659" w14:textId="77777777" w:rsidR="00E70101" w:rsidRDefault="0060680B">
            <w:pPr>
              <w:widowControl/>
              <w:spacing w:line="240" w:lineRule="auto"/>
              <w:jc w:val="center"/>
              <w:rPr>
                <w:rFonts w:ascii="Arial" w:eastAsia="仿宋_GB2312;仿宋" w:hAnsi="Arial" w:cs="Arial"/>
                <w:szCs w:val="24"/>
              </w:rPr>
            </w:pPr>
            <w:r>
              <w:rPr>
                <w:rFonts w:ascii="Arial" w:eastAsia="仿宋_GB2312;仿宋" w:hAnsi="Arial" w:cs="Arial"/>
                <w:szCs w:val="24"/>
              </w:rPr>
              <w:t>11</w:t>
            </w:r>
          </w:p>
        </w:tc>
      </w:tr>
      <w:tr w:rsidR="00E70101" w14:paraId="03AAB6CA" w14:textId="77777777">
        <w:trPr>
          <w:trHeight w:val="425"/>
          <w:jc w:val="center"/>
        </w:trPr>
        <w:tc>
          <w:tcPr>
            <w:tcW w:w="1362" w:type="dxa"/>
            <w:vMerge/>
            <w:tcBorders>
              <w:top w:val="single" w:sz="4" w:space="0" w:color="000000"/>
              <w:left w:val="single" w:sz="4" w:space="0" w:color="000000"/>
              <w:bottom w:val="single" w:sz="4" w:space="0" w:color="000000"/>
            </w:tcBorders>
            <w:shd w:val="clear" w:color="auto" w:fill="auto"/>
            <w:vAlign w:val="center"/>
          </w:tcPr>
          <w:p w14:paraId="2ACA682C" w14:textId="77777777" w:rsidR="00E70101" w:rsidRDefault="00E70101">
            <w:pPr>
              <w:widowControl/>
              <w:snapToGrid w:val="0"/>
              <w:spacing w:line="240" w:lineRule="auto"/>
              <w:rPr>
                <w:rFonts w:ascii="Arial" w:eastAsia="仿宋_GB2312;仿宋" w:hAnsi="Arial" w:cs="Arial"/>
                <w:sz w:val="22"/>
                <w:szCs w:val="22"/>
              </w:rPr>
            </w:pPr>
          </w:p>
        </w:tc>
        <w:tc>
          <w:tcPr>
            <w:tcW w:w="895" w:type="dxa"/>
            <w:vMerge/>
            <w:tcBorders>
              <w:top w:val="single" w:sz="4" w:space="0" w:color="000000"/>
              <w:left w:val="single" w:sz="4" w:space="0" w:color="000000"/>
              <w:bottom w:val="single" w:sz="4" w:space="0" w:color="000000"/>
            </w:tcBorders>
            <w:shd w:val="clear" w:color="auto" w:fill="auto"/>
            <w:vAlign w:val="center"/>
          </w:tcPr>
          <w:p w14:paraId="320B3734" w14:textId="77777777" w:rsidR="00E70101" w:rsidRDefault="00E70101">
            <w:pPr>
              <w:widowControl/>
              <w:snapToGrid w:val="0"/>
              <w:spacing w:line="240" w:lineRule="auto"/>
              <w:rPr>
                <w:rFonts w:ascii="Arial" w:eastAsia="仿宋_GB2312;仿宋" w:hAnsi="Arial" w:cs="Arial"/>
                <w:sz w:val="22"/>
                <w:szCs w:val="22"/>
              </w:rPr>
            </w:pPr>
          </w:p>
        </w:tc>
        <w:tc>
          <w:tcPr>
            <w:tcW w:w="5741" w:type="dxa"/>
            <w:tcBorders>
              <w:top w:val="single" w:sz="4" w:space="0" w:color="000000"/>
              <w:left w:val="single" w:sz="4" w:space="0" w:color="000000"/>
              <w:bottom w:val="single" w:sz="4" w:space="0" w:color="000000"/>
            </w:tcBorders>
            <w:shd w:val="clear" w:color="auto" w:fill="auto"/>
            <w:vAlign w:val="center"/>
          </w:tcPr>
          <w:p w14:paraId="735189D9" w14:textId="77777777" w:rsidR="00E70101" w:rsidRDefault="0060680B">
            <w:pPr>
              <w:spacing w:line="240" w:lineRule="auto"/>
              <w:rPr>
                <w:rFonts w:ascii="Arial" w:eastAsia="仿宋_GB2312;仿宋" w:hAnsi="Arial" w:cs="Arial"/>
                <w:sz w:val="22"/>
                <w:szCs w:val="22"/>
              </w:rPr>
            </w:pPr>
            <w:r>
              <w:rPr>
                <w:rFonts w:ascii="Arial" w:eastAsia="仿宋_GB2312;仿宋" w:hAnsi="Arial" w:cs="Arial"/>
                <w:sz w:val="22"/>
                <w:szCs w:val="22"/>
              </w:rPr>
              <w:t>2</w:t>
            </w:r>
            <w:r>
              <w:rPr>
                <w:rFonts w:ascii="Arial" w:eastAsia="仿宋_GB2312;仿宋" w:hAnsi="Arial" w:cs="Arial"/>
                <w:sz w:val="22"/>
                <w:szCs w:val="22"/>
              </w:rPr>
              <w:t>、部分参数为自行分析取得，理由较充分，取</w:t>
            </w:r>
            <w:r>
              <w:rPr>
                <w:rFonts w:ascii="Arial" w:eastAsia="仿宋_GB2312;仿宋" w:hAnsi="Arial" w:cs="Arial"/>
                <w:sz w:val="22"/>
                <w:szCs w:val="22"/>
              </w:rPr>
              <w:t>0</w:t>
            </w:r>
            <w:r>
              <w:rPr>
                <w:rFonts w:ascii="Arial" w:eastAsia="仿宋_GB2312;仿宋" w:hAnsi="Arial" w:cs="Arial"/>
                <w:sz w:val="22"/>
                <w:szCs w:val="22"/>
              </w:rPr>
              <w:t>～</w:t>
            </w:r>
            <w:r>
              <w:rPr>
                <w:rFonts w:ascii="Arial" w:eastAsia="仿宋_GB2312;仿宋" w:hAnsi="Arial" w:cs="Arial"/>
                <w:sz w:val="22"/>
                <w:szCs w:val="22"/>
              </w:rPr>
              <w:t>9</w:t>
            </w:r>
            <w:r>
              <w:rPr>
                <w:rFonts w:ascii="Arial" w:eastAsia="仿宋_GB2312;仿宋" w:hAnsi="Arial" w:cs="Arial"/>
                <w:sz w:val="22"/>
                <w:szCs w:val="22"/>
              </w:rPr>
              <w:t>分；</w:t>
            </w:r>
          </w:p>
        </w:tc>
        <w:tc>
          <w:tcPr>
            <w:tcW w:w="1134" w:type="dxa"/>
            <w:vMerge/>
            <w:tcBorders>
              <w:top w:val="single" w:sz="4" w:space="0" w:color="000000"/>
              <w:left w:val="single" w:sz="4" w:space="0" w:color="000000"/>
              <w:bottom w:val="single" w:sz="4" w:space="0" w:color="000000"/>
            </w:tcBorders>
            <w:shd w:val="clear" w:color="auto" w:fill="auto"/>
            <w:vAlign w:val="center"/>
          </w:tcPr>
          <w:p w14:paraId="1A22405F" w14:textId="77777777" w:rsidR="00E70101" w:rsidRDefault="00E70101">
            <w:pPr>
              <w:widowControl/>
              <w:snapToGrid w:val="0"/>
              <w:spacing w:line="240" w:lineRule="auto"/>
              <w:rPr>
                <w:rFonts w:ascii="Arial" w:eastAsia="仿宋_GB2312;仿宋" w:hAnsi="Arial" w:cs="Arial"/>
                <w:sz w:val="22"/>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0C3DC7" w14:textId="77777777" w:rsidR="00E70101" w:rsidRDefault="00E70101">
            <w:pPr>
              <w:widowControl/>
              <w:snapToGrid w:val="0"/>
              <w:spacing w:line="240" w:lineRule="auto"/>
              <w:rPr>
                <w:rFonts w:ascii="Arial" w:eastAsia="仿宋_GB2312;仿宋" w:hAnsi="Arial" w:cs="Arial"/>
                <w:szCs w:val="24"/>
              </w:rPr>
            </w:pPr>
          </w:p>
        </w:tc>
      </w:tr>
      <w:tr w:rsidR="00E70101" w14:paraId="6F837A02" w14:textId="77777777">
        <w:trPr>
          <w:trHeight w:val="425"/>
          <w:jc w:val="center"/>
        </w:trPr>
        <w:tc>
          <w:tcPr>
            <w:tcW w:w="1362" w:type="dxa"/>
            <w:vMerge w:val="restart"/>
            <w:tcBorders>
              <w:top w:val="single" w:sz="4" w:space="0" w:color="000000"/>
              <w:left w:val="single" w:sz="4" w:space="0" w:color="000000"/>
              <w:bottom w:val="single" w:sz="4" w:space="0" w:color="000000"/>
            </w:tcBorders>
            <w:shd w:val="clear" w:color="auto" w:fill="auto"/>
            <w:vAlign w:val="center"/>
          </w:tcPr>
          <w:p w14:paraId="47331F66"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参数确定的时效性</w:t>
            </w:r>
          </w:p>
        </w:tc>
        <w:tc>
          <w:tcPr>
            <w:tcW w:w="895" w:type="dxa"/>
            <w:vMerge w:val="restart"/>
            <w:tcBorders>
              <w:top w:val="single" w:sz="4" w:space="0" w:color="000000"/>
              <w:left w:val="single" w:sz="4" w:space="0" w:color="000000"/>
              <w:bottom w:val="single" w:sz="4" w:space="0" w:color="000000"/>
            </w:tcBorders>
            <w:shd w:val="clear" w:color="auto" w:fill="auto"/>
            <w:vAlign w:val="center"/>
          </w:tcPr>
          <w:p w14:paraId="0F4878DB"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15</w:t>
            </w:r>
          </w:p>
        </w:tc>
        <w:tc>
          <w:tcPr>
            <w:tcW w:w="5741" w:type="dxa"/>
            <w:tcBorders>
              <w:top w:val="single" w:sz="4" w:space="0" w:color="000000"/>
              <w:left w:val="single" w:sz="4" w:space="0" w:color="000000"/>
              <w:bottom w:val="single" w:sz="4" w:space="0" w:color="000000"/>
            </w:tcBorders>
            <w:shd w:val="clear" w:color="auto" w:fill="auto"/>
            <w:vAlign w:val="center"/>
          </w:tcPr>
          <w:p w14:paraId="6A511324" w14:textId="77777777" w:rsidR="00E70101" w:rsidRDefault="0060680B">
            <w:pPr>
              <w:spacing w:line="240" w:lineRule="auto"/>
              <w:rPr>
                <w:rFonts w:ascii="Arial" w:eastAsia="仿宋_GB2312;仿宋" w:hAnsi="Arial" w:cs="Arial"/>
                <w:sz w:val="22"/>
                <w:szCs w:val="22"/>
              </w:rPr>
            </w:pPr>
            <w:r>
              <w:rPr>
                <w:rFonts w:ascii="Arial" w:eastAsia="仿宋_GB2312;仿宋" w:hAnsi="Arial" w:cs="Arial"/>
                <w:sz w:val="22"/>
                <w:szCs w:val="22"/>
              </w:rPr>
              <w:t>1</w:t>
            </w:r>
            <w:r>
              <w:rPr>
                <w:rFonts w:ascii="Arial" w:eastAsia="仿宋_GB2312;仿宋" w:hAnsi="Arial" w:cs="Arial"/>
                <w:sz w:val="22"/>
                <w:szCs w:val="22"/>
              </w:rPr>
              <w:t>、参数在规定的时效范围内，且距咨询期日未超过</w:t>
            </w:r>
            <w:r>
              <w:rPr>
                <w:rFonts w:ascii="Arial" w:eastAsia="仿宋_GB2312;仿宋" w:hAnsi="Arial" w:cs="Arial"/>
                <w:sz w:val="22"/>
                <w:szCs w:val="22"/>
              </w:rPr>
              <w:t>1</w:t>
            </w:r>
            <w:r>
              <w:rPr>
                <w:rFonts w:ascii="Arial" w:eastAsia="仿宋_GB2312;仿宋" w:hAnsi="Arial" w:cs="Arial"/>
                <w:sz w:val="22"/>
                <w:szCs w:val="22"/>
              </w:rPr>
              <w:t>年，取</w:t>
            </w:r>
            <w:r>
              <w:rPr>
                <w:rFonts w:ascii="Arial" w:eastAsia="仿宋_GB2312;仿宋" w:hAnsi="Arial" w:cs="Arial"/>
                <w:sz w:val="22"/>
                <w:szCs w:val="22"/>
              </w:rPr>
              <w:t>10</w:t>
            </w:r>
            <w:r>
              <w:rPr>
                <w:rFonts w:ascii="Arial" w:eastAsia="仿宋_GB2312;仿宋" w:hAnsi="Arial" w:cs="Arial"/>
                <w:sz w:val="22"/>
                <w:szCs w:val="22"/>
              </w:rPr>
              <w:t>～</w:t>
            </w:r>
            <w:r>
              <w:rPr>
                <w:rFonts w:ascii="Arial" w:eastAsia="仿宋_GB2312;仿宋" w:hAnsi="Arial" w:cs="Arial"/>
                <w:sz w:val="22"/>
                <w:szCs w:val="22"/>
              </w:rPr>
              <w:t>15</w:t>
            </w:r>
            <w:r>
              <w:rPr>
                <w:rFonts w:ascii="Arial" w:eastAsia="仿宋_GB2312;仿宋" w:hAnsi="Arial" w:cs="Arial"/>
                <w:sz w:val="22"/>
                <w:szCs w:val="22"/>
              </w:rPr>
              <w:t>分；</w:t>
            </w:r>
          </w:p>
        </w:tc>
        <w:tc>
          <w:tcPr>
            <w:tcW w:w="1134" w:type="dxa"/>
            <w:vMerge w:val="restart"/>
            <w:tcBorders>
              <w:top w:val="single" w:sz="4" w:space="0" w:color="000000"/>
              <w:left w:val="single" w:sz="4" w:space="0" w:color="000000"/>
              <w:bottom w:val="single" w:sz="4" w:space="0" w:color="000000"/>
            </w:tcBorders>
            <w:shd w:val="clear" w:color="auto" w:fill="auto"/>
            <w:vAlign w:val="center"/>
          </w:tcPr>
          <w:p w14:paraId="43584503" w14:textId="77777777" w:rsidR="00E70101" w:rsidRDefault="0060680B">
            <w:pPr>
              <w:widowControl/>
              <w:spacing w:line="240" w:lineRule="auto"/>
              <w:jc w:val="center"/>
              <w:rPr>
                <w:rFonts w:ascii="Arial" w:eastAsia="仿宋_GB2312;仿宋" w:hAnsi="Arial" w:cs="Arial"/>
                <w:szCs w:val="24"/>
              </w:rPr>
            </w:pPr>
            <w:r>
              <w:rPr>
                <w:rFonts w:ascii="Arial" w:eastAsia="仿宋_GB2312;仿宋" w:hAnsi="Arial" w:cs="Arial"/>
                <w:szCs w:val="24"/>
              </w:rPr>
              <w:t>3</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C5C6460" w14:textId="77777777" w:rsidR="00E70101" w:rsidRDefault="0060680B">
            <w:pPr>
              <w:widowControl/>
              <w:spacing w:line="240" w:lineRule="auto"/>
              <w:jc w:val="center"/>
              <w:rPr>
                <w:rFonts w:ascii="Arial" w:eastAsia="仿宋_GB2312;仿宋" w:hAnsi="Arial" w:cs="Arial"/>
                <w:szCs w:val="24"/>
              </w:rPr>
            </w:pPr>
            <w:r>
              <w:rPr>
                <w:rFonts w:ascii="Arial" w:eastAsia="仿宋_GB2312;仿宋" w:hAnsi="Arial" w:cs="Arial"/>
                <w:szCs w:val="24"/>
              </w:rPr>
              <w:t>11</w:t>
            </w:r>
          </w:p>
        </w:tc>
      </w:tr>
      <w:tr w:rsidR="00E70101" w14:paraId="516542AF" w14:textId="77777777">
        <w:trPr>
          <w:trHeight w:val="425"/>
          <w:jc w:val="center"/>
        </w:trPr>
        <w:tc>
          <w:tcPr>
            <w:tcW w:w="1362" w:type="dxa"/>
            <w:vMerge/>
            <w:tcBorders>
              <w:top w:val="single" w:sz="4" w:space="0" w:color="000000"/>
              <w:left w:val="single" w:sz="4" w:space="0" w:color="000000"/>
              <w:bottom w:val="single" w:sz="4" w:space="0" w:color="000000"/>
            </w:tcBorders>
            <w:shd w:val="clear" w:color="auto" w:fill="auto"/>
            <w:vAlign w:val="center"/>
          </w:tcPr>
          <w:p w14:paraId="21EC9557" w14:textId="77777777" w:rsidR="00E70101" w:rsidRDefault="00E70101">
            <w:pPr>
              <w:widowControl/>
              <w:snapToGrid w:val="0"/>
              <w:spacing w:line="240" w:lineRule="auto"/>
              <w:rPr>
                <w:rFonts w:ascii="Arial" w:eastAsia="仿宋_GB2312;仿宋" w:hAnsi="Arial" w:cs="Arial"/>
                <w:sz w:val="22"/>
                <w:szCs w:val="22"/>
              </w:rPr>
            </w:pPr>
          </w:p>
        </w:tc>
        <w:tc>
          <w:tcPr>
            <w:tcW w:w="895" w:type="dxa"/>
            <w:vMerge/>
            <w:tcBorders>
              <w:top w:val="single" w:sz="4" w:space="0" w:color="000000"/>
              <w:left w:val="single" w:sz="4" w:space="0" w:color="000000"/>
              <w:bottom w:val="single" w:sz="4" w:space="0" w:color="000000"/>
            </w:tcBorders>
            <w:shd w:val="clear" w:color="auto" w:fill="auto"/>
            <w:vAlign w:val="center"/>
          </w:tcPr>
          <w:p w14:paraId="0C29F2C4" w14:textId="77777777" w:rsidR="00E70101" w:rsidRDefault="00E70101">
            <w:pPr>
              <w:widowControl/>
              <w:snapToGrid w:val="0"/>
              <w:spacing w:line="240" w:lineRule="auto"/>
              <w:rPr>
                <w:rFonts w:ascii="Arial" w:eastAsia="仿宋_GB2312;仿宋" w:hAnsi="Arial" w:cs="Arial"/>
                <w:sz w:val="22"/>
                <w:szCs w:val="22"/>
              </w:rPr>
            </w:pPr>
          </w:p>
        </w:tc>
        <w:tc>
          <w:tcPr>
            <w:tcW w:w="5741" w:type="dxa"/>
            <w:tcBorders>
              <w:top w:val="single" w:sz="4" w:space="0" w:color="000000"/>
              <w:left w:val="single" w:sz="4" w:space="0" w:color="000000"/>
              <w:bottom w:val="single" w:sz="4" w:space="0" w:color="000000"/>
            </w:tcBorders>
            <w:shd w:val="clear" w:color="auto" w:fill="auto"/>
            <w:vAlign w:val="center"/>
          </w:tcPr>
          <w:p w14:paraId="4052F99B" w14:textId="77777777" w:rsidR="00E70101" w:rsidRDefault="0060680B">
            <w:pPr>
              <w:spacing w:line="240" w:lineRule="auto"/>
              <w:rPr>
                <w:rFonts w:ascii="Arial" w:eastAsia="仿宋_GB2312;仿宋" w:hAnsi="Arial" w:cs="Arial"/>
                <w:sz w:val="22"/>
                <w:szCs w:val="22"/>
              </w:rPr>
            </w:pPr>
            <w:r>
              <w:rPr>
                <w:rFonts w:ascii="Arial" w:eastAsia="仿宋_GB2312;仿宋" w:hAnsi="Arial" w:cs="Arial"/>
                <w:sz w:val="22"/>
                <w:szCs w:val="22"/>
              </w:rPr>
              <w:t>2</w:t>
            </w:r>
            <w:r>
              <w:rPr>
                <w:rFonts w:ascii="Arial" w:eastAsia="仿宋_GB2312;仿宋" w:hAnsi="Arial" w:cs="Arial"/>
                <w:sz w:val="22"/>
                <w:szCs w:val="22"/>
              </w:rPr>
              <w:t>、参数在规定的时效范围内，但距咨询期日超过</w:t>
            </w:r>
            <w:r>
              <w:rPr>
                <w:rFonts w:ascii="Arial" w:eastAsia="仿宋_GB2312;仿宋" w:hAnsi="Arial" w:cs="Arial"/>
                <w:sz w:val="22"/>
                <w:szCs w:val="22"/>
              </w:rPr>
              <w:t>1</w:t>
            </w:r>
            <w:r>
              <w:rPr>
                <w:rFonts w:ascii="Arial" w:eastAsia="仿宋_GB2312;仿宋" w:hAnsi="Arial" w:cs="Arial"/>
                <w:sz w:val="22"/>
                <w:szCs w:val="22"/>
              </w:rPr>
              <w:t>年，取</w:t>
            </w:r>
            <w:r>
              <w:rPr>
                <w:rFonts w:ascii="Arial" w:eastAsia="仿宋_GB2312;仿宋" w:hAnsi="Arial" w:cs="Arial"/>
                <w:sz w:val="22"/>
                <w:szCs w:val="22"/>
              </w:rPr>
              <w:t>0</w:t>
            </w:r>
            <w:r>
              <w:rPr>
                <w:rFonts w:ascii="Arial" w:eastAsia="仿宋_GB2312;仿宋" w:hAnsi="Arial" w:cs="Arial"/>
                <w:sz w:val="22"/>
                <w:szCs w:val="22"/>
              </w:rPr>
              <w:t>～</w:t>
            </w:r>
            <w:r>
              <w:rPr>
                <w:rFonts w:ascii="Arial" w:eastAsia="仿宋_GB2312;仿宋" w:hAnsi="Arial" w:cs="Arial"/>
                <w:sz w:val="22"/>
                <w:szCs w:val="22"/>
              </w:rPr>
              <w:t>9</w:t>
            </w:r>
            <w:r>
              <w:rPr>
                <w:rFonts w:ascii="Arial" w:eastAsia="仿宋_GB2312;仿宋" w:hAnsi="Arial" w:cs="Arial"/>
                <w:sz w:val="22"/>
                <w:szCs w:val="22"/>
              </w:rPr>
              <w:t>分；</w:t>
            </w:r>
          </w:p>
        </w:tc>
        <w:tc>
          <w:tcPr>
            <w:tcW w:w="1134" w:type="dxa"/>
            <w:vMerge/>
            <w:tcBorders>
              <w:top w:val="single" w:sz="4" w:space="0" w:color="000000"/>
              <w:left w:val="single" w:sz="4" w:space="0" w:color="000000"/>
              <w:bottom w:val="single" w:sz="4" w:space="0" w:color="000000"/>
            </w:tcBorders>
            <w:shd w:val="clear" w:color="auto" w:fill="auto"/>
            <w:vAlign w:val="center"/>
          </w:tcPr>
          <w:p w14:paraId="4A3E962F" w14:textId="77777777" w:rsidR="00E70101" w:rsidRDefault="00E70101">
            <w:pPr>
              <w:widowControl/>
              <w:snapToGrid w:val="0"/>
              <w:spacing w:line="240" w:lineRule="auto"/>
              <w:rPr>
                <w:rFonts w:ascii="Arial" w:eastAsia="仿宋_GB2312;仿宋" w:hAnsi="Arial" w:cs="Arial"/>
                <w:sz w:val="22"/>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1471F9" w14:textId="77777777" w:rsidR="00E70101" w:rsidRDefault="00E70101">
            <w:pPr>
              <w:widowControl/>
              <w:snapToGrid w:val="0"/>
              <w:spacing w:line="240" w:lineRule="auto"/>
              <w:rPr>
                <w:rFonts w:ascii="Arial" w:eastAsia="仿宋_GB2312;仿宋" w:hAnsi="Arial" w:cs="Arial"/>
                <w:szCs w:val="24"/>
              </w:rPr>
            </w:pPr>
          </w:p>
        </w:tc>
      </w:tr>
      <w:tr w:rsidR="00E70101" w14:paraId="3A71464C" w14:textId="77777777">
        <w:trPr>
          <w:trHeight w:val="425"/>
          <w:jc w:val="center"/>
        </w:trPr>
        <w:tc>
          <w:tcPr>
            <w:tcW w:w="1362" w:type="dxa"/>
            <w:vMerge w:val="restart"/>
            <w:tcBorders>
              <w:top w:val="single" w:sz="4" w:space="0" w:color="000000"/>
              <w:left w:val="single" w:sz="4" w:space="0" w:color="000000"/>
              <w:bottom w:val="single" w:sz="4" w:space="0" w:color="000000"/>
            </w:tcBorders>
            <w:shd w:val="clear" w:color="auto" w:fill="auto"/>
            <w:vAlign w:val="center"/>
          </w:tcPr>
          <w:p w14:paraId="34BC1CA0"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咨询结果的现势性</w:t>
            </w:r>
          </w:p>
        </w:tc>
        <w:tc>
          <w:tcPr>
            <w:tcW w:w="895" w:type="dxa"/>
            <w:vMerge w:val="restart"/>
            <w:tcBorders>
              <w:top w:val="single" w:sz="4" w:space="0" w:color="000000"/>
              <w:left w:val="single" w:sz="4" w:space="0" w:color="000000"/>
              <w:bottom w:val="single" w:sz="4" w:space="0" w:color="000000"/>
            </w:tcBorders>
            <w:shd w:val="clear" w:color="auto" w:fill="auto"/>
            <w:vAlign w:val="center"/>
          </w:tcPr>
          <w:p w14:paraId="2FA2F2EE"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30</w:t>
            </w:r>
          </w:p>
        </w:tc>
        <w:tc>
          <w:tcPr>
            <w:tcW w:w="5741" w:type="dxa"/>
            <w:tcBorders>
              <w:top w:val="single" w:sz="4" w:space="0" w:color="000000"/>
              <w:left w:val="single" w:sz="4" w:space="0" w:color="000000"/>
              <w:bottom w:val="single" w:sz="4" w:space="0" w:color="000000"/>
            </w:tcBorders>
            <w:shd w:val="clear" w:color="auto" w:fill="auto"/>
            <w:vAlign w:val="center"/>
          </w:tcPr>
          <w:p w14:paraId="194E4EE8" w14:textId="77777777" w:rsidR="00E70101" w:rsidRDefault="0060680B">
            <w:pPr>
              <w:spacing w:line="240" w:lineRule="auto"/>
              <w:rPr>
                <w:rFonts w:ascii="Arial" w:eastAsia="仿宋_GB2312;仿宋" w:hAnsi="Arial" w:cs="Arial"/>
                <w:sz w:val="22"/>
                <w:szCs w:val="22"/>
              </w:rPr>
            </w:pPr>
            <w:r>
              <w:rPr>
                <w:rFonts w:ascii="Arial" w:eastAsia="仿宋_GB2312;仿宋" w:hAnsi="Arial" w:cs="Arial"/>
                <w:sz w:val="22"/>
                <w:szCs w:val="22"/>
              </w:rPr>
              <w:t>1</w:t>
            </w:r>
            <w:r>
              <w:rPr>
                <w:rFonts w:ascii="Arial" w:eastAsia="仿宋_GB2312;仿宋" w:hAnsi="Arial" w:cs="Arial"/>
                <w:sz w:val="22"/>
                <w:szCs w:val="22"/>
              </w:rPr>
              <w:t>、咨询结果与同类用途房地产市场价格水平一致，且考虑了房地产市场发展趋势，取</w:t>
            </w:r>
            <w:r>
              <w:rPr>
                <w:rFonts w:ascii="Arial" w:eastAsia="仿宋_GB2312;仿宋" w:hAnsi="Arial" w:cs="Arial"/>
                <w:sz w:val="22"/>
                <w:szCs w:val="22"/>
              </w:rPr>
              <w:t>15</w:t>
            </w:r>
            <w:r>
              <w:rPr>
                <w:rFonts w:ascii="Arial" w:eastAsia="仿宋_GB2312;仿宋" w:hAnsi="Arial" w:cs="Arial"/>
                <w:sz w:val="22"/>
                <w:szCs w:val="22"/>
              </w:rPr>
              <w:t>～</w:t>
            </w:r>
            <w:r>
              <w:rPr>
                <w:rFonts w:ascii="Arial" w:eastAsia="仿宋_GB2312;仿宋" w:hAnsi="Arial" w:cs="Arial"/>
                <w:sz w:val="22"/>
                <w:szCs w:val="22"/>
              </w:rPr>
              <w:t>30</w:t>
            </w:r>
            <w:r>
              <w:rPr>
                <w:rFonts w:ascii="Arial" w:eastAsia="仿宋_GB2312;仿宋" w:hAnsi="Arial" w:cs="Arial"/>
                <w:sz w:val="22"/>
                <w:szCs w:val="22"/>
              </w:rPr>
              <w:t>分；</w:t>
            </w:r>
          </w:p>
        </w:tc>
        <w:tc>
          <w:tcPr>
            <w:tcW w:w="1134" w:type="dxa"/>
            <w:vMerge w:val="restart"/>
            <w:tcBorders>
              <w:top w:val="single" w:sz="4" w:space="0" w:color="000000"/>
              <w:left w:val="single" w:sz="4" w:space="0" w:color="000000"/>
              <w:bottom w:val="single" w:sz="4" w:space="0" w:color="000000"/>
            </w:tcBorders>
            <w:shd w:val="clear" w:color="auto" w:fill="auto"/>
            <w:vAlign w:val="center"/>
          </w:tcPr>
          <w:p w14:paraId="6C35E7D4" w14:textId="77777777" w:rsidR="00E70101" w:rsidRDefault="0060680B">
            <w:pPr>
              <w:widowControl/>
              <w:spacing w:line="240" w:lineRule="auto"/>
              <w:jc w:val="center"/>
              <w:rPr>
                <w:rFonts w:ascii="Arial" w:eastAsia="仿宋_GB2312;仿宋" w:hAnsi="Arial" w:cs="Arial"/>
                <w:szCs w:val="24"/>
              </w:rPr>
            </w:pPr>
            <w:r>
              <w:rPr>
                <w:rFonts w:ascii="Arial" w:eastAsia="仿宋_GB2312;仿宋" w:hAnsi="Arial" w:cs="Arial"/>
                <w:szCs w:val="24"/>
              </w:rPr>
              <w:t>8</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B0BB024" w14:textId="77777777" w:rsidR="00E70101" w:rsidRDefault="0060680B">
            <w:pPr>
              <w:widowControl/>
              <w:spacing w:line="240" w:lineRule="auto"/>
              <w:jc w:val="center"/>
              <w:rPr>
                <w:rFonts w:ascii="Arial" w:eastAsia="仿宋_GB2312;仿宋" w:hAnsi="Arial" w:cs="Arial"/>
                <w:szCs w:val="24"/>
              </w:rPr>
            </w:pPr>
            <w:r>
              <w:rPr>
                <w:rFonts w:ascii="Arial" w:eastAsia="仿宋_GB2312;仿宋" w:hAnsi="Arial" w:cs="Arial"/>
                <w:szCs w:val="24"/>
              </w:rPr>
              <w:t>25</w:t>
            </w:r>
          </w:p>
        </w:tc>
      </w:tr>
      <w:tr w:rsidR="00E70101" w14:paraId="44C7004B" w14:textId="77777777">
        <w:trPr>
          <w:trHeight w:val="425"/>
          <w:jc w:val="center"/>
        </w:trPr>
        <w:tc>
          <w:tcPr>
            <w:tcW w:w="1362" w:type="dxa"/>
            <w:vMerge/>
            <w:tcBorders>
              <w:top w:val="single" w:sz="4" w:space="0" w:color="000000"/>
              <w:left w:val="single" w:sz="4" w:space="0" w:color="000000"/>
              <w:bottom w:val="single" w:sz="4" w:space="0" w:color="000000"/>
            </w:tcBorders>
            <w:shd w:val="clear" w:color="auto" w:fill="auto"/>
            <w:vAlign w:val="center"/>
          </w:tcPr>
          <w:p w14:paraId="26A296C5" w14:textId="77777777" w:rsidR="00E70101" w:rsidRDefault="00E70101">
            <w:pPr>
              <w:widowControl/>
              <w:snapToGrid w:val="0"/>
              <w:spacing w:line="240" w:lineRule="auto"/>
              <w:rPr>
                <w:rFonts w:ascii="Arial" w:eastAsia="仿宋_GB2312;仿宋" w:hAnsi="Arial" w:cs="Arial"/>
                <w:sz w:val="22"/>
                <w:szCs w:val="22"/>
              </w:rPr>
            </w:pPr>
          </w:p>
        </w:tc>
        <w:tc>
          <w:tcPr>
            <w:tcW w:w="895" w:type="dxa"/>
            <w:vMerge/>
            <w:tcBorders>
              <w:top w:val="single" w:sz="4" w:space="0" w:color="000000"/>
              <w:left w:val="single" w:sz="4" w:space="0" w:color="000000"/>
              <w:bottom w:val="single" w:sz="4" w:space="0" w:color="000000"/>
            </w:tcBorders>
            <w:shd w:val="clear" w:color="auto" w:fill="auto"/>
            <w:vAlign w:val="center"/>
          </w:tcPr>
          <w:p w14:paraId="467ED025" w14:textId="77777777" w:rsidR="00E70101" w:rsidRDefault="00E70101">
            <w:pPr>
              <w:widowControl/>
              <w:snapToGrid w:val="0"/>
              <w:spacing w:line="240" w:lineRule="auto"/>
              <w:rPr>
                <w:rFonts w:ascii="Arial" w:eastAsia="仿宋_GB2312;仿宋" w:hAnsi="Arial" w:cs="Arial"/>
                <w:sz w:val="22"/>
                <w:szCs w:val="22"/>
              </w:rPr>
            </w:pPr>
          </w:p>
        </w:tc>
        <w:tc>
          <w:tcPr>
            <w:tcW w:w="5741" w:type="dxa"/>
            <w:tcBorders>
              <w:top w:val="single" w:sz="4" w:space="0" w:color="000000"/>
              <w:left w:val="single" w:sz="4" w:space="0" w:color="000000"/>
              <w:bottom w:val="single" w:sz="4" w:space="0" w:color="000000"/>
            </w:tcBorders>
            <w:shd w:val="clear" w:color="auto" w:fill="auto"/>
            <w:vAlign w:val="center"/>
          </w:tcPr>
          <w:p w14:paraId="0A03E759" w14:textId="77777777" w:rsidR="00E70101" w:rsidRDefault="0060680B">
            <w:pPr>
              <w:spacing w:line="240" w:lineRule="auto"/>
              <w:rPr>
                <w:rFonts w:ascii="Arial" w:eastAsia="仿宋_GB2312;仿宋" w:hAnsi="Arial" w:cs="Arial"/>
                <w:sz w:val="22"/>
                <w:szCs w:val="22"/>
              </w:rPr>
            </w:pPr>
            <w:r>
              <w:rPr>
                <w:rFonts w:ascii="Arial" w:eastAsia="仿宋_GB2312;仿宋" w:hAnsi="Arial" w:cs="Arial"/>
                <w:sz w:val="22"/>
                <w:szCs w:val="22"/>
              </w:rPr>
              <w:t>2</w:t>
            </w:r>
            <w:r>
              <w:rPr>
                <w:rFonts w:ascii="Arial" w:eastAsia="仿宋_GB2312;仿宋" w:hAnsi="Arial" w:cs="Arial"/>
                <w:sz w:val="22"/>
                <w:szCs w:val="22"/>
              </w:rPr>
              <w:t>、咨询结果与同类用途房地产价格水平基本一致，且适当考虑了房地产市场发展趋势，取</w:t>
            </w:r>
            <w:r>
              <w:rPr>
                <w:rFonts w:ascii="Arial" w:eastAsia="仿宋_GB2312;仿宋" w:hAnsi="Arial" w:cs="Arial"/>
                <w:sz w:val="22"/>
                <w:szCs w:val="22"/>
              </w:rPr>
              <w:t>10</w:t>
            </w:r>
            <w:r>
              <w:rPr>
                <w:rFonts w:ascii="Arial" w:eastAsia="仿宋_GB2312;仿宋" w:hAnsi="Arial" w:cs="Arial"/>
                <w:sz w:val="22"/>
                <w:szCs w:val="22"/>
              </w:rPr>
              <w:t>～</w:t>
            </w:r>
            <w:r>
              <w:rPr>
                <w:rFonts w:ascii="Arial" w:eastAsia="仿宋_GB2312;仿宋" w:hAnsi="Arial" w:cs="Arial"/>
                <w:sz w:val="22"/>
                <w:szCs w:val="22"/>
              </w:rPr>
              <w:t>14</w:t>
            </w:r>
            <w:r>
              <w:rPr>
                <w:rFonts w:ascii="Arial" w:eastAsia="仿宋_GB2312;仿宋" w:hAnsi="Arial" w:cs="Arial"/>
                <w:sz w:val="22"/>
                <w:szCs w:val="22"/>
              </w:rPr>
              <w:t>分；</w:t>
            </w:r>
          </w:p>
        </w:tc>
        <w:tc>
          <w:tcPr>
            <w:tcW w:w="1134" w:type="dxa"/>
            <w:vMerge/>
            <w:tcBorders>
              <w:top w:val="single" w:sz="4" w:space="0" w:color="000000"/>
              <w:left w:val="single" w:sz="4" w:space="0" w:color="000000"/>
              <w:bottom w:val="single" w:sz="4" w:space="0" w:color="000000"/>
            </w:tcBorders>
            <w:shd w:val="clear" w:color="auto" w:fill="auto"/>
            <w:vAlign w:val="center"/>
          </w:tcPr>
          <w:p w14:paraId="52CEF4E2" w14:textId="77777777" w:rsidR="00E70101" w:rsidRDefault="00E70101">
            <w:pPr>
              <w:widowControl/>
              <w:snapToGrid w:val="0"/>
              <w:spacing w:line="240" w:lineRule="auto"/>
              <w:rPr>
                <w:rFonts w:ascii="Arial" w:eastAsia="仿宋_GB2312;仿宋" w:hAnsi="Arial" w:cs="Arial"/>
                <w:sz w:val="22"/>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955ABD" w14:textId="77777777" w:rsidR="00E70101" w:rsidRDefault="00E70101">
            <w:pPr>
              <w:widowControl/>
              <w:snapToGrid w:val="0"/>
              <w:spacing w:line="240" w:lineRule="auto"/>
              <w:rPr>
                <w:rFonts w:ascii="Arial" w:eastAsia="仿宋_GB2312;仿宋" w:hAnsi="Arial" w:cs="Arial"/>
                <w:szCs w:val="24"/>
              </w:rPr>
            </w:pPr>
          </w:p>
        </w:tc>
      </w:tr>
      <w:tr w:rsidR="00E70101" w14:paraId="545BB24C" w14:textId="77777777">
        <w:trPr>
          <w:trHeight w:val="425"/>
          <w:jc w:val="center"/>
        </w:trPr>
        <w:tc>
          <w:tcPr>
            <w:tcW w:w="1362" w:type="dxa"/>
            <w:vMerge/>
            <w:tcBorders>
              <w:top w:val="single" w:sz="4" w:space="0" w:color="000000"/>
              <w:left w:val="single" w:sz="4" w:space="0" w:color="000000"/>
              <w:bottom w:val="single" w:sz="4" w:space="0" w:color="000000"/>
            </w:tcBorders>
            <w:shd w:val="clear" w:color="auto" w:fill="auto"/>
            <w:vAlign w:val="center"/>
          </w:tcPr>
          <w:p w14:paraId="21630BD9" w14:textId="77777777" w:rsidR="00E70101" w:rsidRDefault="00E70101">
            <w:pPr>
              <w:widowControl/>
              <w:snapToGrid w:val="0"/>
              <w:spacing w:line="240" w:lineRule="auto"/>
              <w:rPr>
                <w:rFonts w:ascii="Arial" w:eastAsia="仿宋_GB2312;仿宋" w:hAnsi="Arial" w:cs="Arial"/>
                <w:sz w:val="22"/>
                <w:szCs w:val="22"/>
              </w:rPr>
            </w:pPr>
          </w:p>
        </w:tc>
        <w:tc>
          <w:tcPr>
            <w:tcW w:w="895" w:type="dxa"/>
            <w:vMerge/>
            <w:tcBorders>
              <w:top w:val="single" w:sz="4" w:space="0" w:color="000000"/>
              <w:left w:val="single" w:sz="4" w:space="0" w:color="000000"/>
              <w:bottom w:val="single" w:sz="4" w:space="0" w:color="000000"/>
            </w:tcBorders>
            <w:shd w:val="clear" w:color="auto" w:fill="auto"/>
            <w:vAlign w:val="center"/>
          </w:tcPr>
          <w:p w14:paraId="6FCA4C0F" w14:textId="77777777" w:rsidR="00E70101" w:rsidRDefault="00E70101">
            <w:pPr>
              <w:widowControl/>
              <w:snapToGrid w:val="0"/>
              <w:spacing w:line="240" w:lineRule="auto"/>
              <w:rPr>
                <w:rFonts w:ascii="Arial" w:eastAsia="仿宋_GB2312;仿宋" w:hAnsi="Arial" w:cs="Arial"/>
                <w:sz w:val="22"/>
                <w:szCs w:val="22"/>
              </w:rPr>
            </w:pPr>
          </w:p>
        </w:tc>
        <w:tc>
          <w:tcPr>
            <w:tcW w:w="5741" w:type="dxa"/>
            <w:tcBorders>
              <w:top w:val="single" w:sz="4" w:space="0" w:color="000000"/>
              <w:left w:val="single" w:sz="4" w:space="0" w:color="000000"/>
              <w:bottom w:val="single" w:sz="4" w:space="0" w:color="000000"/>
            </w:tcBorders>
            <w:shd w:val="clear" w:color="auto" w:fill="auto"/>
            <w:vAlign w:val="center"/>
          </w:tcPr>
          <w:p w14:paraId="3ED4DF8C" w14:textId="77777777" w:rsidR="00E70101" w:rsidRDefault="0060680B">
            <w:pPr>
              <w:spacing w:line="240" w:lineRule="auto"/>
              <w:rPr>
                <w:rFonts w:ascii="Arial" w:eastAsia="仿宋_GB2312;仿宋" w:hAnsi="Arial" w:cs="Arial"/>
                <w:sz w:val="22"/>
                <w:szCs w:val="22"/>
              </w:rPr>
            </w:pPr>
            <w:r>
              <w:rPr>
                <w:rFonts w:ascii="Arial" w:eastAsia="仿宋_GB2312;仿宋" w:hAnsi="Arial" w:cs="Arial"/>
                <w:sz w:val="22"/>
                <w:szCs w:val="22"/>
              </w:rPr>
              <w:t>3</w:t>
            </w:r>
            <w:r>
              <w:rPr>
                <w:rFonts w:ascii="Arial" w:eastAsia="仿宋_GB2312;仿宋" w:hAnsi="Arial" w:cs="Arial"/>
                <w:sz w:val="22"/>
                <w:szCs w:val="22"/>
              </w:rPr>
              <w:t>、咨询结果与同类用途房地产价格水平有一定差距，且适当考虑房地产市场发展趋势，取</w:t>
            </w:r>
            <w:r>
              <w:rPr>
                <w:rFonts w:ascii="Arial" w:eastAsia="仿宋_GB2312;仿宋" w:hAnsi="Arial" w:cs="Arial"/>
                <w:sz w:val="22"/>
                <w:szCs w:val="22"/>
              </w:rPr>
              <w:t>0</w:t>
            </w:r>
            <w:r>
              <w:rPr>
                <w:rFonts w:ascii="Arial" w:eastAsia="仿宋_GB2312;仿宋" w:hAnsi="Arial" w:cs="Arial"/>
                <w:sz w:val="22"/>
                <w:szCs w:val="22"/>
              </w:rPr>
              <w:t>～</w:t>
            </w:r>
            <w:r>
              <w:rPr>
                <w:rFonts w:ascii="Arial" w:eastAsia="仿宋_GB2312;仿宋" w:hAnsi="Arial" w:cs="Arial"/>
                <w:sz w:val="22"/>
                <w:szCs w:val="22"/>
              </w:rPr>
              <w:t>9</w:t>
            </w:r>
            <w:r>
              <w:rPr>
                <w:rFonts w:ascii="Arial" w:eastAsia="仿宋_GB2312;仿宋" w:hAnsi="Arial" w:cs="Arial"/>
                <w:sz w:val="22"/>
                <w:szCs w:val="22"/>
              </w:rPr>
              <w:t>分；</w:t>
            </w:r>
          </w:p>
        </w:tc>
        <w:tc>
          <w:tcPr>
            <w:tcW w:w="1134" w:type="dxa"/>
            <w:vMerge/>
            <w:tcBorders>
              <w:top w:val="single" w:sz="4" w:space="0" w:color="000000"/>
              <w:left w:val="single" w:sz="4" w:space="0" w:color="000000"/>
              <w:bottom w:val="single" w:sz="4" w:space="0" w:color="000000"/>
            </w:tcBorders>
            <w:shd w:val="clear" w:color="auto" w:fill="auto"/>
            <w:vAlign w:val="center"/>
          </w:tcPr>
          <w:p w14:paraId="0790E0B2" w14:textId="77777777" w:rsidR="00E70101" w:rsidRDefault="00E70101">
            <w:pPr>
              <w:widowControl/>
              <w:snapToGrid w:val="0"/>
              <w:spacing w:line="240" w:lineRule="auto"/>
              <w:rPr>
                <w:rFonts w:ascii="Arial" w:eastAsia="仿宋_GB2312;仿宋" w:hAnsi="Arial" w:cs="Arial"/>
                <w:sz w:val="22"/>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08B02E" w14:textId="77777777" w:rsidR="00E70101" w:rsidRDefault="00E70101">
            <w:pPr>
              <w:widowControl/>
              <w:snapToGrid w:val="0"/>
              <w:spacing w:line="240" w:lineRule="auto"/>
              <w:rPr>
                <w:rFonts w:ascii="Arial" w:eastAsia="仿宋_GB2312;仿宋" w:hAnsi="Arial" w:cs="Arial"/>
                <w:szCs w:val="24"/>
              </w:rPr>
            </w:pPr>
          </w:p>
        </w:tc>
      </w:tr>
      <w:tr w:rsidR="00E70101" w14:paraId="7DF29B42" w14:textId="77777777">
        <w:trPr>
          <w:trHeight w:val="425"/>
          <w:jc w:val="center"/>
        </w:trPr>
        <w:tc>
          <w:tcPr>
            <w:tcW w:w="7998" w:type="dxa"/>
            <w:gridSpan w:val="3"/>
            <w:tcBorders>
              <w:top w:val="single" w:sz="4" w:space="0" w:color="000000"/>
              <w:left w:val="single" w:sz="4" w:space="0" w:color="000000"/>
              <w:bottom w:val="single" w:sz="4" w:space="0" w:color="000000"/>
            </w:tcBorders>
            <w:shd w:val="clear" w:color="auto" w:fill="auto"/>
            <w:vAlign w:val="center"/>
          </w:tcPr>
          <w:p w14:paraId="5CD3E26D" w14:textId="77777777" w:rsidR="00E70101" w:rsidRDefault="0060680B">
            <w:pPr>
              <w:widowControl/>
              <w:spacing w:line="240" w:lineRule="auto"/>
              <w:jc w:val="center"/>
              <w:rPr>
                <w:rFonts w:ascii="Arial" w:eastAsia="仿宋_GB2312;仿宋" w:hAnsi="Arial" w:cs="Arial"/>
                <w:b/>
                <w:bCs/>
                <w:sz w:val="22"/>
                <w:szCs w:val="22"/>
              </w:rPr>
            </w:pPr>
            <w:r>
              <w:rPr>
                <w:rFonts w:ascii="Arial" w:eastAsia="仿宋_GB2312;仿宋" w:hAnsi="Arial" w:cs="Arial"/>
                <w:b/>
                <w:bCs/>
                <w:sz w:val="22"/>
                <w:szCs w:val="22"/>
              </w:rPr>
              <w:t>分值</w:t>
            </w:r>
          </w:p>
        </w:tc>
        <w:tc>
          <w:tcPr>
            <w:tcW w:w="1134" w:type="dxa"/>
            <w:tcBorders>
              <w:top w:val="single" w:sz="4" w:space="0" w:color="000000"/>
              <w:left w:val="single" w:sz="4" w:space="0" w:color="000000"/>
              <w:bottom w:val="single" w:sz="4" w:space="0" w:color="000000"/>
            </w:tcBorders>
            <w:shd w:val="clear" w:color="auto" w:fill="auto"/>
            <w:vAlign w:val="center"/>
          </w:tcPr>
          <w:p w14:paraId="47A2611D"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36</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4767E"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84</w:t>
            </w:r>
          </w:p>
        </w:tc>
      </w:tr>
      <w:tr w:rsidR="00E70101" w14:paraId="5B246524" w14:textId="77777777">
        <w:trPr>
          <w:trHeight w:val="425"/>
          <w:jc w:val="center"/>
        </w:trPr>
        <w:tc>
          <w:tcPr>
            <w:tcW w:w="7998" w:type="dxa"/>
            <w:gridSpan w:val="3"/>
            <w:tcBorders>
              <w:top w:val="single" w:sz="4" w:space="0" w:color="000000"/>
              <w:left w:val="single" w:sz="4" w:space="0" w:color="000000"/>
              <w:bottom w:val="single" w:sz="4" w:space="0" w:color="000000"/>
            </w:tcBorders>
            <w:shd w:val="clear" w:color="auto" w:fill="auto"/>
            <w:vAlign w:val="center"/>
          </w:tcPr>
          <w:p w14:paraId="5F3B2ADC" w14:textId="77777777" w:rsidR="00E70101" w:rsidRDefault="0060680B">
            <w:pPr>
              <w:widowControl/>
              <w:spacing w:line="240" w:lineRule="auto"/>
              <w:jc w:val="center"/>
              <w:rPr>
                <w:rFonts w:ascii="Arial" w:eastAsia="仿宋_GB2312;仿宋" w:hAnsi="Arial" w:cs="Arial"/>
                <w:b/>
                <w:bCs/>
                <w:sz w:val="22"/>
                <w:szCs w:val="22"/>
              </w:rPr>
            </w:pPr>
            <w:r>
              <w:rPr>
                <w:rFonts w:ascii="Arial" w:eastAsia="仿宋_GB2312;仿宋" w:hAnsi="Arial" w:cs="Arial"/>
                <w:b/>
                <w:bCs/>
                <w:sz w:val="22"/>
                <w:szCs w:val="22"/>
              </w:rPr>
              <w:t>权重</w:t>
            </w:r>
          </w:p>
        </w:tc>
        <w:tc>
          <w:tcPr>
            <w:tcW w:w="1134" w:type="dxa"/>
            <w:tcBorders>
              <w:top w:val="single" w:sz="4" w:space="0" w:color="000000"/>
              <w:left w:val="single" w:sz="4" w:space="0" w:color="000000"/>
              <w:bottom w:val="single" w:sz="4" w:space="0" w:color="000000"/>
            </w:tcBorders>
            <w:shd w:val="clear" w:color="auto" w:fill="auto"/>
            <w:vAlign w:val="center"/>
          </w:tcPr>
          <w:p w14:paraId="7BE82BBC"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30%</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2C821"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70%</w:t>
            </w:r>
          </w:p>
        </w:tc>
      </w:tr>
    </w:tbl>
    <w:p w14:paraId="1E48F70A" w14:textId="77777777" w:rsidR="00E70101" w:rsidRDefault="0060680B">
      <w:pPr>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成本逼近法是根据贡献原则，是一个土地取得成本、土地开发成本及其他费用累加过程，其中土地取得成本是最重要部分，根据评估指引，本次评估采用市场比较法确定土地取得成本，这些案例数据是项目整体征地拆迁安置补偿成本分摊在项目总用地面积上、且结案通过审定时间是</w:t>
      </w:r>
      <w:r>
        <w:rPr>
          <w:rFonts w:ascii="Arial" w:eastAsia="仿宋_GB2312;仿宋" w:hAnsi="Arial" w:cs="Arial"/>
          <w:bCs/>
          <w:sz w:val="28"/>
          <w:szCs w:val="28"/>
        </w:rPr>
        <w:t>2020-2023</w:t>
      </w:r>
      <w:r>
        <w:rPr>
          <w:rFonts w:ascii="Arial" w:eastAsia="仿宋_GB2312;仿宋" w:hAnsi="Arial" w:cs="Arial"/>
          <w:bCs/>
          <w:sz w:val="28"/>
          <w:szCs w:val="28"/>
        </w:rPr>
        <w:t>年，和一级土地开发发生时间有一定出入。</w:t>
      </w:r>
    </w:p>
    <w:p w14:paraId="7039EFC1" w14:textId="77777777" w:rsidR="00E70101" w:rsidRDefault="0060680B">
      <w:pPr>
        <w:spacing w:line="360" w:lineRule="auto"/>
        <w:ind w:firstLine="560"/>
        <w:jc w:val="both"/>
      </w:pPr>
      <w:r>
        <w:rPr>
          <w:rFonts w:ascii="Arial" w:eastAsia="仿宋_GB2312;仿宋" w:hAnsi="Arial" w:cs="Arial"/>
          <w:bCs/>
          <w:sz w:val="28"/>
          <w:szCs w:val="28"/>
        </w:rPr>
        <w:t>市场比较法采用的是和咨询对象类似评估目的、类似项目的纯土地收购成本，尽管发生在</w:t>
      </w:r>
      <w:r>
        <w:rPr>
          <w:rFonts w:ascii="Arial" w:eastAsia="仿宋_GB2312;仿宋" w:hAnsi="Arial" w:cs="Arial"/>
          <w:bCs/>
          <w:sz w:val="28"/>
          <w:szCs w:val="28"/>
        </w:rPr>
        <w:t>2018-2019</w:t>
      </w:r>
      <w:r>
        <w:rPr>
          <w:rFonts w:ascii="Arial" w:eastAsia="仿宋_GB2312;仿宋" w:hAnsi="Arial" w:cs="Arial"/>
          <w:bCs/>
          <w:sz w:val="28"/>
          <w:szCs w:val="28"/>
        </w:rPr>
        <w:t>年，且</w:t>
      </w:r>
      <w:r>
        <w:rPr>
          <w:rFonts w:ascii="Arial" w:eastAsia="仿宋_GB2312;仿宋" w:hAnsi="Arial" w:cs="Arial"/>
          <w:bCs/>
          <w:sz w:val="28"/>
          <w:szCs w:val="28"/>
        </w:rPr>
        <w:t>2020-2023</w:t>
      </w:r>
      <w:r>
        <w:rPr>
          <w:rFonts w:ascii="Arial" w:eastAsia="仿宋_GB2312;仿宋" w:hAnsi="Arial" w:cs="Arial"/>
          <w:bCs/>
          <w:sz w:val="28"/>
          <w:szCs w:val="28"/>
        </w:rPr>
        <w:t>年类似项目鲜有发生，但是市场比较法案例数据比成本逼近法更有针对性。</w:t>
      </w:r>
    </w:p>
    <w:p w14:paraId="79AFB6FF" w14:textId="77777777" w:rsidR="00E70101" w:rsidRDefault="0060680B">
      <w:pPr>
        <w:spacing w:line="360" w:lineRule="auto"/>
        <w:ind w:firstLine="560"/>
        <w:jc w:val="both"/>
        <w:rPr>
          <w:rFonts w:cs="Arial"/>
        </w:rPr>
      </w:pPr>
      <w:r>
        <w:rPr>
          <w:rFonts w:ascii="Arial" w:eastAsia="仿宋_GB2312;仿宋" w:hAnsi="Arial" w:cs="Arial"/>
          <w:bCs/>
          <w:sz w:val="28"/>
          <w:szCs w:val="28"/>
        </w:rPr>
        <w:t>综合分析以上两种方法测算的结果，采用加权算术平均法求取咨询对象的土地价格。详见下表：</w:t>
      </w:r>
    </w:p>
    <w:tbl>
      <w:tblPr>
        <w:tblW w:w="5000" w:type="pct"/>
        <w:tblInd w:w="-113" w:type="dxa"/>
        <w:tblLook w:val="0000" w:firstRow="0" w:lastRow="0" w:firstColumn="0" w:lastColumn="0" w:noHBand="0" w:noVBand="0"/>
      </w:tblPr>
      <w:tblGrid>
        <w:gridCol w:w="2748"/>
        <w:gridCol w:w="2888"/>
        <w:gridCol w:w="1658"/>
        <w:gridCol w:w="1994"/>
      </w:tblGrid>
      <w:tr w:rsidR="00E70101" w14:paraId="6F7F267D" w14:textId="77777777">
        <w:trPr>
          <w:trHeight w:val="397"/>
        </w:trPr>
        <w:tc>
          <w:tcPr>
            <w:tcW w:w="2752" w:type="dxa"/>
            <w:tcBorders>
              <w:top w:val="single" w:sz="4" w:space="0" w:color="000000"/>
              <w:left w:val="single" w:sz="4" w:space="0" w:color="000000"/>
              <w:bottom w:val="single" w:sz="4" w:space="0" w:color="000000"/>
            </w:tcBorders>
            <w:shd w:val="clear" w:color="auto" w:fill="auto"/>
            <w:vAlign w:val="center"/>
          </w:tcPr>
          <w:p w14:paraId="650C4673" w14:textId="77777777" w:rsidR="00E70101" w:rsidRDefault="0060680B">
            <w:pPr>
              <w:widowControl/>
              <w:jc w:val="center"/>
              <w:rPr>
                <w:rFonts w:ascii="仿宋_GB2312;仿宋" w:eastAsia="仿宋_GB2312;仿宋" w:hAnsi="仿宋_GB2312;仿宋" w:cs="Calibri"/>
                <w:sz w:val="21"/>
                <w:szCs w:val="21"/>
              </w:rPr>
            </w:pPr>
            <w:r>
              <w:rPr>
                <w:rFonts w:ascii="仿宋_GB2312;仿宋" w:eastAsia="仿宋_GB2312;仿宋" w:hAnsi="仿宋_GB2312;仿宋" w:cs="Calibri"/>
                <w:sz w:val="21"/>
                <w:szCs w:val="21"/>
              </w:rPr>
              <w:t>咨询方法</w:t>
            </w:r>
          </w:p>
        </w:tc>
        <w:tc>
          <w:tcPr>
            <w:tcW w:w="2891" w:type="dxa"/>
            <w:tcBorders>
              <w:top w:val="single" w:sz="4" w:space="0" w:color="000000"/>
              <w:left w:val="single" w:sz="4" w:space="0" w:color="000000"/>
              <w:bottom w:val="single" w:sz="4" w:space="0" w:color="000000"/>
            </w:tcBorders>
            <w:shd w:val="clear" w:color="auto" w:fill="auto"/>
            <w:vAlign w:val="center"/>
          </w:tcPr>
          <w:p w14:paraId="22F7A6AF" w14:textId="77777777" w:rsidR="00E70101" w:rsidRDefault="0060680B">
            <w:pPr>
              <w:widowControl/>
              <w:spacing w:line="240" w:lineRule="auto"/>
              <w:jc w:val="center"/>
              <w:rPr>
                <w:rFonts w:ascii="仿宋_GB2312;仿宋" w:eastAsia="仿宋_GB2312;仿宋" w:hAnsi="仿宋_GB2312;仿宋" w:cs="Calibri"/>
                <w:sz w:val="21"/>
                <w:szCs w:val="21"/>
              </w:rPr>
            </w:pPr>
            <w:r>
              <w:rPr>
                <w:rFonts w:ascii="仿宋_GB2312;仿宋" w:eastAsia="仿宋_GB2312;仿宋" w:hAnsi="仿宋_GB2312;仿宋" w:cs="Calibri"/>
                <w:sz w:val="21"/>
                <w:szCs w:val="21"/>
              </w:rPr>
              <w:t>地面土地补偿费</w:t>
            </w:r>
          </w:p>
          <w:p w14:paraId="11C2598D" w14:textId="77777777" w:rsidR="00E70101" w:rsidRDefault="0060680B">
            <w:pPr>
              <w:widowControl/>
              <w:jc w:val="center"/>
              <w:rPr>
                <w:rFonts w:ascii="仿宋_GB2312;仿宋" w:eastAsia="仿宋_GB2312;仿宋" w:hAnsi="仿宋_GB2312;仿宋" w:cs="Calibri"/>
                <w:sz w:val="21"/>
                <w:szCs w:val="21"/>
              </w:rPr>
            </w:pPr>
            <w:r>
              <w:rPr>
                <w:rFonts w:ascii="仿宋_GB2312;仿宋" w:eastAsia="仿宋_GB2312;仿宋" w:hAnsi="仿宋_GB2312;仿宋" w:cs="Calibri"/>
                <w:sz w:val="21"/>
                <w:szCs w:val="21"/>
              </w:rPr>
              <w:t>（元/平方米）</w:t>
            </w:r>
          </w:p>
        </w:tc>
        <w:tc>
          <w:tcPr>
            <w:tcW w:w="1659" w:type="dxa"/>
            <w:tcBorders>
              <w:top w:val="single" w:sz="4" w:space="0" w:color="000000"/>
              <w:left w:val="single" w:sz="4" w:space="0" w:color="000000"/>
              <w:bottom w:val="single" w:sz="4" w:space="0" w:color="000000"/>
            </w:tcBorders>
            <w:shd w:val="clear" w:color="auto" w:fill="auto"/>
            <w:vAlign w:val="center"/>
          </w:tcPr>
          <w:p w14:paraId="67F21EC2" w14:textId="77777777" w:rsidR="00E70101" w:rsidRDefault="0060680B">
            <w:pPr>
              <w:widowControl/>
              <w:jc w:val="center"/>
              <w:rPr>
                <w:rFonts w:ascii="仿宋_GB2312;仿宋" w:eastAsia="仿宋_GB2312;仿宋" w:hAnsi="仿宋_GB2312;仿宋" w:cs="Calibri"/>
                <w:sz w:val="21"/>
                <w:szCs w:val="21"/>
              </w:rPr>
            </w:pPr>
            <w:r>
              <w:rPr>
                <w:rFonts w:ascii="仿宋_GB2312;仿宋" w:eastAsia="仿宋_GB2312;仿宋" w:hAnsi="仿宋_GB2312;仿宋" w:cs="Calibri"/>
                <w:sz w:val="21"/>
                <w:szCs w:val="21"/>
              </w:rPr>
              <w:t>权重</w:t>
            </w:r>
          </w:p>
        </w:tc>
        <w:tc>
          <w:tcPr>
            <w:tcW w:w="1996" w:type="dxa"/>
            <w:tcBorders>
              <w:top w:val="single" w:sz="4" w:space="0" w:color="000000"/>
              <w:left w:val="single" w:sz="4" w:space="0" w:color="000000"/>
              <w:bottom w:val="single" w:sz="4" w:space="0" w:color="000000"/>
              <w:right w:val="single" w:sz="4" w:space="0" w:color="000000"/>
            </w:tcBorders>
            <w:shd w:val="clear" w:color="auto" w:fill="auto"/>
          </w:tcPr>
          <w:p w14:paraId="4E92DC95" w14:textId="77777777" w:rsidR="00E70101" w:rsidRDefault="0060680B">
            <w:pPr>
              <w:widowControl/>
              <w:spacing w:line="240" w:lineRule="auto"/>
              <w:jc w:val="center"/>
            </w:pPr>
            <w:r>
              <w:rPr>
                <w:rFonts w:ascii="仿宋_GB2312;仿宋" w:eastAsia="仿宋_GB2312;仿宋" w:hAnsi="仿宋_GB2312;仿宋" w:cs="Calibri"/>
                <w:sz w:val="21"/>
                <w:szCs w:val="21"/>
              </w:rPr>
              <w:t>土地评估总额</w:t>
            </w:r>
          </w:p>
          <w:p w14:paraId="73250D61" w14:textId="77777777" w:rsidR="00E70101" w:rsidRDefault="0060680B">
            <w:pPr>
              <w:widowControl/>
              <w:jc w:val="center"/>
              <w:rPr>
                <w:rFonts w:ascii="仿宋_GB2312;仿宋" w:eastAsia="仿宋_GB2312;仿宋" w:hAnsi="仿宋_GB2312;仿宋" w:cs="Calibri"/>
                <w:sz w:val="21"/>
                <w:szCs w:val="21"/>
              </w:rPr>
            </w:pPr>
            <w:r>
              <w:rPr>
                <w:rFonts w:ascii="仿宋_GB2312;仿宋" w:eastAsia="仿宋_GB2312;仿宋" w:hAnsi="仿宋_GB2312;仿宋" w:cs="Calibri"/>
                <w:sz w:val="21"/>
                <w:szCs w:val="21"/>
              </w:rPr>
              <w:t>（万元）</w:t>
            </w:r>
          </w:p>
        </w:tc>
      </w:tr>
      <w:tr w:rsidR="00E70101" w14:paraId="669D4037" w14:textId="77777777">
        <w:trPr>
          <w:trHeight w:val="397"/>
        </w:trPr>
        <w:tc>
          <w:tcPr>
            <w:tcW w:w="2752" w:type="dxa"/>
            <w:tcBorders>
              <w:top w:val="single" w:sz="4" w:space="0" w:color="000000"/>
              <w:left w:val="single" w:sz="4" w:space="0" w:color="000000"/>
              <w:bottom w:val="single" w:sz="4" w:space="0" w:color="000000"/>
            </w:tcBorders>
            <w:shd w:val="clear" w:color="auto" w:fill="auto"/>
            <w:vAlign w:val="center"/>
          </w:tcPr>
          <w:p w14:paraId="7BF48B1C" w14:textId="77777777" w:rsidR="00E70101" w:rsidRDefault="0060680B">
            <w:pPr>
              <w:widowControl/>
              <w:jc w:val="center"/>
              <w:rPr>
                <w:rFonts w:ascii="仿宋_GB2312;仿宋" w:eastAsia="仿宋_GB2312;仿宋" w:hAnsi="仿宋_GB2312;仿宋" w:cs="Calibri"/>
                <w:sz w:val="21"/>
                <w:szCs w:val="21"/>
              </w:rPr>
            </w:pPr>
            <w:r>
              <w:rPr>
                <w:rFonts w:ascii="仿宋_GB2312;仿宋" w:eastAsia="仿宋_GB2312;仿宋" w:hAnsi="仿宋_GB2312;仿宋" w:cs="Calibri"/>
                <w:sz w:val="21"/>
                <w:szCs w:val="21"/>
              </w:rPr>
              <w:t>成本逼近法</w:t>
            </w:r>
          </w:p>
        </w:tc>
        <w:tc>
          <w:tcPr>
            <w:tcW w:w="2891" w:type="dxa"/>
            <w:tcBorders>
              <w:top w:val="single" w:sz="4" w:space="0" w:color="000000"/>
              <w:left w:val="single" w:sz="4" w:space="0" w:color="000000"/>
              <w:bottom w:val="single" w:sz="4" w:space="0" w:color="000000"/>
            </w:tcBorders>
            <w:shd w:val="clear" w:color="auto" w:fill="auto"/>
            <w:vAlign w:val="center"/>
          </w:tcPr>
          <w:p w14:paraId="6F899B31" w14:textId="77777777" w:rsidR="00E70101" w:rsidRDefault="0060680B">
            <w:pPr>
              <w:widowControl/>
              <w:jc w:val="center"/>
              <w:rPr>
                <w:rFonts w:ascii="Arial" w:eastAsia="仿宋_GB2312;仿宋" w:hAnsi="Arial" w:cs="Arial"/>
                <w:sz w:val="21"/>
                <w:szCs w:val="21"/>
              </w:rPr>
            </w:pPr>
            <w:r>
              <w:rPr>
                <w:rFonts w:ascii="Arial" w:eastAsia="仿宋_GB2312;仿宋" w:hAnsi="Arial" w:cs="Arial"/>
                <w:sz w:val="21"/>
                <w:szCs w:val="21"/>
              </w:rPr>
              <w:t>3156</w:t>
            </w:r>
          </w:p>
        </w:tc>
        <w:tc>
          <w:tcPr>
            <w:tcW w:w="1659" w:type="dxa"/>
            <w:tcBorders>
              <w:top w:val="single" w:sz="4" w:space="0" w:color="000000"/>
              <w:left w:val="single" w:sz="4" w:space="0" w:color="000000"/>
              <w:bottom w:val="single" w:sz="4" w:space="0" w:color="000000"/>
            </w:tcBorders>
            <w:shd w:val="clear" w:color="auto" w:fill="auto"/>
            <w:vAlign w:val="center"/>
          </w:tcPr>
          <w:p w14:paraId="0D13A7E8" w14:textId="77777777" w:rsidR="00E70101" w:rsidRDefault="0060680B">
            <w:pPr>
              <w:widowControl/>
              <w:jc w:val="center"/>
              <w:rPr>
                <w:rFonts w:ascii="Arial" w:eastAsia="仿宋_GB2312;仿宋" w:hAnsi="Arial" w:cs="Arial"/>
                <w:sz w:val="21"/>
                <w:szCs w:val="21"/>
              </w:rPr>
            </w:pPr>
            <w:r>
              <w:rPr>
                <w:rFonts w:ascii="Arial" w:eastAsia="仿宋_GB2312;仿宋" w:hAnsi="Arial" w:cs="Arial"/>
                <w:sz w:val="21"/>
                <w:szCs w:val="21"/>
              </w:rPr>
              <w:t>30%</w:t>
            </w:r>
          </w:p>
        </w:tc>
        <w:tc>
          <w:tcPr>
            <w:tcW w:w="1996" w:type="dxa"/>
            <w:tcBorders>
              <w:top w:val="single" w:sz="4" w:space="0" w:color="000000"/>
              <w:left w:val="single" w:sz="4" w:space="0" w:color="000000"/>
              <w:bottom w:val="single" w:sz="4" w:space="0" w:color="000000"/>
              <w:right w:val="single" w:sz="4" w:space="0" w:color="000000"/>
            </w:tcBorders>
            <w:shd w:val="clear" w:color="auto" w:fill="auto"/>
          </w:tcPr>
          <w:p w14:paraId="461D218F" w14:textId="77777777" w:rsidR="00E70101" w:rsidRDefault="0060680B">
            <w:pPr>
              <w:widowControl/>
              <w:jc w:val="center"/>
              <w:rPr>
                <w:rFonts w:ascii="Arial" w:eastAsia="仿宋_GB2312;仿宋" w:hAnsi="Arial" w:cs="Arial"/>
                <w:sz w:val="21"/>
                <w:szCs w:val="21"/>
              </w:rPr>
            </w:pPr>
            <w:r>
              <w:rPr>
                <w:rFonts w:ascii="仿宋_GB2312;仿宋" w:eastAsia="仿宋_GB2312;仿宋" w:hAnsi="仿宋_GB2312;仿宋" w:cs="仿宋_GB2312;仿宋"/>
                <w:sz w:val="21"/>
                <w:szCs w:val="21"/>
              </w:rPr>
              <w:t>——</w:t>
            </w:r>
          </w:p>
        </w:tc>
      </w:tr>
      <w:tr w:rsidR="00E70101" w14:paraId="26671639" w14:textId="77777777">
        <w:trPr>
          <w:trHeight w:val="397"/>
        </w:trPr>
        <w:tc>
          <w:tcPr>
            <w:tcW w:w="2752" w:type="dxa"/>
            <w:tcBorders>
              <w:top w:val="single" w:sz="4" w:space="0" w:color="000000"/>
              <w:left w:val="single" w:sz="4" w:space="0" w:color="000000"/>
              <w:bottom w:val="single" w:sz="4" w:space="0" w:color="000000"/>
            </w:tcBorders>
            <w:shd w:val="clear" w:color="auto" w:fill="auto"/>
            <w:vAlign w:val="center"/>
          </w:tcPr>
          <w:p w14:paraId="39B572F2" w14:textId="77777777" w:rsidR="00E70101" w:rsidRDefault="0060680B">
            <w:pPr>
              <w:widowControl/>
              <w:jc w:val="center"/>
              <w:rPr>
                <w:rFonts w:ascii="仿宋_GB2312;仿宋" w:eastAsia="仿宋_GB2312;仿宋" w:hAnsi="仿宋_GB2312;仿宋" w:cs="Calibri"/>
                <w:sz w:val="21"/>
                <w:szCs w:val="21"/>
              </w:rPr>
            </w:pPr>
            <w:r>
              <w:rPr>
                <w:rFonts w:ascii="仿宋_GB2312;仿宋" w:eastAsia="仿宋_GB2312;仿宋" w:hAnsi="仿宋_GB2312;仿宋" w:cs="Calibri"/>
                <w:sz w:val="21"/>
                <w:szCs w:val="21"/>
              </w:rPr>
              <w:t>市场比较法</w:t>
            </w:r>
          </w:p>
        </w:tc>
        <w:tc>
          <w:tcPr>
            <w:tcW w:w="2891" w:type="dxa"/>
            <w:tcBorders>
              <w:top w:val="single" w:sz="4" w:space="0" w:color="000000"/>
              <w:left w:val="single" w:sz="4" w:space="0" w:color="000000"/>
              <w:bottom w:val="single" w:sz="4" w:space="0" w:color="000000"/>
            </w:tcBorders>
            <w:shd w:val="clear" w:color="auto" w:fill="auto"/>
            <w:vAlign w:val="center"/>
          </w:tcPr>
          <w:p w14:paraId="01077626" w14:textId="77777777" w:rsidR="00E70101" w:rsidRDefault="0060680B">
            <w:pPr>
              <w:widowControl/>
              <w:jc w:val="center"/>
              <w:rPr>
                <w:rFonts w:ascii="Arial" w:eastAsia="仿宋_GB2312;仿宋" w:hAnsi="Arial" w:cs="Arial"/>
                <w:sz w:val="21"/>
                <w:szCs w:val="21"/>
              </w:rPr>
            </w:pPr>
            <w:r>
              <w:rPr>
                <w:rFonts w:ascii="Arial" w:eastAsia="仿宋_GB2312;仿宋" w:hAnsi="Arial" w:cs="Arial"/>
                <w:sz w:val="21"/>
                <w:szCs w:val="21"/>
              </w:rPr>
              <w:t>4686</w:t>
            </w:r>
          </w:p>
        </w:tc>
        <w:tc>
          <w:tcPr>
            <w:tcW w:w="1659" w:type="dxa"/>
            <w:tcBorders>
              <w:top w:val="single" w:sz="4" w:space="0" w:color="000000"/>
              <w:left w:val="single" w:sz="4" w:space="0" w:color="000000"/>
              <w:bottom w:val="single" w:sz="4" w:space="0" w:color="000000"/>
            </w:tcBorders>
            <w:shd w:val="clear" w:color="auto" w:fill="auto"/>
            <w:vAlign w:val="center"/>
          </w:tcPr>
          <w:p w14:paraId="164C472E" w14:textId="77777777" w:rsidR="00E70101" w:rsidRDefault="0060680B">
            <w:pPr>
              <w:widowControl/>
              <w:jc w:val="center"/>
              <w:rPr>
                <w:rFonts w:ascii="Arial" w:eastAsia="仿宋_GB2312;仿宋" w:hAnsi="Arial" w:cs="Arial"/>
                <w:sz w:val="21"/>
                <w:szCs w:val="21"/>
              </w:rPr>
            </w:pPr>
            <w:r>
              <w:rPr>
                <w:rFonts w:ascii="Arial" w:eastAsia="仿宋_GB2312;仿宋" w:hAnsi="Arial" w:cs="Arial"/>
                <w:sz w:val="21"/>
                <w:szCs w:val="21"/>
              </w:rPr>
              <w:t>70%</w:t>
            </w:r>
          </w:p>
        </w:tc>
        <w:tc>
          <w:tcPr>
            <w:tcW w:w="1996" w:type="dxa"/>
            <w:tcBorders>
              <w:top w:val="single" w:sz="4" w:space="0" w:color="000000"/>
              <w:left w:val="single" w:sz="4" w:space="0" w:color="000000"/>
              <w:bottom w:val="single" w:sz="4" w:space="0" w:color="000000"/>
              <w:right w:val="single" w:sz="4" w:space="0" w:color="000000"/>
            </w:tcBorders>
            <w:shd w:val="clear" w:color="auto" w:fill="auto"/>
          </w:tcPr>
          <w:p w14:paraId="07536C1C" w14:textId="77777777" w:rsidR="00E70101" w:rsidRDefault="0060680B">
            <w:pPr>
              <w:widowControl/>
              <w:jc w:val="center"/>
              <w:rPr>
                <w:rFonts w:ascii="Arial" w:eastAsia="仿宋_GB2312;仿宋" w:hAnsi="Arial" w:cs="Arial"/>
                <w:sz w:val="21"/>
                <w:szCs w:val="21"/>
              </w:rPr>
            </w:pPr>
            <w:r>
              <w:rPr>
                <w:rFonts w:ascii="仿宋_GB2312;仿宋" w:eastAsia="仿宋_GB2312;仿宋" w:hAnsi="仿宋_GB2312;仿宋" w:cs="仿宋_GB2312;仿宋"/>
                <w:sz w:val="21"/>
                <w:szCs w:val="21"/>
              </w:rPr>
              <w:t>——</w:t>
            </w:r>
          </w:p>
        </w:tc>
      </w:tr>
      <w:tr w:rsidR="00E70101" w14:paraId="42985D79" w14:textId="77777777">
        <w:trPr>
          <w:trHeight w:val="397"/>
        </w:trPr>
        <w:tc>
          <w:tcPr>
            <w:tcW w:w="2752" w:type="dxa"/>
            <w:tcBorders>
              <w:top w:val="single" w:sz="4" w:space="0" w:color="000000"/>
              <w:left w:val="single" w:sz="4" w:space="0" w:color="000000"/>
              <w:bottom w:val="single" w:sz="4" w:space="0" w:color="000000"/>
            </w:tcBorders>
            <w:shd w:val="clear" w:color="auto" w:fill="auto"/>
            <w:vAlign w:val="center"/>
          </w:tcPr>
          <w:p w14:paraId="5BCC52B3" w14:textId="77777777" w:rsidR="00E70101" w:rsidRDefault="0060680B">
            <w:pPr>
              <w:widowControl/>
              <w:jc w:val="center"/>
              <w:rPr>
                <w:rFonts w:ascii="仿宋_GB2312;仿宋" w:eastAsia="仿宋_GB2312;仿宋" w:hAnsi="仿宋_GB2312;仿宋" w:cs="Calibri"/>
                <w:sz w:val="21"/>
                <w:szCs w:val="21"/>
              </w:rPr>
            </w:pPr>
            <w:r>
              <w:rPr>
                <w:rFonts w:ascii="仿宋_GB2312;仿宋" w:eastAsia="仿宋_GB2312;仿宋" w:hAnsi="仿宋_GB2312;仿宋" w:cs="Calibri"/>
                <w:sz w:val="21"/>
                <w:szCs w:val="21"/>
              </w:rPr>
              <w:t>咨询结果</w:t>
            </w:r>
          </w:p>
        </w:tc>
        <w:tc>
          <w:tcPr>
            <w:tcW w:w="2891" w:type="dxa"/>
            <w:tcBorders>
              <w:top w:val="single" w:sz="4" w:space="0" w:color="000000"/>
              <w:left w:val="single" w:sz="4" w:space="0" w:color="000000"/>
              <w:bottom w:val="single" w:sz="4" w:space="0" w:color="000000"/>
            </w:tcBorders>
            <w:shd w:val="clear" w:color="auto" w:fill="auto"/>
            <w:vAlign w:val="center"/>
          </w:tcPr>
          <w:p w14:paraId="488D71E2" w14:textId="77777777" w:rsidR="00E70101" w:rsidRDefault="0060680B">
            <w:pPr>
              <w:widowControl/>
              <w:jc w:val="center"/>
              <w:rPr>
                <w:rFonts w:ascii="Arial" w:eastAsia="仿宋_GB2312;仿宋" w:hAnsi="Arial" w:cs="Arial"/>
                <w:sz w:val="21"/>
                <w:szCs w:val="21"/>
              </w:rPr>
            </w:pPr>
            <w:r>
              <w:rPr>
                <w:rFonts w:ascii="Arial" w:eastAsia="仿宋_GB2312;仿宋" w:hAnsi="Arial" w:cs="Arial"/>
                <w:sz w:val="21"/>
                <w:szCs w:val="21"/>
              </w:rPr>
              <w:t>4230</w:t>
            </w:r>
          </w:p>
        </w:tc>
        <w:tc>
          <w:tcPr>
            <w:tcW w:w="1659" w:type="dxa"/>
            <w:tcBorders>
              <w:top w:val="single" w:sz="4" w:space="0" w:color="000000"/>
              <w:left w:val="single" w:sz="4" w:space="0" w:color="000000"/>
              <w:bottom w:val="single" w:sz="4" w:space="0" w:color="000000"/>
            </w:tcBorders>
            <w:shd w:val="clear" w:color="auto" w:fill="auto"/>
            <w:vAlign w:val="center"/>
          </w:tcPr>
          <w:p w14:paraId="7556CCF4" w14:textId="77777777" w:rsidR="00E70101" w:rsidRDefault="0060680B">
            <w:pPr>
              <w:widowControl/>
              <w:jc w:val="center"/>
              <w:rPr>
                <w:rFonts w:ascii="Arial" w:eastAsia="仿宋_GB2312;仿宋" w:hAnsi="Arial" w:cs="Arial"/>
                <w:sz w:val="21"/>
                <w:szCs w:val="21"/>
              </w:rPr>
            </w:pPr>
            <w:r>
              <w:rPr>
                <w:rFonts w:ascii="Arial" w:eastAsia="仿宋_GB2312;仿宋" w:hAnsi="Arial" w:cs="Arial"/>
                <w:sz w:val="21"/>
                <w:szCs w:val="21"/>
              </w:rPr>
              <w:t>100%</w:t>
            </w:r>
          </w:p>
        </w:tc>
        <w:tc>
          <w:tcPr>
            <w:tcW w:w="1996" w:type="dxa"/>
            <w:tcBorders>
              <w:top w:val="single" w:sz="4" w:space="0" w:color="000000"/>
              <w:left w:val="single" w:sz="4" w:space="0" w:color="000000"/>
              <w:bottom w:val="single" w:sz="4" w:space="0" w:color="000000"/>
              <w:right w:val="single" w:sz="4" w:space="0" w:color="000000"/>
            </w:tcBorders>
            <w:shd w:val="clear" w:color="auto" w:fill="auto"/>
          </w:tcPr>
          <w:p w14:paraId="1E01B563" w14:textId="77777777" w:rsidR="00E70101" w:rsidRDefault="0060680B">
            <w:pPr>
              <w:widowControl/>
              <w:jc w:val="center"/>
              <w:rPr>
                <w:rFonts w:ascii="Arial" w:eastAsia="仿宋_GB2312;仿宋" w:hAnsi="Arial" w:cs="Arial"/>
                <w:sz w:val="21"/>
                <w:szCs w:val="21"/>
              </w:rPr>
            </w:pPr>
            <w:r>
              <w:rPr>
                <w:rFonts w:ascii="Arial" w:eastAsia="仿宋_GB2312;仿宋" w:hAnsi="Arial" w:cs="Arial"/>
                <w:sz w:val="21"/>
                <w:szCs w:val="21"/>
              </w:rPr>
              <w:t>156654</w:t>
            </w:r>
          </w:p>
        </w:tc>
      </w:tr>
    </w:tbl>
    <w:p w14:paraId="6A46C1DF" w14:textId="77777777" w:rsidR="00E70101" w:rsidRDefault="00E70101">
      <w:pPr>
        <w:spacing w:line="360" w:lineRule="auto"/>
        <w:ind w:firstLine="560"/>
        <w:jc w:val="both"/>
        <w:textAlignment w:val="bottom"/>
        <w:rPr>
          <w:rFonts w:ascii="仿宋_GB2312;仿宋" w:eastAsia="仿宋_GB2312;仿宋" w:hAnsi="仿宋_GB2312;仿宋"/>
          <w:sz w:val="28"/>
        </w:rPr>
      </w:pPr>
    </w:p>
    <w:p w14:paraId="37887CD3" w14:textId="77777777" w:rsidR="00E70101" w:rsidRDefault="00E70101">
      <w:pPr>
        <w:spacing w:line="360" w:lineRule="auto"/>
        <w:jc w:val="both"/>
        <w:rPr>
          <w:rFonts w:ascii="Arial" w:eastAsia="仿宋_GB2312;仿宋" w:hAnsi="Arial" w:cs="Arial"/>
          <w:sz w:val="28"/>
        </w:rPr>
        <w:sectPr w:rsidR="00E70101">
          <w:headerReference w:type="default" r:id="rId73"/>
          <w:footerReference w:type="default" r:id="rId74"/>
          <w:pgSz w:w="11906" w:h="16838"/>
          <w:pgMar w:top="1843" w:right="1304" w:bottom="1134" w:left="1304" w:header="1134" w:footer="907" w:gutter="0"/>
          <w:cols w:space="720"/>
          <w:formProt w:val="0"/>
          <w:docGrid w:linePitch="326"/>
        </w:sectPr>
      </w:pPr>
    </w:p>
    <w:p w14:paraId="0A298B50" w14:textId="77777777" w:rsidR="00E70101" w:rsidRDefault="0060680B">
      <w:pPr>
        <w:tabs>
          <w:tab w:val="center" w:pos="4649"/>
        </w:tabs>
        <w:snapToGrid w:val="0"/>
        <w:spacing w:line="360" w:lineRule="auto"/>
        <w:rPr>
          <w:rFonts w:ascii="Arial" w:eastAsia="仿宋_GB2312;仿宋" w:hAnsi="Arial" w:cs="Arial"/>
          <w:sz w:val="28"/>
          <w:szCs w:val="28"/>
        </w:rPr>
      </w:pPr>
      <w:r>
        <w:rPr>
          <w:rFonts w:ascii="Arial" w:eastAsia="仿宋_GB2312;仿宋" w:hAnsi="Arial" w:cs="Arial"/>
          <w:sz w:val="28"/>
          <w:szCs w:val="28"/>
        </w:rPr>
        <w:t>（七）收购补偿价格咨询结果</w:t>
      </w:r>
      <w:r>
        <w:rPr>
          <w:rFonts w:ascii="Arial" w:eastAsia="仿宋_GB2312;仿宋" w:hAnsi="Arial" w:cs="Arial"/>
          <w:sz w:val="28"/>
          <w:szCs w:val="28"/>
        </w:rPr>
        <w:tab/>
      </w:r>
    </w:p>
    <w:p w14:paraId="76D23BAC" w14:textId="77777777" w:rsidR="00E70101" w:rsidRDefault="0060680B">
      <w:pPr>
        <w:snapToGrid w:val="0"/>
        <w:spacing w:line="360" w:lineRule="auto"/>
        <w:jc w:val="center"/>
        <w:rPr>
          <w:rFonts w:cs="Arial"/>
        </w:rPr>
      </w:pPr>
      <w:r>
        <w:rPr>
          <w:rFonts w:ascii="Arial" w:eastAsia="仿宋_GB2312;仿宋" w:hAnsi="Arial" w:cs="Arial"/>
          <w:b/>
          <w:bCs/>
          <w:sz w:val="28"/>
          <w:szCs w:val="28"/>
        </w:rPr>
        <w:t>收购补偿价格咨询结果</w:t>
      </w:r>
    </w:p>
    <w:tbl>
      <w:tblPr>
        <w:tblW w:w="5000" w:type="pct"/>
        <w:jc w:val="center"/>
        <w:tblLook w:val="0000" w:firstRow="0" w:lastRow="0" w:firstColumn="0" w:lastColumn="0" w:noHBand="0" w:noVBand="0"/>
      </w:tblPr>
      <w:tblGrid>
        <w:gridCol w:w="888"/>
        <w:gridCol w:w="3069"/>
        <w:gridCol w:w="2107"/>
        <w:gridCol w:w="3224"/>
      </w:tblGrid>
      <w:tr w:rsidR="00E70101" w14:paraId="1E19B5F3" w14:textId="77777777">
        <w:trPr>
          <w:trHeight w:val="454"/>
          <w:jc w:val="center"/>
        </w:trPr>
        <w:tc>
          <w:tcPr>
            <w:tcW w:w="889" w:type="dxa"/>
            <w:tcBorders>
              <w:top w:val="single" w:sz="4" w:space="0" w:color="000000"/>
              <w:left w:val="single" w:sz="4" w:space="0" w:color="000000"/>
              <w:bottom w:val="single" w:sz="4" w:space="0" w:color="000000"/>
            </w:tcBorders>
            <w:shd w:val="clear" w:color="auto" w:fill="auto"/>
            <w:vAlign w:val="center"/>
          </w:tcPr>
          <w:p w14:paraId="7A483DDA"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4" w:type="dxa"/>
            <w:tcBorders>
              <w:top w:val="single" w:sz="4" w:space="0" w:color="000000"/>
              <w:left w:val="single" w:sz="4" w:space="0" w:color="000000"/>
              <w:bottom w:val="single" w:sz="4" w:space="0" w:color="000000"/>
            </w:tcBorders>
            <w:shd w:val="clear" w:color="auto" w:fill="auto"/>
            <w:vAlign w:val="center"/>
          </w:tcPr>
          <w:p w14:paraId="4079C483"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2109" w:type="dxa"/>
            <w:tcBorders>
              <w:top w:val="single" w:sz="4" w:space="0" w:color="000000"/>
              <w:left w:val="single" w:sz="4" w:space="0" w:color="000000"/>
              <w:bottom w:val="single" w:sz="4" w:space="0" w:color="000000"/>
            </w:tcBorders>
            <w:shd w:val="clear" w:color="auto" w:fill="auto"/>
            <w:vAlign w:val="center"/>
          </w:tcPr>
          <w:p w14:paraId="1A74BA39"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咨询价格</w:t>
            </w:r>
          </w:p>
          <w:p w14:paraId="0B18CE03"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4107F"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E70101" w14:paraId="08F40B5E" w14:textId="77777777">
        <w:trPr>
          <w:trHeight w:val="454"/>
          <w:jc w:val="center"/>
        </w:trPr>
        <w:tc>
          <w:tcPr>
            <w:tcW w:w="889" w:type="dxa"/>
            <w:tcBorders>
              <w:left w:val="single" w:sz="4" w:space="0" w:color="000000"/>
              <w:bottom w:val="single" w:sz="4" w:space="0" w:color="000000"/>
            </w:tcBorders>
            <w:shd w:val="clear" w:color="auto" w:fill="auto"/>
            <w:vAlign w:val="center"/>
          </w:tcPr>
          <w:p w14:paraId="5B65EEA3"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4" w:type="dxa"/>
            <w:tcBorders>
              <w:left w:val="single" w:sz="4" w:space="0" w:color="000000"/>
              <w:bottom w:val="single" w:sz="4" w:space="0" w:color="000000"/>
            </w:tcBorders>
            <w:shd w:val="clear" w:color="auto" w:fill="auto"/>
            <w:vAlign w:val="center"/>
          </w:tcPr>
          <w:p w14:paraId="7080C85E"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2109" w:type="dxa"/>
            <w:tcBorders>
              <w:left w:val="single" w:sz="4" w:space="0" w:color="000000"/>
              <w:bottom w:val="single" w:sz="4" w:space="0" w:color="000000"/>
            </w:tcBorders>
            <w:shd w:val="clear" w:color="auto" w:fill="auto"/>
            <w:vAlign w:val="center"/>
          </w:tcPr>
          <w:p w14:paraId="1793A03B"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156654</w:t>
            </w:r>
          </w:p>
        </w:tc>
        <w:tc>
          <w:tcPr>
            <w:tcW w:w="3226" w:type="dxa"/>
            <w:tcBorders>
              <w:left w:val="single" w:sz="4" w:space="0" w:color="000000"/>
              <w:bottom w:val="single" w:sz="4" w:space="0" w:color="000000"/>
              <w:right w:val="single" w:sz="4" w:space="0" w:color="000000"/>
            </w:tcBorders>
            <w:shd w:val="clear" w:color="auto" w:fill="auto"/>
            <w:vAlign w:val="center"/>
          </w:tcPr>
          <w:p w14:paraId="1576C86F" w14:textId="77777777" w:rsidR="00E70101" w:rsidRDefault="0060680B">
            <w:pPr>
              <w:spacing w:line="240" w:lineRule="auto"/>
              <w:jc w:val="center"/>
            </w:pPr>
            <w:r>
              <w:rPr>
                <w:rFonts w:ascii="Arial" w:eastAsia="仿宋_GB2312;仿宋" w:hAnsi="Arial" w:cs="Arial"/>
                <w:sz w:val="28"/>
                <w:szCs w:val="28"/>
              </w:rPr>
              <w:t>采用</w:t>
            </w:r>
            <w:r>
              <w:rPr>
                <w:rFonts w:ascii="Arial" w:eastAsia="仿宋_GB2312;仿宋" w:hAnsi="Arial" w:cs="Arial"/>
                <w:kern w:val="2"/>
                <w:sz w:val="28"/>
              </w:rPr>
              <w:t>市场比较法和成本逼近法</w:t>
            </w:r>
            <w:r>
              <w:rPr>
                <w:rFonts w:ascii="Arial" w:eastAsia="仿宋_GB2312;仿宋" w:hAnsi="Arial" w:cs="Arial"/>
                <w:sz w:val="28"/>
                <w:szCs w:val="28"/>
              </w:rPr>
              <w:t>评估测算</w:t>
            </w:r>
          </w:p>
        </w:tc>
      </w:tr>
      <w:tr w:rsidR="00E70101" w14:paraId="1443C5DC" w14:textId="77777777">
        <w:trPr>
          <w:trHeight w:val="454"/>
          <w:jc w:val="center"/>
        </w:trPr>
        <w:tc>
          <w:tcPr>
            <w:tcW w:w="889" w:type="dxa"/>
            <w:tcBorders>
              <w:left w:val="single" w:sz="4" w:space="0" w:color="000000"/>
              <w:bottom w:val="single" w:sz="4" w:space="0" w:color="000000"/>
            </w:tcBorders>
            <w:shd w:val="clear" w:color="auto" w:fill="auto"/>
            <w:vAlign w:val="center"/>
          </w:tcPr>
          <w:p w14:paraId="1564BBBD"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4" w:type="dxa"/>
            <w:tcBorders>
              <w:left w:val="single" w:sz="4" w:space="0" w:color="000000"/>
              <w:bottom w:val="single" w:sz="4" w:space="0" w:color="000000"/>
            </w:tcBorders>
            <w:shd w:val="clear" w:color="auto" w:fill="auto"/>
            <w:vAlign w:val="center"/>
          </w:tcPr>
          <w:p w14:paraId="54830A0A"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2109" w:type="dxa"/>
            <w:tcBorders>
              <w:left w:val="single" w:sz="4" w:space="0" w:color="000000"/>
              <w:bottom w:val="single" w:sz="4" w:space="0" w:color="000000"/>
            </w:tcBorders>
            <w:shd w:val="clear" w:color="auto" w:fill="auto"/>
            <w:vAlign w:val="center"/>
          </w:tcPr>
          <w:p w14:paraId="42250D4E"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227C43DA"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16A5E908" w14:textId="77777777">
        <w:trPr>
          <w:trHeight w:val="454"/>
          <w:jc w:val="center"/>
        </w:trPr>
        <w:tc>
          <w:tcPr>
            <w:tcW w:w="889" w:type="dxa"/>
            <w:tcBorders>
              <w:left w:val="single" w:sz="4" w:space="0" w:color="000000"/>
              <w:bottom w:val="single" w:sz="4" w:space="0" w:color="000000"/>
            </w:tcBorders>
            <w:shd w:val="clear" w:color="auto" w:fill="auto"/>
            <w:vAlign w:val="center"/>
          </w:tcPr>
          <w:p w14:paraId="070A3D3A"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4" w:type="dxa"/>
            <w:tcBorders>
              <w:left w:val="single" w:sz="4" w:space="0" w:color="000000"/>
              <w:bottom w:val="single" w:sz="4" w:space="0" w:color="000000"/>
            </w:tcBorders>
            <w:shd w:val="clear" w:color="auto" w:fill="auto"/>
            <w:vAlign w:val="center"/>
          </w:tcPr>
          <w:p w14:paraId="2EDB854E"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2109" w:type="dxa"/>
            <w:tcBorders>
              <w:left w:val="single" w:sz="4" w:space="0" w:color="000000"/>
              <w:bottom w:val="single" w:sz="4" w:space="0" w:color="000000"/>
            </w:tcBorders>
            <w:shd w:val="clear" w:color="auto" w:fill="auto"/>
            <w:vAlign w:val="center"/>
          </w:tcPr>
          <w:p w14:paraId="3695D3C2"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2CE98BD3"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574E2BB5" w14:textId="77777777">
        <w:trPr>
          <w:trHeight w:val="454"/>
          <w:jc w:val="center"/>
        </w:trPr>
        <w:tc>
          <w:tcPr>
            <w:tcW w:w="889" w:type="dxa"/>
            <w:tcBorders>
              <w:left w:val="single" w:sz="4" w:space="0" w:color="000000"/>
              <w:bottom w:val="single" w:sz="4" w:space="0" w:color="000000"/>
            </w:tcBorders>
            <w:shd w:val="clear" w:color="auto" w:fill="auto"/>
            <w:vAlign w:val="center"/>
          </w:tcPr>
          <w:p w14:paraId="75E9A767"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4" w:type="dxa"/>
            <w:tcBorders>
              <w:left w:val="single" w:sz="4" w:space="0" w:color="000000"/>
              <w:bottom w:val="single" w:sz="4" w:space="0" w:color="000000"/>
            </w:tcBorders>
            <w:shd w:val="clear" w:color="auto" w:fill="auto"/>
            <w:vAlign w:val="center"/>
          </w:tcPr>
          <w:p w14:paraId="1FC80FE8"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2109" w:type="dxa"/>
            <w:tcBorders>
              <w:left w:val="single" w:sz="4" w:space="0" w:color="000000"/>
              <w:bottom w:val="single" w:sz="4" w:space="0" w:color="000000"/>
            </w:tcBorders>
            <w:shd w:val="clear" w:color="auto" w:fill="auto"/>
            <w:vAlign w:val="center"/>
          </w:tcPr>
          <w:p w14:paraId="591709ED"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63E4B059"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1602B739" w14:textId="77777777">
        <w:trPr>
          <w:trHeight w:val="454"/>
          <w:jc w:val="center"/>
        </w:trPr>
        <w:tc>
          <w:tcPr>
            <w:tcW w:w="889" w:type="dxa"/>
            <w:tcBorders>
              <w:left w:val="single" w:sz="4" w:space="0" w:color="000000"/>
              <w:bottom w:val="single" w:sz="4" w:space="0" w:color="000000"/>
            </w:tcBorders>
            <w:shd w:val="clear" w:color="auto" w:fill="auto"/>
            <w:vAlign w:val="center"/>
          </w:tcPr>
          <w:p w14:paraId="6CEFB5BD"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4" w:type="dxa"/>
            <w:tcBorders>
              <w:left w:val="single" w:sz="4" w:space="0" w:color="000000"/>
              <w:bottom w:val="single" w:sz="4" w:space="0" w:color="000000"/>
            </w:tcBorders>
            <w:shd w:val="clear" w:color="auto" w:fill="auto"/>
            <w:vAlign w:val="center"/>
          </w:tcPr>
          <w:p w14:paraId="431BFE95"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2109" w:type="dxa"/>
            <w:tcBorders>
              <w:left w:val="single" w:sz="4" w:space="0" w:color="000000"/>
              <w:bottom w:val="single" w:sz="4" w:space="0" w:color="000000"/>
            </w:tcBorders>
            <w:shd w:val="clear" w:color="auto" w:fill="auto"/>
            <w:vAlign w:val="center"/>
          </w:tcPr>
          <w:p w14:paraId="24027BC3"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0E52B552"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440624D6" w14:textId="77777777">
        <w:trPr>
          <w:trHeight w:val="454"/>
          <w:jc w:val="center"/>
        </w:trPr>
        <w:tc>
          <w:tcPr>
            <w:tcW w:w="889" w:type="dxa"/>
            <w:tcBorders>
              <w:left w:val="single" w:sz="4" w:space="0" w:color="000000"/>
              <w:bottom w:val="single" w:sz="4" w:space="0" w:color="000000"/>
            </w:tcBorders>
            <w:shd w:val="clear" w:color="auto" w:fill="auto"/>
            <w:vAlign w:val="center"/>
          </w:tcPr>
          <w:p w14:paraId="013BD489"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4" w:type="dxa"/>
            <w:tcBorders>
              <w:left w:val="single" w:sz="4" w:space="0" w:color="000000"/>
              <w:bottom w:val="single" w:sz="4" w:space="0" w:color="000000"/>
            </w:tcBorders>
            <w:shd w:val="clear" w:color="auto" w:fill="auto"/>
            <w:vAlign w:val="center"/>
          </w:tcPr>
          <w:p w14:paraId="6F55428A"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2109" w:type="dxa"/>
            <w:tcBorders>
              <w:left w:val="single" w:sz="4" w:space="0" w:color="000000"/>
              <w:bottom w:val="single" w:sz="4" w:space="0" w:color="000000"/>
            </w:tcBorders>
            <w:shd w:val="clear" w:color="auto" w:fill="auto"/>
            <w:vAlign w:val="center"/>
          </w:tcPr>
          <w:p w14:paraId="34E69FDF"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0E8FF712" w14:textId="77777777" w:rsidR="00E70101" w:rsidRDefault="0060680B">
            <w:pPr>
              <w:spacing w:line="240" w:lineRule="auto"/>
              <w:jc w:val="center"/>
              <w:rPr>
                <w:rFonts w:ascii="Arial" w:eastAsia="仿宋_GB2312;仿宋" w:hAnsi="Arial" w:cs="Arial"/>
                <w:sz w:val="28"/>
                <w:szCs w:val="28"/>
              </w:rPr>
            </w:pPr>
            <w:r>
              <w:rPr>
                <w:rFonts w:ascii="Arial" w:eastAsia="Arial" w:hAnsi="Arial" w:cs="Arial"/>
                <w:sz w:val="28"/>
                <w:szCs w:val="28"/>
              </w:rPr>
              <w:t xml:space="preserve"> </w:t>
            </w:r>
            <w:r>
              <w:rPr>
                <w:rFonts w:ascii="Arial" w:eastAsia="仿宋_GB2312;仿宋" w:hAnsi="Arial" w:cs="Arial"/>
                <w:sz w:val="28"/>
                <w:szCs w:val="28"/>
              </w:rPr>
              <w:t>——</w:t>
            </w:r>
          </w:p>
        </w:tc>
      </w:tr>
      <w:tr w:rsidR="00E70101" w14:paraId="3861A9CF" w14:textId="77777777">
        <w:trPr>
          <w:trHeight w:val="454"/>
          <w:jc w:val="center"/>
        </w:trPr>
        <w:tc>
          <w:tcPr>
            <w:tcW w:w="889" w:type="dxa"/>
            <w:tcBorders>
              <w:left w:val="single" w:sz="4" w:space="0" w:color="000000"/>
              <w:bottom w:val="single" w:sz="4" w:space="0" w:color="000000"/>
            </w:tcBorders>
            <w:shd w:val="clear" w:color="auto" w:fill="auto"/>
            <w:vAlign w:val="center"/>
          </w:tcPr>
          <w:p w14:paraId="3AC00188"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4" w:type="dxa"/>
            <w:tcBorders>
              <w:left w:val="single" w:sz="4" w:space="0" w:color="000000"/>
              <w:bottom w:val="single" w:sz="4" w:space="0" w:color="000000"/>
            </w:tcBorders>
            <w:shd w:val="clear" w:color="auto" w:fill="auto"/>
            <w:vAlign w:val="center"/>
          </w:tcPr>
          <w:p w14:paraId="7307856F"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2109" w:type="dxa"/>
            <w:tcBorders>
              <w:left w:val="single" w:sz="4" w:space="0" w:color="000000"/>
              <w:bottom w:val="single" w:sz="4" w:space="0" w:color="000000"/>
            </w:tcBorders>
            <w:shd w:val="clear" w:color="auto" w:fill="auto"/>
            <w:vAlign w:val="center"/>
          </w:tcPr>
          <w:p w14:paraId="0296FB06"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156654</w:t>
            </w:r>
          </w:p>
        </w:tc>
        <w:tc>
          <w:tcPr>
            <w:tcW w:w="3226" w:type="dxa"/>
            <w:tcBorders>
              <w:left w:val="single" w:sz="4" w:space="0" w:color="000000"/>
              <w:bottom w:val="single" w:sz="4" w:space="0" w:color="000000"/>
              <w:right w:val="single" w:sz="4" w:space="0" w:color="000000"/>
            </w:tcBorders>
            <w:shd w:val="clear" w:color="auto" w:fill="auto"/>
            <w:vAlign w:val="center"/>
          </w:tcPr>
          <w:p w14:paraId="7528C6DB"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15BC4A7C" w14:textId="77777777" w:rsidR="00E70101" w:rsidRDefault="0060680B">
      <w:pPr>
        <w:snapToGrid w:val="0"/>
        <w:spacing w:before="120" w:line="360" w:lineRule="auto"/>
        <w:ind w:firstLine="556"/>
      </w:pPr>
      <w:r>
        <w:rPr>
          <w:rFonts w:ascii="Arial" w:eastAsia="仿宋_GB2312;仿宋" w:hAnsi="Arial" w:cs="Arial"/>
          <w:sz w:val="28"/>
          <w:szCs w:val="28"/>
        </w:rPr>
        <w:t>上述相加，得出咨询对象收购补偿总价：</w:t>
      </w:r>
    </w:p>
    <w:p w14:paraId="73823A2E" w14:textId="77777777" w:rsidR="00E70101" w:rsidRDefault="0060680B">
      <w:pPr>
        <w:spacing w:line="360" w:lineRule="auto"/>
        <w:ind w:firstLine="560"/>
      </w:pPr>
      <w:r>
        <w:rPr>
          <w:rFonts w:ascii="Arial" w:eastAsia="仿宋_GB2312;仿宋" w:hAnsi="Arial" w:cs="Arial"/>
          <w:sz w:val="28"/>
          <w:szCs w:val="28"/>
        </w:rPr>
        <w:t>156654+0+0+0+0+0=156654</w:t>
      </w:r>
      <w:r>
        <w:rPr>
          <w:rFonts w:ascii="Arial" w:eastAsia="仿宋_GB2312;仿宋" w:hAnsi="Arial" w:cs="Arial"/>
          <w:sz w:val="28"/>
          <w:szCs w:val="28"/>
        </w:rPr>
        <w:t>（万元）</w:t>
      </w:r>
    </w:p>
    <w:p w14:paraId="65FEED52" w14:textId="77777777" w:rsidR="00E70101" w:rsidRDefault="0060680B">
      <w:pPr>
        <w:tabs>
          <w:tab w:val="left" w:pos="3360"/>
        </w:tabs>
        <w:spacing w:line="360" w:lineRule="auto"/>
        <w:jc w:val="both"/>
        <w:rPr>
          <w:rFonts w:ascii="Arial" w:eastAsia="仿宋_GB2312;仿宋" w:hAnsi="Arial" w:cs="Arial"/>
          <w:b/>
          <w:sz w:val="28"/>
        </w:rPr>
      </w:pPr>
      <w:r>
        <w:rPr>
          <w:rFonts w:ascii="Arial" w:eastAsia="仿宋_GB2312;仿宋" w:hAnsi="Arial" w:cs="Arial"/>
          <w:b/>
          <w:sz w:val="28"/>
        </w:rPr>
        <w:tab/>
      </w:r>
      <w:r>
        <w:br w:type="page"/>
      </w:r>
    </w:p>
    <w:p w14:paraId="7FE3514E" w14:textId="77777777" w:rsidR="00E70101" w:rsidRDefault="0060680B">
      <w:pPr>
        <w:spacing w:line="360" w:lineRule="auto"/>
        <w:jc w:val="both"/>
      </w:pPr>
      <w:r>
        <w:rPr>
          <w:rFonts w:ascii="Arial" w:eastAsia="仿宋_GB2312;仿宋" w:hAnsi="Arial" w:cs="Arial"/>
          <w:b/>
          <w:sz w:val="28"/>
        </w:rPr>
        <w:t>三、咨询结果的确认</w:t>
      </w:r>
    </w:p>
    <w:p w14:paraId="4EB31A77" w14:textId="77777777" w:rsidR="00E70101" w:rsidRDefault="0060680B">
      <w:pPr>
        <w:spacing w:line="360" w:lineRule="auto"/>
        <w:ind w:firstLine="560"/>
        <w:jc w:val="both"/>
        <w:rPr>
          <w:rFonts w:ascii="Arial" w:eastAsia="仿宋_GB2312;仿宋" w:hAnsi="Arial" w:cs="Arial"/>
          <w:kern w:val="2"/>
          <w:sz w:val="28"/>
        </w:rPr>
      </w:pPr>
      <w:r>
        <w:rPr>
          <w:rFonts w:ascii="Arial" w:eastAsia="仿宋_GB2312;仿宋" w:hAnsi="Arial" w:cs="Arial"/>
          <w:kern w:val="2"/>
          <w:sz w:val="28"/>
        </w:rPr>
        <w:t>评估专业人员根据咨询的目的，按照估算的程序，采用科学的咨询方法（市场比较法和成本逼近法），在认真分析现有资料的基础上，通过仔细测算和认真分析各种影响</w:t>
      </w:r>
      <w:r>
        <w:rPr>
          <w:rFonts w:ascii="Arial" w:eastAsia="仿宋_GB2312;仿宋" w:hAnsi="Arial" w:cs="Arial"/>
          <w:sz w:val="28"/>
        </w:rPr>
        <w:t>土地</w:t>
      </w:r>
      <w:r>
        <w:rPr>
          <w:rFonts w:ascii="Arial" w:eastAsia="仿宋_GB2312;仿宋" w:hAnsi="Arial" w:cs="Arial"/>
          <w:kern w:val="2"/>
          <w:sz w:val="28"/>
        </w:rPr>
        <w:t>价格的因素，</w:t>
      </w:r>
      <w:r>
        <w:rPr>
          <w:rFonts w:ascii="Arial" w:eastAsia="仿宋_GB2312;仿宋" w:hAnsi="Arial" w:cs="Arial"/>
          <w:sz w:val="28"/>
          <w:szCs w:val="28"/>
        </w:rPr>
        <w:t>确定咨询对象</w:t>
      </w:r>
      <w:r>
        <w:rPr>
          <w:rFonts w:ascii="Arial" w:eastAsia="仿宋_GB2312;仿宋" w:hAnsi="Arial" w:cs="Arial"/>
          <w:kern w:val="2"/>
          <w:sz w:val="28"/>
        </w:rPr>
        <w:t>在咨询期日</w:t>
      </w:r>
      <w:r>
        <w:rPr>
          <w:rFonts w:ascii="Arial" w:eastAsia="仿宋_GB2312;仿宋" w:hAnsi="Arial" w:cs="Arial"/>
          <w:kern w:val="2"/>
          <w:sz w:val="28"/>
        </w:rPr>
        <w:t>2024</w:t>
      </w:r>
      <w:r>
        <w:rPr>
          <w:rFonts w:ascii="Arial" w:eastAsia="仿宋_GB2312;仿宋" w:hAnsi="Arial" w:cs="Arial"/>
          <w:kern w:val="2"/>
          <w:sz w:val="28"/>
        </w:rPr>
        <w:t>年</w:t>
      </w:r>
      <w:r>
        <w:rPr>
          <w:rFonts w:ascii="Arial" w:eastAsia="仿宋_GB2312;仿宋" w:hAnsi="Arial" w:cs="Arial"/>
          <w:kern w:val="2"/>
          <w:sz w:val="28"/>
        </w:rPr>
        <w:t>3</w:t>
      </w:r>
      <w:r>
        <w:rPr>
          <w:rFonts w:ascii="Arial" w:eastAsia="仿宋_GB2312;仿宋" w:hAnsi="Arial" w:cs="Arial"/>
          <w:kern w:val="2"/>
          <w:sz w:val="28"/>
        </w:rPr>
        <w:t>月</w:t>
      </w:r>
      <w:r>
        <w:rPr>
          <w:rFonts w:ascii="Arial" w:eastAsia="仿宋_GB2312;仿宋" w:hAnsi="Arial" w:cs="Arial"/>
          <w:kern w:val="2"/>
          <w:sz w:val="28"/>
        </w:rPr>
        <w:t>31</w:t>
      </w:r>
      <w:r>
        <w:rPr>
          <w:rFonts w:ascii="Arial" w:eastAsia="仿宋_GB2312;仿宋" w:hAnsi="Arial" w:cs="Arial"/>
          <w:kern w:val="2"/>
          <w:sz w:val="28"/>
        </w:rPr>
        <w:t>的土地使用权收购补偿价格约为</w:t>
      </w:r>
      <w:r>
        <w:rPr>
          <w:rFonts w:ascii="Arial" w:eastAsia="仿宋_GB2312;仿宋" w:hAnsi="Arial" w:cs="Arial"/>
          <w:b/>
          <w:kern w:val="2"/>
          <w:sz w:val="28"/>
        </w:rPr>
        <w:t>人民币</w:t>
      </w:r>
      <w:r>
        <w:rPr>
          <w:rFonts w:ascii="Arial" w:eastAsia="仿宋_GB2312;仿宋" w:hAnsi="Arial" w:cs="Arial"/>
          <w:b/>
          <w:kern w:val="2"/>
          <w:sz w:val="28"/>
        </w:rPr>
        <w:t>156654</w:t>
      </w:r>
      <w:r>
        <w:rPr>
          <w:rFonts w:ascii="Arial" w:eastAsia="仿宋_GB2312;仿宋" w:hAnsi="Arial" w:cs="Arial"/>
          <w:b/>
          <w:kern w:val="2"/>
          <w:sz w:val="28"/>
        </w:rPr>
        <w:t>万元，大写壹拾伍亿陆仟陆佰伍拾肆万元整</w:t>
      </w:r>
      <w:r>
        <w:rPr>
          <w:rFonts w:ascii="Arial" w:eastAsia="仿宋_GB2312;仿宋" w:hAnsi="Arial" w:cs="Arial"/>
          <w:kern w:val="2"/>
          <w:sz w:val="28"/>
        </w:rPr>
        <w:t>。</w:t>
      </w:r>
    </w:p>
    <w:p w14:paraId="480B2E42" w14:textId="77777777" w:rsidR="00E70101" w:rsidRDefault="0060680B">
      <w:pPr>
        <w:spacing w:line="360" w:lineRule="auto"/>
        <w:ind w:firstLine="560"/>
        <w:jc w:val="both"/>
        <w:rPr>
          <w:rFonts w:ascii="Arial" w:eastAsia="仿宋_GB2312;仿宋" w:hAnsi="Arial" w:cs="Arial"/>
          <w:kern w:val="2"/>
          <w:sz w:val="28"/>
        </w:rPr>
      </w:pPr>
      <w:r>
        <w:rPr>
          <w:rFonts w:ascii="Arial" w:eastAsia="仿宋_GB2312;仿宋" w:hAnsi="Arial" w:cs="Arial"/>
          <w:sz w:val="28"/>
        </w:rPr>
        <w:t>咨询结果明细如下：</w:t>
      </w:r>
    </w:p>
    <w:p w14:paraId="6FFA6A72" w14:textId="77777777" w:rsidR="00E70101" w:rsidRDefault="0060680B">
      <w:pPr>
        <w:snapToGrid w:val="0"/>
        <w:spacing w:line="360" w:lineRule="auto"/>
        <w:ind w:firstLine="3092"/>
        <w:rPr>
          <w:rFonts w:cs="Arial"/>
        </w:rPr>
      </w:pPr>
      <w:r>
        <w:rPr>
          <w:rFonts w:ascii="Arial" w:eastAsia="仿宋_GB2312;仿宋" w:hAnsi="Arial" w:cs="Arial"/>
          <w:b/>
          <w:bCs/>
          <w:sz w:val="28"/>
          <w:szCs w:val="28"/>
        </w:rPr>
        <w:t>收购补偿价格咨询结果</w:t>
      </w:r>
    </w:p>
    <w:tbl>
      <w:tblPr>
        <w:tblW w:w="5000" w:type="pct"/>
        <w:jc w:val="center"/>
        <w:tblLook w:val="0000" w:firstRow="0" w:lastRow="0" w:firstColumn="0" w:lastColumn="0" w:noHBand="0" w:noVBand="0"/>
      </w:tblPr>
      <w:tblGrid>
        <w:gridCol w:w="888"/>
        <w:gridCol w:w="3069"/>
        <w:gridCol w:w="2107"/>
        <w:gridCol w:w="3224"/>
      </w:tblGrid>
      <w:tr w:rsidR="00E70101" w14:paraId="41C27BFF" w14:textId="77777777">
        <w:trPr>
          <w:trHeight w:val="454"/>
          <w:jc w:val="center"/>
        </w:trPr>
        <w:tc>
          <w:tcPr>
            <w:tcW w:w="889" w:type="dxa"/>
            <w:tcBorders>
              <w:top w:val="single" w:sz="4" w:space="0" w:color="000000"/>
              <w:left w:val="single" w:sz="4" w:space="0" w:color="000000"/>
              <w:bottom w:val="single" w:sz="4" w:space="0" w:color="000000"/>
            </w:tcBorders>
            <w:shd w:val="clear" w:color="auto" w:fill="auto"/>
            <w:vAlign w:val="center"/>
          </w:tcPr>
          <w:p w14:paraId="74D29AC3"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4" w:type="dxa"/>
            <w:tcBorders>
              <w:top w:val="single" w:sz="4" w:space="0" w:color="000000"/>
              <w:left w:val="single" w:sz="4" w:space="0" w:color="000000"/>
              <w:bottom w:val="single" w:sz="4" w:space="0" w:color="000000"/>
            </w:tcBorders>
            <w:shd w:val="clear" w:color="auto" w:fill="auto"/>
            <w:vAlign w:val="center"/>
          </w:tcPr>
          <w:p w14:paraId="4E8814B7"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2109" w:type="dxa"/>
            <w:tcBorders>
              <w:top w:val="single" w:sz="4" w:space="0" w:color="000000"/>
              <w:left w:val="single" w:sz="4" w:space="0" w:color="000000"/>
              <w:bottom w:val="single" w:sz="4" w:space="0" w:color="000000"/>
            </w:tcBorders>
            <w:shd w:val="clear" w:color="auto" w:fill="auto"/>
            <w:vAlign w:val="center"/>
          </w:tcPr>
          <w:p w14:paraId="558F7D48"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咨询价格</w:t>
            </w:r>
          </w:p>
          <w:p w14:paraId="7CC613F6"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8B848"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E70101" w14:paraId="17CA0415" w14:textId="77777777">
        <w:trPr>
          <w:trHeight w:val="454"/>
          <w:jc w:val="center"/>
        </w:trPr>
        <w:tc>
          <w:tcPr>
            <w:tcW w:w="889" w:type="dxa"/>
            <w:tcBorders>
              <w:left w:val="single" w:sz="4" w:space="0" w:color="000000"/>
              <w:bottom w:val="single" w:sz="4" w:space="0" w:color="000000"/>
            </w:tcBorders>
            <w:shd w:val="clear" w:color="auto" w:fill="auto"/>
            <w:vAlign w:val="center"/>
          </w:tcPr>
          <w:p w14:paraId="5D1BB74F"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4" w:type="dxa"/>
            <w:tcBorders>
              <w:left w:val="single" w:sz="4" w:space="0" w:color="000000"/>
              <w:bottom w:val="single" w:sz="4" w:space="0" w:color="000000"/>
            </w:tcBorders>
            <w:shd w:val="clear" w:color="auto" w:fill="auto"/>
            <w:vAlign w:val="center"/>
          </w:tcPr>
          <w:p w14:paraId="0B542B18"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2109" w:type="dxa"/>
            <w:tcBorders>
              <w:left w:val="single" w:sz="4" w:space="0" w:color="000000"/>
              <w:bottom w:val="single" w:sz="4" w:space="0" w:color="000000"/>
            </w:tcBorders>
            <w:shd w:val="clear" w:color="auto" w:fill="auto"/>
            <w:vAlign w:val="center"/>
          </w:tcPr>
          <w:p w14:paraId="3705DF95"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156654</w:t>
            </w:r>
          </w:p>
        </w:tc>
        <w:tc>
          <w:tcPr>
            <w:tcW w:w="3226" w:type="dxa"/>
            <w:tcBorders>
              <w:left w:val="single" w:sz="4" w:space="0" w:color="000000"/>
              <w:bottom w:val="single" w:sz="4" w:space="0" w:color="000000"/>
              <w:right w:val="single" w:sz="4" w:space="0" w:color="000000"/>
            </w:tcBorders>
            <w:shd w:val="clear" w:color="auto" w:fill="auto"/>
            <w:vAlign w:val="center"/>
          </w:tcPr>
          <w:p w14:paraId="775F22E1" w14:textId="77777777" w:rsidR="00E70101" w:rsidRDefault="0060680B">
            <w:pPr>
              <w:spacing w:line="240" w:lineRule="auto"/>
              <w:jc w:val="center"/>
            </w:pPr>
            <w:r>
              <w:rPr>
                <w:rFonts w:ascii="Arial" w:eastAsia="仿宋_GB2312;仿宋" w:hAnsi="Arial" w:cs="Arial"/>
                <w:sz w:val="28"/>
                <w:szCs w:val="28"/>
              </w:rPr>
              <w:t>采用</w:t>
            </w:r>
            <w:r>
              <w:rPr>
                <w:rFonts w:ascii="Arial" w:eastAsia="仿宋_GB2312;仿宋" w:hAnsi="Arial" w:cs="Arial"/>
                <w:kern w:val="2"/>
                <w:sz w:val="28"/>
              </w:rPr>
              <w:t>市场比较法和成本逼近法</w:t>
            </w:r>
            <w:r>
              <w:rPr>
                <w:rFonts w:ascii="Arial" w:eastAsia="仿宋_GB2312;仿宋" w:hAnsi="Arial" w:cs="Arial"/>
                <w:sz w:val="28"/>
                <w:szCs w:val="28"/>
              </w:rPr>
              <w:t>评估测算</w:t>
            </w:r>
          </w:p>
        </w:tc>
      </w:tr>
      <w:tr w:rsidR="00E70101" w14:paraId="66C4E22A" w14:textId="77777777">
        <w:trPr>
          <w:trHeight w:val="454"/>
          <w:jc w:val="center"/>
        </w:trPr>
        <w:tc>
          <w:tcPr>
            <w:tcW w:w="889" w:type="dxa"/>
            <w:tcBorders>
              <w:left w:val="single" w:sz="4" w:space="0" w:color="000000"/>
              <w:bottom w:val="single" w:sz="4" w:space="0" w:color="000000"/>
            </w:tcBorders>
            <w:shd w:val="clear" w:color="auto" w:fill="auto"/>
            <w:vAlign w:val="center"/>
          </w:tcPr>
          <w:p w14:paraId="3C0B544C"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4" w:type="dxa"/>
            <w:tcBorders>
              <w:left w:val="single" w:sz="4" w:space="0" w:color="000000"/>
              <w:bottom w:val="single" w:sz="4" w:space="0" w:color="000000"/>
            </w:tcBorders>
            <w:shd w:val="clear" w:color="auto" w:fill="auto"/>
            <w:vAlign w:val="center"/>
          </w:tcPr>
          <w:p w14:paraId="19ADCA11"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2109" w:type="dxa"/>
            <w:tcBorders>
              <w:left w:val="single" w:sz="4" w:space="0" w:color="000000"/>
              <w:bottom w:val="single" w:sz="4" w:space="0" w:color="000000"/>
            </w:tcBorders>
            <w:shd w:val="clear" w:color="auto" w:fill="auto"/>
            <w:vAlign w:val="center"/>
          </w:tcPr>
          <w:p w14:paraId="3B2DBB94"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6481E897"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4F40B080" w14:textId="77777777">
        <w:trPr>
          <w:trHeight w:val="454"/>
          <w:jc w:val="center"/>
        </w:trPr>
        <w:tc>
          <w:tcPr>
            <w:tcW w:w="889" w:type="dxa"/>
            <w:tcBorders>
              <w:left w:val="single" w:sz="4" w:space="0" w:color="000000"/>
              <w:bottom w:val="single" w:sz="4" w:space="0" w:color="000000"/>
            </w:tcBorders>
            <w:shd w:val="clear" w:color="auto" w:fill="auto"/>
            <w:vAlign w:val="center"/>
          </w:tcPr>
          <w:p w14:paraId="2A254205"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4" w:type="dxa"/>
            <w:tcBorders>
              <w:left w:val="single" w:sz="4" w:space="0" w:color="000000"/>
              <w:bottom w:val="single" w:sz="4" w:space="0" w:color="000000"/>
            </w:tcBorders>
            <w:shd w:val="clear" w:color="auto" w:fill="auto"/>
            <w:vAlign w:val="center"/>
          </w:tcPr>
          <w:p w14:paraId="72628EB5"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2109" w:type="dxa"/>
            <w:tcBorders>
              <w:left w:val="single" w:sz="4" w:space="0" w:color="000000"/>
              <w:bottom w:val="single" w:sz="4" w:space="0" w:color="000000"/>
            </w:tcBorders>
            <w:shd w:val="clear" w:color="auto" w:fill="auto"/>
            <w:vAlign w:val="center"/>
          </w:tcPr>
          <w:p w14:paraId="4A09AE3D"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706E36FE"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59E2B072" w14:textId="77777777">
        <w:trPr>
          <w:trHeight w:val="454"/>
          <w:jc w:val="center"/>
        </w:trPr>
        <w:tc>
          <w:tcPr>
            <w:tcW w:w="889" w:type="dxa"/>
            <w:tcBorders>
              <w:left w:val="single" w:sz="4" w:space="0" w:color="000000"/>
              <w:bottom w:val="single" w:sz="4" w:space="0" w:color="000000"/>
            </w:tcBorders>
            <w:shd w:val="clear" w:color="auto" w:fill="auto"/>
            <w:vAlign w:val="center"/>
          </w:tcPr>
          <w:p w14:paraId="7FBFECA6"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4" w:type="dxa"/>
            <w:tcBorders>
              <w:left w:val="single" w:sz="4" w:space="0" w:color="000000"/>
              <w:bottom w:val="single" w:sz="4" w:space="0" w:color="000000"/>
            </w:tcBorders>
            <w:shd w:val="clear" w:color="auto" w:fill="auto"/>
            <w:vAlign w:val="center"/>
          </w:tcPr>
          <w:p w14:paraId="00E68775"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2109" w:type="dxa"/>
            <w:tcBorders>
              <w:left w:val="single" w:sz="4" w:space="0" w:color="000000"/>
              <w:bottom w:val="single" w:sz="4" w:space="0" w:color="000000"/>
            </w:tcBorders>
            <w:shd w:val="clear" w:color="auto" w:fill="auto"/>
            <w:vAlign w:val="center"/>
          </w:tcPr>
          <w:p w14:paraId="26E73D64"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102AED6A"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3A24F4E0" w14:textId="77777777">
        <w:trPr>
          <w:trHeight w:val="454"/>
          <w:jc w:val="center"/>
        </w:trPr>
        <w:tc>
          <w:tcPr>
            <w:tcW w:w="889" w:type="dxa"/>
            <w:tcBorders>
              <w:left w:val="single" w:sz="4" w:space="0" w:color="000000"/>
              <w:bottom w:val="single" w:sz="4" w:space="0" w:color="000000"/>
            </w:tcBorders>
            <w:shd w:val="clear" w:color="auto" w:fill="auto"/>
            <w:vAlign w:val="center"/>
          </w:tcPr>
          <w:p w14:paraId="6897D8B2"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4" w:type="dxa"/>
            <w:tcBorders>
              <w:left w:val="single" w:sz="4" w:space="0" w:color="000000"/>
              <w:bottom w:val="single" w:sz="4" w:space="0" w:color="000000"/>
            </w:tcBorders>
            <w:shd w:val="clear" w:color="auto" w:fill="auto"/>
            <w:vAlign w:val="center"/>
          </w:tcPr>
          <w:p w14:paraId="24610D91"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2109" w:type="dxa"/>
            <w:tcBorders>
              <w:left w:val="single" w:sz="4" w:space="0" w:color="000000"/>
              <w:bottom w:val="single" w:sz="4" w:space="0" w:color="000000"/>
            </w:tcBorders>
            <w:shd w:val="clear" w:color="auto" w:fill="auto"/>
            <w:vAlign w:val="center"/>
          </w:tcPr>
          <w:p w14:paraId="3A52328B"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7E69C12E"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6731F049" w14:textId="77777777">
        <w:trPr>
          <w:trHeight w:val="454"/>
          <w:jc w:val="center"/>
        </w:trPr>
        <w:tc>
          <w:tcPr>
            <w:tcW w:w="889" w:type="dxa"/>
            <w:tcBorders>
              <w:left w:val="single" w:sz="4" w:space="0" w:color="000000"/>
              <w:bottom w:val="single" w:sz="4" w:space="0" w:color="000000"/>
            </w:tcBorders>
            <w:shd w:val="clear" w:color="auto" w:fill="auto"/>
            <w:vAlign w:val="center"/>
          </w:tcPr>
          <w:p w14:paraId="36D31642"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4" w:type="dxa"/>
            <w:tcBorders>
              <w:left w:val="single" w:sz="4" w:space="0" w:color="000000"/>
              <w:bottom w:val="single" w:sz="4" w:space="0" w:color="000000"/>
            </w:tcBorders>
            <w:shd w:val="clear" w:color="auto" w:fill="auto"/>
            <w:vAlign w:val="center"/>
          </w:tcPr>
          <w:p w14:paraId="5B09B67F"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2109" w:type="dxa"/>
            <w:tcBorders>
              <w:left w:val="single" w:sz="4" w:space="0" w:color="000000"/>
              <w:bottom w:val="single" w:sz="4" w:space="0" w:color="000000"/>
            </w:tcBorders>
            <w:shd w:val="clear" w:color="auto" w:fill="auto"/>
            <w:vAlign w:val="center"/>
          </w:tcPr>
          <w:p w14:paraId="1EAAFBC8"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2089F2BD" w14:textId="77777777" w:rsidR="00E70101" w:rsidRDefault="0060680B">
            <w:pPr>
              <w:spacing w:line="240" w:lineRule="auto"/>
              <w:jc w:val="center"/>
              <w:rPr>
                <w:rFonts w:ascii="Arial" w:eastAsia="仿宋_GB2312;仿宋" w:hAnsi="Arial" w:cs="Arial"/>
                <w:sz w:val="28"/>
                <w:szCs w:val="28"/>
              </w:rPr>
            </w:pPr>
            <w:r>
              <w:rPr>
                <w:rFonts w:ascii="Arial" w:eastAsia="Arial" w:hAnsi="Arial" w:cs="Arial"/>
                <w:sz w:val="28"/>
                <w:szCs w:val="28"/>
              </w:rPr>
              <w:t xml:space="preserve"> </w:t>
            </w:r>
            <w:r>
              <w:rPr>
                <w:rFonts w:ascii="Arial" w:eastAsia="仿宋_GB2312;仿宋" w:hAnsi="Arial" w:cs="Arial"/>
                <w:sz w:val="28"/>
                <w:szCs w:val="28"/>
              </w:rPr>
              <w:t>——</w:t>
            </w:r>
          </w:p>
        </w:tc>
      </w:tr>
      <w:tr w:rsidR="00E70101" w14:paraId="41FCD776" w14:textId="77777777">
        <w:trPr>
          <w:trHeight w:val="454"/>
          <w:jc w:val="center"/>
        </w:trPr>
        <w:tc>
          <w:tcPr>
            <w:tcW w:w="889" w:type="dxa"/>
            <w:tcBorders>
              <w:left w:val="single" w:sz="4" w:space="0" w:color="000000"/>
              <w:bottom w:val="single" w:sz="4" w:space="0" w:color="000000"/>
            </w:tcBorders>
            <w:shd w:val="clear" w:color="auto" w:fill="auto"/>
            <w:vAlign w:val="center"/>
          </w:tcPr>
          <w:p w14:paraId="01DC0022"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4" w:type="dxa"/>
            <w:tcBorders>
              <w:left w:val="single" w:sz="4" w:space="0" w:color="000000"/>
              <w:bottom w:val="single" w:sz="4" w:space="0" w:color="000000"/>
            </w:tcBorders>
            <w:shd w:val="clear" w:color="auto" w:fill="auto"/>
            <w:vAlign w:val="center"/>
          </w:tcPr>
          <w:p w14:paraId="6FFDC322"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2109" w:type="dxa"/>
            <w:tcBorders>
              <w:left w:val="single" w:sz="4" w:space="0" w:color="000000"/>
              <w:bottom w:val="single" w:sz="4" w:space="0" w:color="000000"/>
            </w:tcBorders>
            <w:shd w:val="clear" w:color="auto" w:fill="auto"/>
            <w:vAlign w:val="center"/>
          </w:tcPr>
          <w:p w14:paraId="7533E4B0"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156654</w:t>
            </w:r>
          </w:p>
        </w:tc>
        <w:tc>
          <w:tcPr>
            <w:tcW w:w="3226" w:type="dxa"/>
            <w:tcBorders>
              <w:left w:val="single" w:sz="4" w:space="0" w:color="000000"/>
              <w:bottom w:val="single" w:sz="4" w:space="0" w:color="000000"/>
              <w:right w:val="single" w:sz="4" w:space="0" w:color="000000"/>
            </w:tcBorders>
            <w:shd w:val="clear" w:color="auto" w:fill="auto"/>
            <w:vAlign w:val="center"/>
          </w:tcPr>
          <w:p w14:paraId="62D93616"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1BE2B22B" w14:textId="77777777" w:rsidR="00E70101" w:rsidRDefault="00E70101">
      <w:pPr>
        <w:sectPr w:rsidR="00E70101">
          <w:headerReference w:type="default" r:id="rId75"/>
          <w:footerReference w:type="default" r:id="rId76"/>
          <w:pgSz w:w="11906" w:h="16838"/>
          <w:pgMar w:top="1843" w:right="1304" w:bottom="1134" w:left="1304" w:header="1134" w:footer="907" w:gutter="0"/>
          <w:cols w:space="720"/>
          <w:formProt w:val="0"/>
          <w:docGrid w:linePitch="326"/>
        </w:sectPr>
      </w:pPr>
    </w:p>
    <w:p w14:paraId="62D9EF77" w14:textId="77777777" w:rsidR="00E70101" w:rsidRDefault="0060680B">
      <w:pPr>
        <w:spacing w:line="360" w:lineRule="auto"/>
        <w:jc w:val="center"/>
        <w:outlineLvl w:val="0"/>
      </w:pPr>
      <w:bookmarkStart w:id="48" w:name="__RefHeading___Toc530042315"/>
      <w:bookmarkEnd w:id="48"/>
      <w:r>
        <w:rPr>
          <w:rFonts w:ascii="Arial" w:hAnsi="Arial" w:cs="Arial"/>
          <w:b/>
          <w:sz w:val="32"/>
        </w:rPr>
        <w:t>第四部分</w:t>
      </w:r>
      <w:r>
        <w:rPr>
          <w:rFonts w:ascii="Arial" w:eastAsia="Arial" w:hAnsi="Arial" w:cs="Arial"/>
          <w:b/>
          <w:sz w:val="32"/>
        </w:rPr>
        <w:t xml:space="preserve">  </w:t>
      </w:r>
      <w:r>
        <w:rPr>
          <w:rFonts w:ascii="Arial" w:hAnsi="Arial" w:cs="Arial"/>
          <w:b/>
          <w:sz w:val="32"/>
        </w:rPr>
        <w:t>附</w:t>
      </w:r>
      <w:r>
        <w:rPr>
          <w:rFonts w:ascii="Arial" w:eastAsia="Arial" w:hAnsi="Arial" w:cs="Arial"/>
          <w:b/>
          <w:sz w:val="32"/>
        </w:rPr>
        <w:t xml:space="preserve">  </w:t>
      </w:r>
      <w:r>
        <w:rPr>
          <w:rFonts w:ascii="Arial" w:hAnsi="Arial" w:cs="Arial"/>
          <w:b/>
          <w:sz w:val="32"/>
        </w:rPr>
        <w:t>件</w:t>
      </w:r>
    </w:p>
    <w:p w14:paraId="5DC48BE2" w14:textId="77777777" w:rsidR="00E70101" w:rsidRDefault="0060680B">
      <w:pPr>
        <w:numPr>
          <w:ilvl w:val="0"/>
          <w:numId w:val="5"/>
        </w:numPr>
        <w:spacing w:line="360" w:lineRule="auto"/>
        <w:jc w:val="both"/>
      </w:pPr>
      <w:r>
        <w:rPr>
          <w:rFonts w:ascii="Arial" w:eastAsia="仿宋_GB2312;仿宋" w:hAnsi="Arial" w:cs="Arial"/>
          <w:sz w:val="28"/>
        </w:rPr>
        <w:t>咨询对象所在位置示意图</w:t>
      </w:r>
    </w:p>
    <w:p w14:paraId="58374D45" w14:textId="77777777" w:rsidR="00E70101" w:rsidRDefault="0060680B">
      <w:pPr>
        <w:spacing w:line="360" w:lineRule="auto"/>
        <w:ind w:firstLine="560"/>
        <w:jc w:val="both"/>
      </w:pPr>
      <w:r>
        <w:rPr>
          <w:rFonts w:ascii="Arial" w:eastAsia="仿宋_GB2312;仿宋" w:hAnsi="Arial" w:cs="Arial"/>
          <w:sz w:val="28"/>
        </w:rPr>
        <w:t>2.</w:t>
      </w:r>
      <w:r>
        <w:rPr>
          <w:rFonts w:ascii="Arial" w:eastAsia="仿宋_GB2312;仿宋" w:hAnsi="Arial" w:cs="Arial"/>
          <w:sz w:val="28"/>
        </w:rPr>
        <w:t>受托单位《营业执照（副本）》复印件</w:t>
      </w:r>
    </w:p>
    <w:p w14:paraId="5C9C26AF" w14:textId="77777777" w:rsidR="00E70101" w:rsidRDefault="0060680B">
      <w:pPr>
        <w:spacing w:line="360" w:lineRule="auto"/>
        <w:ind w:firstLine="560"/>
        <w:jc w:val="both"/>
      </w:pPr>
      <w:r>
        <w:rPr>
          <w:rFonts w:ascii="Arial" w:eastAsia="仿宋_GB2312;仿宋" w:hAnsi="Arial" w:cs="Arial"/>
          <w:sz w:val="28"/>
        </w:rPr>
        <w:t>3.</w:t>
      </w:r>
      <w:r>
        <w:rPr>
          <w:rFonts w:ascii="Arial" w:eastAsia="仿宋_GB2312;仿宋" w:hAnsi="Arial" w:cs="Arial"/>
          <w:sz w:val="28"/>
        </w:rPr>
        <w:t>受托单位评估资质复印件</w:t>
      </w:r>
    </w:p>
    <w:p w14:paraId="6D84E083" w14:textId="77777777" w:rsidR="00E70101" w:rsidRDefault="0060680B">
      <w:pPr>
        <w:spacing w:line="360" w:lineRule="auto"/>
        <w:ind w:firstLine="560"/>
        <w:jc w:val="both"/>
      </w:pPr>
      <w:r>
        <w:rPr>
          <w:rFonts w:ascii="Arial" w:eastAsia="楷体_GB2312;楷体" w:hAnsi="Arial" w:cs="Arial"/>
          <w:sz w:val="28"/>
        </w:rPr>
        <w:t>4.</w:t>
      </w:r>
      <w:r>
        <w:rPr>
          <w:rFonts w:ascii="Arial" w:eastAsia="仿宋_GB2312;仿宋" w:hAnsi="Arial" w:cs="Arial"/>
          <w:sz w:val="28"/>
        </w:rPr>
        <w:t>评估专业人员资质证书复印件</w:t>
      </w:r>
    </w:p>
    <w:p w14:paraId="1DA5F2BC" w14:textId="77777777" w:rsidR="00E70101" w:rsidRDefault="00E70101">
      <w:pPr>
        <w:spacing w:line="360" w:lineRule="auto"/>
        <w:rPr>
          <w:rFonts w:ascii="Arial" w:eastAsia="仿宋_GB2312;仿宋" w:hAnsi="Arial" w:cs="Arial"/>
          <w:sz w:val="28"/>
        </w:rPr>
      </w:pPr>
    </w:p>
    <w:sectPr w:rsidR="00E70101">
      <w:headerReference w:type="default" r:id="rId77"/>
      <w:footerReference w:type="default" r:id="rId78"/>
      <w:pgSz w:w="11906" w:h="16838"/>
      <w:pgMar w:top="1843" w:right="1304" w:bottom="1134" w:left="1304" w:header="1134" w:footer="907" w:gutter="0"/>
      <w:cols w:space="720"/>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ED8B79" w14:textId="77777777" w:rsidR="00E25FDE" w:rsidRDefault="00E25FDE">
      <w:pPr>
        <w:spacing w:line="240" w:lineRule="auto"/>
      </w:pPr>
      <w:r>
        <w:separator/>
      </w:r>
    </w:p>
  </w:endnote>
  <w:endnote w:type="continuationSeparator" w:id="0">
    <w:p w14:paraId="451D26C8" w14:textId="77777777" w:rsidR="00E25FDE" w:rsidRDefault="00E25F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仿宋_GB2312;仿宋">
    <w:altName w:val="宋体"/>
    <w:panose1 w:val="00000000000000000000"/>
    <w:charset w:val="86"/>
    <w:family w:val="roman"/>
    <w:notTrueType/>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Gothic;ＭＳ ゴシック">
    <w:altName w:val="宋体"/>
    <w:panose1 w:val="00000000000000000000"/>
    <w:charset w:val="86"/>
    <w:family w:val="roman"/>
    <w:notTrueType/>
    <w:pitch w:val="default"/>
  </w:font>
  <w:font w:name="微软雅黑">
    <w:panose1 w:val="020B0503020204020204"/>
    <w:charset w:val="86"/>
    <w:family w:val="swiss"/>
    <w:pitch w:val="variable"/>
    <w:sig w:usb0="80000287" w:usb1="2ACF3C50" w:usb2="00000016" w:usb3="00000000" w:csb0="0004001F" w:csb1="00000000"/>
  </w:font>
  <w:font w:name="Liberation Serif">
    <w:altName w:val="宋体"/>
    <w:charset w:val="86"/>
    <w:family w:val="roman"/>
    <w:pitch w:val="variable"/>
  </w:font>
  <w:font w:name="新宋体">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宋体;SimSun">
    <w:altName w:val="宋体"/>
    <w:panose1 w:val="00000000000000000000"/>
    <w:charset w:val="86"/>
    <w:family w:val="roman"/>
    <w:notTrueType/>
    <w:pitch w:val="default"/>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楷体_GB2312;楷体">
    <w:altName w:val="宋体"/>
    <w:panose1 w:val="00000000000000000000"/>
    <w:charset w:val="86"/>
    <w:family w:val="roman"/>
    <w:notTrueType/>
    <w:pitch w:val="default"/>
  </w:font>
  <w:font w:name="华文细黑碙..;仿宋">
    <w:altName w:val="宋体"/>
    <w:panose1 w:val="00000000000000000000"/>
    <w:charset w:val="86"/>
    <w:family w:val="roman"/>
    <w:notTrueType/>
    <w:pitch w:val="default"/>
  </w:font>
  <w:font w:name="黑体萄;方正舒体">
    <w:altName w:val="宋体"/>
    <w:panose1 w:val="00000000000000000000"/>
    <w:charset w:val="86"/>
    <w:family w:val="roman"/>
    <w:notTrueType/>
    <w:pitch w:val="default"/>
  </w:font>
  <w:font w:name="E-BZ;Cambria">
    <w:altName w:val="Times New Roman"/>
    <w:panose1 w:val="00000000000000000000"/>
    <w:charset w:val="00"/>
    <w:family w:val="roman"/>
    <w:notTrueType/>
    <w:pitch w:val="default"/>
  </w:font>
  <w:font w:name="FZSSK--GBK1-0;Arial Unicode MS">
    <w:altName w:val="Times New Roman"/>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等线">
    <w:panose1 w:val="02010600030101010101"/>
    <w:charset w:val="86"/>
    <w:family w:val="auto"/>
    <w:pitch w:val="variable"/>
    <w:sig w:usb0="A00002BF" w:usb1="38CF7CFA" w:usb2="00000016" w:usb3="00000000" w:csb0="0004000F" w:csb1="00000000"/>
  </w:font>
  <w:font w:name="Liberation Sans">
    <w:altName w:val="Arial Unicode MS"/>
    <w:charset w:val="86"/>
    <w:family w:val="swiss"/>
    <w:pitch w:val="variable"/>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宋体">
    <w:panose1 w:val="00000000000000000000"/>
    <w:charset w:val="86"/>
    <w:family w:val="roman"/>
    <w:notTrueType/>
    <w:pitch w:val="default"/>
  </w:font>
  <w:font w:name="Calibri">
    <w:panose1 w:val="020F0502020204030204"/>
    <w:charset w:val="00"/>
    <w:family w:val="swiss"/>
    <w:pitch w:val="variable"/>
    <w:sig w:usb0="E4002EFF" w:usb1="C000247B" w:usb2="00000009" w:usb3="00000000" w:csb0="000001FF" w:csb1="00000000"/>
  </w:font>
  <w:font w:name="Adobe 黑体 Std R;微软雅黑">
    <w:altName w:val="宋体"/>
    <w:panose1 w:val="00000000000000000000"/>
    <w:charset w:val="86"/>
    <w:family w:val="roman"/>
    <w:notTrueType/>
    <w:pitch w:val="default"/>
  </w:font>
  <w:font w:name="方正黑体简体;微软雅黑">
    <w:altName w:val="宋体"/>
    <w:panose1 w:val="00000000000000000000"/>
    <w:charset w:val="86"/>
    <w:family w:val="roman"/>
    <w:notTrueType/>
    <w:pitch w:val="default"/>
  </w:font>
  <w:font w:name="昆仑仿宋;黑体">
    <w:altName w:val="宋体"/>
    <w:panose1 w:val="00000000000000000000"/>
    <w:charset w:val="86"/>
    <w:family w:val="roman"/>
    <w:notTrueType/>
    <w:pitch w:val="default"/>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997834" w14:textId="77777777" w:rsidR="0060680B" w:rsidRDefault="0060680B">
    <w:pPr>
      <w:pStyle w:val="af8"/>
      <w:tabs>
        <w:tab w:val="clear" w:pos="4153"/>
        <w:tab w:val="clear" w:pos="8306"/>
        <w:tab w:val="left" w:pos="4890"/>
      </w:tabs>
    </w:pPr>
    <w:r>
      <w:tab/>
    </w:r>
    <w:r>
      <w:rPr>
        <w:noProof/>
        <w:lang w:val="en-US"/>
      </w:rPr>
      <mc:AlternateContent>
        <mc:Choice Requires="wps">
          <w:drawing>
            <wp:anchor distT="0" distB="0" distL="0" distR="0" simplePos="0" relativeHeight="14" behindDoc="0" locked="0" layoutInCell="1" allowOverlap="1" wp14:anchorId="79C03E0F" wp14:editId="5F19CF51">
              <wp:simplePos x="0" y="0"/>
              <wp:positionH relativeFrom="margin">
                <wp:align>center</wp:align>
              </wp:positionH>
              <wp:positionV relativeFrom="paragraph">
                <wp:posOffset>635</wp:posOffset>
              </wp:positionV>
              <wp:extent cx="14605" cy="152400"/>
              <wp:effectExtent l="0" t="0" r="0" b="0"/>
              <wp:wrapSquare wrapText="largest"/>
              <wp:docPr id="1" name="框架3"/>
              <wp:cNvGraphicFramePr/>
              <a:graphic xmlns:a="http://schemas.openxmlformats.org/drawingml/2006/main">
                <a:graphicData uri="http://schemas.microsoft.com/office/word/2010/wordprocessingShape">
                  <wps:wsp>
                    <wps:cNvSpPr txBox="1"/>
                    <wps:spPr>
                      <a:xfrm>
                        <a:off x="0" y="0"/>
                        <a:ext cx="14605" cy="152400"/>
                      </a:xfrm>
                      <a:prstGeom prst="rect">
                        <a:avLst/>
                      </a:prstGeom>
                      <a:solidFill>
                        <a:srgbClr val="FFFFFF">
                          <a:alpha val="0"/>
                        </a:srgbClr>
                      </a:solidFill>
                    </wps:spPr>
                    <wps:txbx>
                      <w:txbxContent>
                        <w:p w14:paraId="54D17867" w14:textId="77777777" w:rsidR="0060680B" w:rsidRDefault="0060680B">
                          <w:pPr>
                            <w:pStyle w:val="af8"/>
                            <w:rPr>
                              <w:rStyle w:val="a3"/>
                              <w:sz w:val="21"/>
                            </w:rPr>
                          </w:pPr>
                        </w:p>
                      </w:txbxContent>
                    </wps:txbx>
                    <wps:bodyPr lIns="0" tIns="0" rIns="0" bIns="0" anchor="t">
                      <a:noAutofit/>
                    </wps:bodyPr>
                  </wps:wsp>
                </a:graphicData>
              </a:graphic>
            </wp:anchor>
          </w:drawing>
        </mc:Choice>
        <mc:Fallback>
          <w:pict>
            <v:shapetype w14:anchorId="79C03E0F" id="_x0000_t202" coordsize="21600,21600" o:spt="202" path="m,l,21600r21600,l21600,xe">
              <v:stroke joinstyle="miter"/>
              <v:path gradientshapeok="t" o:connecttype="rect"/>
            </v:shapetype>
            <v:shape id="框架3" o:spid="_x0000_s1034" type="#_x0000_t202" style="position:absolute;margin-left:0;margin-top:.05pt;width:1.15pt;height:12pt;z-index:14;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" stroked="f">
              <v:fill opacity="0"/>
              <v:textbox inset="0,0,0,0">
                <w:txbxContent>
                  <w:p w14:paraId="54D17867" w14:textId="77777777" w:rsidR="0060680B" w:rsidRDefault="0060680B">
                    <w:pPr>
                      <w:pStyle w:val="af8"/>
                      <w:rPr>
                        <w:rStyle w:val="a3"/>
                        <w:sz w:val="21"/>
                      </w:rPr>
                    </w:pPr>
                  </w:p>
                </w:txbxContent>
              </v:textbox>
              <w10:wrap type="square" side="largest" anchorx="margin"/>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3D2CE" w14:textId="77777777" w:rsidR="0060680B" w:rsidRDefault="0060680B">
    <w:pPr>
      <w:pStyle w:val="af8"/>
      <w:pBdr>
        <w:top w:val="single" w:sz="4" w:space="1" w:color="000000"/>
      </w:pBdr>
      <w:jc w:val="center"/>
    </w:pPr>
    <w:r>
      <w:fldChar w:fldCharType="begin"/>
    </w:r>
    <w:r>
      <w:instrText>PAGE</w:instrText>
    </w:r>
    <w:r>
      <w:fldChar w:fldCharType="separate"/>
    </w:r>
    <w:r w:rsidR="00740D99">
      <w:rPr>
        <w:noProof/>
      </w:rPr>
      <w:t>7</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4F04DB" w14:textId="77777777" w:rsidR="0060680B" w:rsidRDefault="0060680B">
    <w:pPr>
      <w:pStyle w:val="af8"/>
      <w:pBdr>
        <w:top w:val="single" w:sz="4" w:space="1" w:color="000000"/>
      </w:pBdr>
      <w:jc w:val="center"/>
    </w:pPr>
    <w:r>
      <w:fldChar w:fldCharType="begin"/>
    </w:r>
    <w:r>
      <w:instrText>PAGE</w:instrText>
    </w:r>
    <w:r>
      <w:fldChar w:fldCharType="separate"/>
    </w:r>
    <w:r w:rsidR="00740D99">
      <w:rPr>
        <w:noProof/>
      </w:rPr>
      <w:t>18</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741988" w14:textId="77777777" w:rsidR="0060680B" w:rsidRDefault="0060680B">
    <w:pPr>
      <w:pStyle w:val="af8"/>
      <w:pBdr>
        <w:top w:val="single" w:sz="4" w:space="1" w:color="000000"/>
      </w:pBdr>
      <w:jc w:val="center"/>
    </w:pPr>
    <w:r>
      <w:fldChar w:fldCharType="begin"/>
    </w:r>
    <w:r>
      <w:instrText>PAGE</w:instrText>
    </w:r>
    <w:r>
      <w:fldChar w:fldCharType="separate"/>
    </w:r>
    <w:r w:rsidR="00740D99">
      <w:rPr>
        <w:noProof/>
      </w:rPr>
      <w:t>44</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A27B1" w14:textId="77777777" w:rsidR="0060680B" w:rsidRDefault="0060680B">
    <w:pPr>
      <w:pStyle w:val="af8"/>
      <w:pBdr>
        <w:top w:val="single" w:sz="4" w:space="1" w:color="000000"/>
      </w:pBdr>
      <w:jc w:val="center"/>
    </w:pPr>
    <w:r>
      <w:fldChar w:fldCharType="begin"/>
    </w:r>
    <w:r>
      <w:instrText>PAGE</w:instrText>
    </w:r>
    <w:r>
      <w:fldChar w:fldCharType="separate"/>
    </w:r>
    <w:r>
      <w:t>0</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634949" w14:textId="77777777" w:rsidR="0060680B" w:rsidRDefault="0060680B">
    <w:pPr>
      <w:pStyle w:val="af8"/>
      <w:pBdr>
        <w:top w:val="single" w:sz="4" w:space="1" w:color="000000"/>
      </w:pBdr>
      <w:jc w:val="center"/>
    </w:pPr>
    <w:r>
      <w:fldChar w:fldCharType="begin"/>
    </w:r>
    <w:r>
      <w:instrText>PAGE</w:instrText>
    </w:r>
    <w:r>
      <w:fldChar w:fldCharType="separate"/>
    </w:r>
    <w:r w:rsidR="00740D99">
      <w:rPr>
        <w:noProof/>
      </w:rPr>
      <w:t>45</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3586F" w14:textId="77777777" w:rsidR="0060680B" w:rsidRDefault="0060680B">
    <w:pPr>
      <w:pStyle w:val="af8"/>
      <w:pBdr>
        <w:top w:val="single" w:sz="4" w:space="1" w:color="000000"/>
      </w:pBdr>
      <w:jc w:val="center"/>
    </w:pPr>
    <w:r>
      <w:fldChar w:fldCharType="begin"/>
    </w:r>
    <w:r>
      <w:instrText>PAGE</w:instrText>
    </w:r>
    <w:r>
      <w:fldChar w:fldCharType="separate"/>
    </w:r>
    <w:r>
      <w:t>0</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284A03" w14:textId="77777777" w:rsidR="0060680B" w:rsidRDefault="0060680B">
    <w:pPr>
      <w:pStyle w:val="af8"/>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E4C48D" w14:textId="77777777" w:rsidR="0060680B" w:rsidRDefault="0060680B">
    <w:pPr>
      <w:pStyle w:val="af8"/>
      <w:pBdr>
        <w:top w:val="single" w:sz="4" w:space="1" w:color="000000"/>
      </w:pBdr>
      <w:jc w:val="center"/>
    </w:pPr>
    <w:r>
      <w:fldChar w:fldCharType="begin"/>
    </w:r>
    <w:r>
      <w:instrText>PAGE</w:instrText>
    </w:r>
    <w:r>
      <w:fldChar w:fldCharType="separate"/>
    </w:r>
    <w:r>
      <w:t>0</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9BA75" w14:textId="77777777" w:rsidR="0060680B" w:rsidRDefault="0060680B">
    <w:pPr>
      <w:pStyle w:val="af8"/>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F78993" w14:textId="77777777" w:rsidR="0060680B" w:rsidRDefault="0060680B">
    <w:pPr>
      <w:pStyle w:val="af8"/>
      <w:pBdr>
        <w:top w:val="single" w:sz="4" w:space="1" w:color="000000"/>
      </w:pBdr>
      <w:jc w:val="center"/>
    </w:pPr>
    <w:r>
      <w:fldChar w:fldCharType="begin"/>
    </w:r>
    <w:r>
      <w:instrText>PAGE</w:instrText>
    </w:r>
    <w:r>
      <w:fldChar w:fldCharType="separate"/>
    </w:r>
    <w:r w:rsidR="00740D99">
      <w:rPr>
        <w:noProof/>
      </w:rPr>
      <w:t>9</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906A21" w14:textId="77777777" w:rsidR="0060680B" w:rsidRDefault="0060680B">
    <w:pPr>
      <w:pStyle w:val="af8"/>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5177D4" w14:textId="77777777" w:rsidR="0060680B" w:rsidRDefault="0060680B">
    <w:pPr>
      <w:pStyle w:val="af8"/>
      <w:pBdr>
        <w:top w:val="single" w:sz="4" w:space="1" w:color="000000"/>
      </w:pBdr>
      <w:jc w:val="center"/>
    </w:pPr>
    <w:r>
      <w:fldChar w:fldCharType="begin"/>
    </w:r>
    <w:r>
      <w:instrText>PAGE</w:instrText>
    </w:r>
    <w:r>
      <w:fldChar w:fldCharType="separate"/>
    </w:r>
    <w:r w:rsidR="00740D99">
      <w:rPr>
        <w:noProof/>
      </w:rPr>
      <w:t>1</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BE76B" w14:textId="77777777" w:rsidR="0060680B" w:rsidRDefault="0060680B">
    <w:pPr>
      <w:pStyle w:val="af8"/>
      <w:pBdr>
        <w:top w:val="single" w:sz="4" w:space="1" w:color="000000"/>
      </w:pBdr>
      <w:jc w:val="center"/>
    </w:pPr>
    <w:r>
      <w:fldChar w:fldCharType="begin"/>
    </w:r>
    <w:r>
      <w:instrText>PAGE</w:instrText>
    </w:r>
    <w:r>
      <w:fldChar w:fldCharType="separate"/>
    </w:r>
    <w:r>
      <w:t>0</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502A3" w14:textId="77777777" w:rsidR="0060680B" w:rsidRDefault="0060680B">
    <w:pPr>
      <w:pStyle w:val="af8"/>
      <w:pBdr>
        <w:top w:val="single" w:sz="4" w:space="1" w:color="000000"/>
      </w:pBdr>
      <w:jc w:val="center"/>
    </w:pPr>
    <w:r>
      <w:fldChar w:fldCharType="begin"/>
    </w:r>
    <w:r>
      <w:instrText>PAGE</w:instrText>
    </w:r>
    <w:r>
      <w:fldChar w:fldCharType="separate"/>
    </w:r>
    <w:r w:rsidR="00740D99">
      <w:rPr>
        <w:noProof/>
      </w:rPr>
      <w:t>10</w:t>
    </w:r>
    <w: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02482E" w14:textId="77777777" w:rsidR="0060680B" w:rsidRDefault="0060680B">
    <w:pPr>
      <w:pStyle w:val="af8"/>
      <w:pBdr>
        <w:top w:val="single" w:sz="4" w:space="1" w:color="000000"/>
      </w:pBdr>
      <w:jc w:val="center"/>
    </w:pPr>
    <w:r>
      <w:fldChar w:fldCharType="begin"/>
    </w:r>
    <w:r>
      <w:instrText>PAGE</w:instrText>
    </w:r>
    <w:r>
      <w:fldChar w:fldCharType="separate"/>
    </w:r>
    <w:r w:rsidR="00740D99">
      <w:rPr>
        <w:noProof/>
      </w:rPr>
      <w:t>35</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0EA10E" w14:textId="77777777" w:rsidR="0060680B" w:rsidRDefault="0060680B">
    <w:pPr>
      <w:pStyle w:val="af8"/>
      <w:pBdr>
        <w:top w:val="single" w:sz="4" w:space="1" w:color="000000"/>
      </w:pBdr>
      <w:jc w:val="center"/>
    </w:pPr>
    <w:r>
      <w:fldChar w:fldCharType="begin"/>
    </w:r>
    <w:r>
      <w:instrText>PAGE</w:instrText>
    </w:r>
    <w:r>
      <w:fldChar w:fldCharType="separate"/>
    </w:r>
    <w:r w:rsidR="00740D99">
      <w:rPr>
        <w:noProof/>
      </w:rPr>
      <w:t>48</w:t>
    </w:r>
    <w: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FC45F" w14:textId="77777777" w:rsidR="0060680B" w:rsidRDefault="0060680B">
    <w:pPr>
      <w:pStyle w:val="af8"/>
      <w:pBdr>
        <w:top w:val="single" w:sz="4" w:space="1" w:color="000000"/>
      </w:pBdr>
      <w:jc w:val="center"/>
    </w:pPr>
    <w:r>
      <w:fldChar w:fldCharType="begin"/>
    </w:r>
    <w:r>
      <w:instrText>PAGE</w:instrText>
    </w:r>
    <w:r>
      <w:fldChar w:fldCharType="separate"/>
    </w:r>
    <w:r w:rsidR="00740D99">
      <w:rPr>
        <w:noProof/>
      </w:rPr>
      <w:t>50</w:t>
    </w:r>
    <w: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106232" w14:textId="77777777" w:rsidR="0060680B" w:rsidRDefault="0060680B">
    <w:pPr>
      <w:pStyle w:val="af8"/>
      <w:pBdr>
        <w:top w:val="single" w:sz="4" w:space="1" w:color="000000"/>
      </w:pBdr>
      <w:jc w:val="center"/>
    </w:pPr>
    <w:r>
      <w:fldChar w:fldCharType="begin"/>
    </w:r>
    <w:r>
      <w:instrText>PAGE</w:instrText>
    </w:r>
    <w:r>
      <w:fldChar w:fldCharType="separate"/>
    </w:r>
    <w:r w:rsidR="00740D99">
      <w:rPr>
        <w:noProof/>
      </w:rPr>
      <w:t>52</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0481B6" w14:textId="77777777" w:rsidR="0060680B" w:rsidRDefault="0060680B">
    <w:pPr>
      <w:pStyle w:val="af8"/>
      <w:pBdr>
        <w:top w:val="single" w:sz="4" w:space="1" w:color="000000"/>
      </w:pBdr>
      <w:jc w:val="center"/>
    </w:pPr>
    <w:r>
      <w:fldChar w:fldCharType="begin"/>
    </w:r>
    <w:r>
      <w:instrText>PAGE</w:instrText>
    </w:r>
    <w:r>
      <w:fldChar w:fldCharType="separate"/>
    </w:r>
    <w:r w:rsidR="00740D99">
      <w:rPr>
        <w:noProof/>
      </w:rPr>
      <w:t>59</w:t>
    </w:r>
    <w: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2792CC" w14:textId="77777777" w:rsidR="0060680B" w:rsidRDefault="0060680B">
    <w:pPr>
      <w:pStyle w:val="af8"/>
      <w:pBdr>
        <w:top w:val="single" w:sz="4" w:space="1" w:color="000000"/>
      </w:pBdr>
      <w:jc w:val="center"/>
    </w:pPr>
    <w:r>
      <w:fldChar w:fldCharType="begin"/>
    </w:r>
    <w:r>
      <w:instrText>PAGE</w:instrText>
    </w:r>
    <w:r>
      <w:fldChar w:fldCharType="separate"/>
    </w:r>
    <w:r w:rsidR="00740D99">
      <w:rPr>
        <w:noProof/>
      </w:rPr>
      <w:t>61</w:t>
    </w:r>
    <w: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0C7B60" w14:textId="77777777" w:rsidR="0060680B" w:rsidRDefault="0060680B">
    <w:pPr>
      <w:pStyle w:val="af8"/>
      <w:pBdr>
        <w:top w:val="single" w:sz="4" w:space="1" w:color="000000"/>
      </w:pBdr>
      <w:jc w:val="center"/>
    </w:pPr>
    <w:r>
      <w:fldChar w:fldCharType="begin"/>
    </w:r>
    <w:r>
      <w:instrText>PAGE</w:instrText>
    </w:r>
    <w:r>
      <w:fldChar w:fldCharType="separate"/>
    </w:r>
    <w:r w:rsidR="00740D99">
      <w:rPr>
        <w:noProof/>
      </w:rPr>
      <w:t>62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46C87C" w14:textId="77777777" w:rsidR="0060680B" w:rsidRDefault="0060680B">
    <w:pPr>
      <w:pStyle w:val="af8"/>
      <w:tabs>
        <w:tab w:val="clear" w:pos="4153"/>
        <w:tab w:val="clear" w:pos="8306"/>
        <w:tab w:val="left" w:pos="4890"/>
      </w:tabs>
    </w:pPr>
    <w:r>
      <w:tab/>
    </w:r>
    <w:r>
      <w:rPr>
        <w:noProof/>
        <w:lang w:val="en-US"/>
      </w:rPr>
      <mc:AlternateContent>
        <mc:Choice Requires="wps">
          <w:drawing>
            <wp:anchor distT="0" distB="0" distL="0" distR="0" simplePos="0" relativeHeight="251658240" behindDoc="0" locked="0" layoutInCell="1" allowOverlap="1" wp14:anchorId="7C3338A7" wp14:editId="541163E4">
              <wp:simplePos x="0" y="0"/>
              <wp:positionH relativeFrom="margin">
                <wp:align>center</wp:align>
              </wp:positionH>
              <wp:positionV relativeFrom="paragraph">
                <wp:posOffset>635</wp:posOffset>
              </wp:positionV>
              <wp:extent cx="222250" cy="20955"/>
              <wp:effectExtent l="0" t="0" r="0" b="0"/>
              <wp:wrapSquare wrapText="largest"/>
              <wp:docPr id="3" name="框架4"/>
              <wp:cNvGraphicFramePr/>
              <a:graphic xmlns:a="http://schemas.openxmlformats.org/drawingml/2006/main">
                <a:graphicData uri="http://schemas.microsoft.com/office/word/2010/wordprocessingShape">
                  <wps:wsp>
                    <wps:cNvSpPr txBox="1"/>
                    <wps:spPr>
                      <a:xfrm>
                        <a:off x="0" y="0"/>
                        <a:ext cx="222250" cy="20955"/>
                      </a:xfrm>
                      <a:prstGeom prst="rect">
                        <a:avLst/>
                      </a:prstGeom>
                      <a:solidFill>
                        <a:srgbClr val="FFFFFF">
                          <a:alpha val="0"/>
                        </a:srgbClr>
                      </a:solidFill>
                    </wps:spPr>
                    <wps:txbx>
                      <w:txbxContent>
                        <w:p w14:paraId="701F71AB" w14:textId="77777777" w:rsidR="0060680B" w:rsidRDefault="0060680B">
                          <w:pPr>
                            <w:pStyle w:val="af8"/>
                            <w:rPr>
                              <w:rStyle w:val="a3"/>
                              <w:sz w:val="21"/>
                            </w:rPr>
                          </w:pPr>
                        </w:p>
                      </w:txbxContent>
                    </wps:txbx>
                    <wps:bodyPr lIns="0" tIns="0" rIns="0" bIns="0" anchor="t">
                      <a:noAutofit/>
                    </wps:bodyPr>
                  </wps:wsp>
                </a:graphicData>
              </a:graphic>
            </wp:anchor>
          </w:drawing>
        </mc:Choice>
        <mc:Fallback>
          <w:pict>
            <v:shapetype w14:anchorId="7C3338A7" id="_x0000_t202" coordsize="21600,21600" o:spt="202" path="m,l,21600r21600,l21600,xe">
              <v:stroke joinstyle="miter"/>
              <v:path gradientshapeok="t" o:connecttype="rect"/>
            </v:shapetype>
            <v:shape id="框架4" o:spid="_x0000_s1035" type="#_x0000_t202" style="position:absolute;margin-left:0;margin-top:.05pt;width:17.5pt;height:1.65pt;z-index:251658240;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" stroked="f">
              <v:fill opacity="0"/>
              <v:textbox inset="0,0,0,0">
                <w:txbxContent>
                  <w:p w14:paraId="701F71AB" w14:textId="77777777" w:rsidR="0060680B" w:rsidRDefault="0060680B">
                    <w:pPr>
                      <w:pStyle w:val="af8"/>
                      <w:rPr>
                        <w:rStyle w:val="a3"/>
                        <w:sz w:val="21"/>
                      </w:rPr>
                    </w:pPr>
                  </w:p>
                </w:txbxContent>
              </v:textbox>
              <w10:wrap type="square" side="largest"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6C465" w14:textId="77777777" w:rsidR="0060680B" w:rsidRDefault="0060680B">
    <w:pPr>
      <w:pStyle w:val="af8"/>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2C56B8" w14:textId="77777777" w:rsidR="0060680B" w:rsidRDefault="0060680B">
    <w:pPr>
      <w:pStyle w:val="af8"/>
      <w:pBdr>
        <w:top w:val="single" w:sz="4" w:space="1" w:color="000000"/>
      </w:pBdr>
      <w:jc w:val="center"/>
    </w:pPr>
    <w:r>
      <w:fldChar w:fldCharType="begin"/>
    </w:r>
    <w:r>
      <w:instrText>PAGE</w:instrText>
    </w:r>
    <w:r>
      <w:fldChar w:fldCharType="separate"/>
    </w:r>
    <w:r w:rsidR="00740D99">
      <w:rPr>
        <w:noProof/>
      </w:rPr>
      <w:t>5</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A688E" w14:textId="77777777" w:rsidR="0060680B" w:rsidRDefault="0060680B">
    <w:pPr>
      <w:pStyle w:val="af8"/>
      <w:pBdr>
        <w:top w:val="single" w:sz="4" w:space="1" w:color="000000"/>
      </w:pBdr>
      <w:jc w:val="center"/>
    </w:pPr>
    <w:r>
      <w:fldChar w:fldCharType="begin"/>
    </w:r>
    <w:r>
      <w:instrText>PAGE</w:instrText>
    </w:r>
    <w:r>
      <w:fldChar w:fldCharType="separate"/>
    </w:r>
    <w:r w:rsidR="00740D99">
      <w:rPr>
        <w:noProof/>
      </w:rPr>
      <w:t>1</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ABE23" w14:textId="77777777" w:rsidR="0060680B" w:rsidRDefault="0060680B">
    <w:pPr>
      <w:pStyle w:val="af8"/>
      <w:pBdr>
        <w:top w:val="single" w:sz="8" w:space="15" w:color="000000"/>
      </w:pBdr>
    </w:pPr>
    <w:r>
      <w:rPr>
        <w:noProof/>
        <w:lang w:val="en-US"/>
      </w:rPr>
      <mc:AlternateContent>
        <mc:Choice Requires="wps">
          <w:drawing>
            <wp:anchor distT="0" distB="0" distL="0" distR="0" simplePos="0" relativeHeight="251659264" behindDoc="0" locked="0" layoutInCell="1" allowOverlap="1" wp14:anchorId="00035F04" wp14:editId="1C60C5AB">
              <wp:simplePos x="0" y="0"/>
              <wp:positionH relativeFrom="page">
                <wp:posOffset>990600</wp:posOffset>
              </wp:positionH>
              <wp:positionV relativeFrom="paragraph">
                <wp:posOffset>216535</wp:posOffset>
              </wp:positionV>
              <wp:extent cx="8818245" cy="20955"/>
              <wp:effectExtent l="0" t="0" r="0" b="0"/>
              <wp:wrapSquare wrapText="largest"/>
              <wp:docPr id="8" name="框架5"/>
              <wp:cNvGraphicFramePr/>
              <a:graphic xmlns:a="http://schemas.openxmlformats.org/drawingml/2006/main">
                <a:graphicData uri="http://schemas.microsoft.com/office/word/2010/wordprocessingShape">
                  <wps:wsp>
                    <wps:cNvSpPr txBox="1"/>
                    <wps:spPr>
                      <a:xfrm>
                        <a:off x="0" y="0"/>
                        <a:ext cx="8818245" cy="20955"/>
                      </a:xfrm>
                      <a:prstGeom prst="rect">
                        <a:avLst/>
                      </a:prstGeom>
                      <a:solidFill>
                        <a:srgbClr val="FFFFFF">
                          <a:alpha val="0"/>
                        </a:srgbClr>
                      </a:solidFill>
                    </wps:spPr>
                    <wps:txbx>
                      <w:txbxContent>
                        <w:p w14:paraId="3FAB2CAC" w14:textId="77777777" w:rsidR="0060680B" w:rsidRDefault="0060680B">
                          <w:pPr>
                            <w:pStyle w:val="af8"/>
                            <w:jc w:val="center"/>
                            <w:rPr>
                              <w:rStyle w:val="a3"/>
                              <w:sz w:val="21"/>
                            </w:rPr>
                          </w:pPr>
                          <w:r>
                            <w:rPr>
                              <w:rStyle w:val="a3"/>
                              <w:sz w:val="21"/>
                              <w:szCs w:val="21"/>
                            </w:rPr>
                            <w:t xml:space="preserve">- </w:t>
                          </w:r>
                          <w:r>
                            <w:rPr>
                              <w:rStyle w:val="a3"/>
                              <w:sz w:val="21"/>
                              <w:szCs w:val="21"/>
                            </w:rPr>
                            <w:fldChar w:fldCharType="begin"/>
                          </w:r>
                          <w:r>
                            <w:rPr>
                              <w:rStyle w:val="a3"/>
                              <w:sz w:val="21"/>
                              <w:szCs w:val="21"/>
                            </w:rPr>
                            <w:instrText>PAGE</w:instrText>
                          </w:r>
                          <w:r>
                            <w:rPr>
                              <w:rStyle w:val="a3"/>
                              <w:sz w:val="21"/>
                              <w:szCs w:val="21"/>
                            </w:rPr>
                            <w:fldChar w:fldCharType="separate"/>
                          </w:r>
                          <w:r>
                            <w:rPr>
                              <w:rStyle w:val="a3"/>
                              <w:sz w:val="21"/>
                              <w:szCs w:val="21"/>
                            </w:rPr>
                            <w:t>0</w:t>
                          </w:r>
                          <w:r>
                            <w:rPr>
                              <w:rStyle w:val="a3"/>
                              <w:sz w:val="21"/>
                              <w:szCs w:val="21"/>
                            </w:rPr>
                            <w:fldChar w:fldCharType="end"/>
                          </w:r>
                          <w:r>
                            <w:rPr>
                              <w:rStyle w:val="a3"/>
                              <w:sz w:val="21"/>
                              <w:szCs w:val="21"/>
                            </w:rPr>
                            <w:t xml:space="preserve"> -</w:t>
                          </w:r>
                        </w:p>
                      </w:txbxContent>
                    </wps:txbx>
                    <wps:bodyPr lIns="0" tIns="0" rIns="0" bIns="0" anchor="t">
                      <a:noAutofit/>
                    </wps:bodyPr>
                  </wps:wsp>
                </a:graphicData>
              </a:graphic>
            </wp:anchor>
          </w:drawing>
        </mc:Choice>
        <mc:Fallback>
          <w:pict>
            <v:shapetype w14:anchorId="00035F04" id="_x0000_t202" coordsize="21600,21600" o:spt="202" path="m,l,21600r21600,l21600,xe">
              <v:stroke joinstyle="miter"/>
              <v:path gradientshapeok="t" o:connecttype="rect"/>
            </v:shapetype>
            <v:shape id="框架5" o:spid="_x0000_s1036" type="#_x0000_t202" style="position:absolute;margin-left:78pt;margin-top:17.05pt;width:694.35pt;height:1.65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" stroked="f">
              <v:fill opacity="0"/>
              <v:textbox inset="0,0,0,0">
                <w:txbxContent>
                  <w:p w14:paraId="3FAB2CAC" w14:textId="77777777" w:rsidR="0060680B" w:rsidRDefault="0060680B">
                    <w:pPr>
                      <w:pStyle w:val="af8"/>
                      <w:jc w:val="center"/>
                      <w:rPr>
                        <w:rStyle w:val="a3"/>
                        <w:sz w:val="21"/>
                      </w:rPr>
                    </w:pPr>
                    <w:r>
                      <w:rPr>
                        <w:rStyle w:val="a3"/>
                        <w:sz w:val="21"/>
                        <w:szCs w:val="21"/>
                      </w:rPr>
                      <w:t xml:space="preserve">- </w:t>
                    </w:r>
                    <w:r>
                      <w:rPr>
                        <w:rStyle w:val="a3"/>
                        <w:sz w:val="21"/>
                        <w:szCs w:val="21"/>
                      </w:rPr>
                      <w:fldChar w:fldCharType="begin"/>
                    </w:r>
                    <w:r>
                      <w:rPr>
                        <w:rStyle w:val="a3"/>
                        <w:sz w:val="21"/>
                        <w:szCs w:val="21"/>
                      </w:rPr>
                      <w:instrText>PAGE</w:instrText>
                    </w:r>
                    <w:r>
                      <w:rPr>
                        <w:rStyle w:val="a3"/>
                        <w:sz w:val="21"/>
                        <w:szCs w:val="21"/>
                      </w:rPr>
                      <w:fldChar w:fldCharType="separate"/>
                    </w:r>
                    <w:r>
                      <w:rPr>
                        <w:rStyle w:val="a3"/>
                        <w:sz w:val="21"/>
                        <w:szCs w:val="21"/>
                      </w:rPr>
                      <w:t>0</w:t>
                    </w:r>
                    <w:r>
                      <w:rPr>
                        <w:rStyle w:val="a3"/>
                        <w:sz w:val="21"/>
                        <w:szCs w:val="21"/>
                      </w:rPr>
                      <w:fldChar w:fldCharType="end"/>
                    </w:r>
                    <w:r>
                      <w:rPr>
                        <w:rStyle w:val="a3"/>
                        <w:sz w:val="21"/>
                        <w:szCs w:val="21"/>
                      </w:rPr>
                      <w:t xml:space="preserve"> -</w:t>
                    </w:r>
                  </w:p>
                </w:txbxContent>
              </v:textbox>
              <w10:wrap type="square" side="largest" anchorx="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FC9AEA" w14:textId="77777777" w:rsidR="0060680B" w:rsidRDefault="0060680B">
    <w:pPr>
      <w:pStyle w:val="af8"/>
      <w:pBdr>
        <w:top w:val="single" w:sz="4" w:space="1" w:color="000000"/>
      </w:pBdr>
      <w:jc w:val="center"/>
    </w:pPr>
    <w:r>
      <w:fldChar w:fldCharType="begin"/>
    </w:r>
    <w:r>
      <w:instrText>PAGE</w:instrText>
    </w:r>
    <w:r>
      <w:fldChar w:fldCharType="separate"/>
    </w:r>
    <w:r w:rsidR="00740D99">
      <w:rPr>
        <w:noProof/>
      </w:rPr>
      <w:t>6</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B9625" w14:textId="77777777" w:rsidR="0060680B" w:rsidRDefault="0060680B">
    <w:pPr>
      <w:pStyle w:val="af8"/>
      <w:pBdr>
        <w:top w:val="single" w:sz="8" w:space="15" w:color="000000"/>
      </w:pBdr>
    </w:pPr>
    <w:r>
      <w:rPr>
        <w:noProof/>
        <w:lang w:val="en-US"/>
      </w:rPr>
      <mc:AlternateContent>
        <mc:Choice Requires="wps">
          <w:drawing>
            <wp:anchor distT="0" distB="0" distL="0" distR="0" simplePos="0" relativeHeight="251660288" behindDoc="0" locked="0" layoutInCell="1" allowOverlap="1" wp14:anchorId="4DE8A7A5" wp14:editId="71745136">
              <wp:simplePos x="0" y="0"/>
              <wp:positionH relativeFrom="page">
                <wp:posOffset>990600</wp:posOffset>
              </wp:positionH>
              <wp:positionV relativeFrom="paragraph">
                <wp:posOffset>216535</wp:posOffset>
              </wp:positionV>
              <wp:extent cx="8818245" cy="20955"/>
              <wp:effectExtent l="0" t="0" r="0" b="0"/>
              <wp:wrapSquare wrapText="largest"/>
              <wp:docPr id="10" name="框架6"/>
              <wp:cNvGraphicFramePr/>
              <a:graphic xmlns:a="http://schemas.openxmlformats.org/drawingml/2006/main">
                <a:graphicData uri="http://schemas.microsoft.com/office/word/2010/wordprocessingShape">
                  <wps:wsp>
                    <wps:cNvSpPr txBox="1"/>
                    <wps:spPr>
                      <a:xfrm>
                        <a:off x="0" y="0"/>
                        <a:ext cx="8818245" cy="20955"/>
                      </a:xfrm>
                      <a:prstGeom prst="rect">
                        <a:avLst/>
                      </a:prstGeom>
                      <a:solidFill>
                        <a:srgbClr val="FFFFFF">
                          <a:alpha val="0"/>
                        </a:srgbClr>
                      </a:solidFill>
                    </wps:spPr>
                    <wps:txbx>
                      <w:txbxContent>
                        <w:p w14:paraId="65BD0E09" w14:textId="77777777" w:rsidR="0060680B" w:rsidRDefault="0060680B">
                          <w:pPr>
                            <w:pStyle w:val="af8"/>
                            <w:jc w:val="center"/>
                          </w:pPr>
                          <w:r>
                            <w:rPr>
                              <w:rStyle w:val="a3"/>
                              <w:sz w:val="21"/>
                              <w:szCs w:val="21"/>
                            </w:rPr>
                            <w:t xml:space="preserve">- </w:t>
                          </w:r>
                          <w:r>
                            <w:rPr>
                              <w:rStyle w:val="a3"/>
                              <w:sz w:val="21"/>
                              <w:szCs w:val="21"/>
                            </w:rPr>
                            <w:fldChar w:fldCharType="begin"/>
                          </w:r>
                          <w:r>
                            <w:rPr>
                              <w:rStyle w:val="a3"/>
                              <w:sz w:val="21"/>
                              <w:szCs w:val="21"/>
                            </w:rPr>
                            <w:instrText>PAGE</w:instrText>
                          </w:r>
                          <w:r>
                            <w:rPr>
                              <w:rStyle w:val="a3"/>
                              <w:sz w:val="21"/>
                              <w:szCs w:val="21"/>
                            </w:rPr>
                            <w:fldChar w:fldCharType="separate"/>
                          </w:r>
                          <w:r>
                            <w:rPr>
                              <w:rStyle w:val="a3"/>
                              <w:sz w:val="21"/>
                              <w:szCs w:val="21"/>
                            </w:rPr>
                            <w:t>0</w:t>
                          </w:r>
                          <w:r>
                            <w:rPr>
                              <w:rStyle w:val="a3"/>
                              <w:sz w:val="21"/>
                              <w:szCs w:val="21"/>
                            </w:rPr>
                            <w:fldChar w:fldCharType="end"/>
                          </w:r>
                          <w:r>
                            <w:rPr>
                              <w:rStyle w:val="a3"/>
                              <w:sz w:val="21"/>
                              <w:szCs w:val="21"/>
                            </w:rPr>
                            <w:t xml:space="preserve"> -</w:t>
                          </w:r>
                        </w:p>
                      </w:txbxContent>
                    </wps:txbx>
                    <wps:bodyPr lIns="0" tIns="0" rIns="0" bIns="0" anchor="t">
                      <a:noAutofit/>
                    </wps:bodyPr>
                  </wps:wsp>
                </a:graphicData>
              </a:graphic>
            </wp:anchor>
          </w:drawing>
        </mc:Choice>
        <mc:Fallback>
          <w:pict>
            <v:shapetype w14:anchorId="4DE8A7A5" id="_x0000_t202" coordsize="21600,21600" o:spt="202" path="m,l,21600r21600,l21600,xe">
              <v:stroke joinstyle="miter"/>
              <v:path gradientshapeok="t" o:connecttype="rect"/>
            </v:shapetype>
            <v:shape id="框架6" o:spid="_x0000_s1037" type="#_x0000_t202" style="position:absolute;margin-left:78pt;margin-top:17.05pt;width:694.35pt;height:1.65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" stroked="f">
              <v:fill opacity="0"/>
              <v:textbox inset="0,0,0,0">
                <w:txbxContent>
                  <w:p w14:paraId="65BD0E09" w14:textId="77777777" w:rsidR="0060680B" w:rsidRDefault="0060680B">
                    <w:pPr>
                      <w:pStyle w:val="af8"/>
                      <w:jc w:val="center"/>
                    </w:pPr>
                    <w:r>
                      <w:rPr>
                        <w:rStyle w:val="a3"/>
                        <w:sz w:val="21"/>
                        <w:szCs w:val="21"/>
                      </w:rPr>
                      <w:t xml:space="preserve">- </w:t>
                    </w:r>
                    <w:r>
                      <w:rPr>
                        <w:rStyle w:val="a3"/>
                        <w:sz w:val="21"/>
                        <w:szCs w:val="21"/>
                      </w:rPr>
                      <w:fldChar w:fldCharType="begin"/>
                    </w:r>
                    <w:r>
                      <w:rPr>
                        <w:rStyle w:val="a3"/>
                        <w:sz w:val="21"/>
                        <w:szCs w:val="21"/>
                      </w:rPr>
                      <w:instrText>PAGE</w:instrText>
                    </w:r>
                    <w:r>
                      <w:rPr>
                        <w:rStyle w:val="a3"/>
                        <w:sz w:val="21"/>
                        <w:szCs w:val="21"/>
                      </w:rPr>
                      <w:fldChar w:fldCharType="separate"/>
                    </w:r>
                    <w:r>
                      <w:rPr>
                        <w:rStyle w:val="a3"/>
                        <w:sz w:val="21"/>
                        <w:szCs w:val="21"/>
                      </w:rPr>
                      <w:t>0</w:t>
                    </w:r>
                    <w:r>
                      <w:rPr>
                        <w:rStyle w:val="a3"/>
                        <w:sz w:val="21"/>
                        <w:szCs w:val="21"/>
                      </w:rPr>
                      <w:fldChar w:fldCharType="end"/>
                    </w:r>
                    <w:r>
                      <w:rPr>
                        <w:rStyle w:val="a3"/>
                        <w:sz w:val="21"/>
                        <w:szCs w:val="21"/>
                      </w:rPr>
                      <w:t xml:space="preserve"> -</w:t>
                    </w:r>
                  </w:p>
                </w:txbxContent>
              </v:textbox>
              <w10:wrap type="square" side="largest"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F8B7D1" w14:textId="77777777" w:rsidR="00E25FDE" w:rsidRDefault="00E25FDE">
      <w:pPr>
        <w:spacing w:line="240" w:lineRule="auto"/>
      </w:pPr>
      <w:r>
        <w:separator/>
      </w:r>
    </w:p>
  </w:footnote>
  <w:footnote w:type="continuationSeparator" w:id="0">
    <w:p w14:paraId="5AAB078E" w14:textId="77777777" w:rsidR="00E25FDE" w:rsidRDefault="00E25FD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537382" w14:textId="77777777" w:rsidR="0060680B" w:rsidRDefault="0060680B">
    <w:pPr>
      <w:pStyle w:val="af7"/>
      <w:pBdr>
        <w:bottom w:val="nil"/>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D6183" w14:textId="77777777" w:rsidR="0060680B" w:rsidRDefault="0060680B">
    <w:pPr>
      <w:pStyle w:val="af7"/>
      <w:pBdr>
        <w:bottom w:val="nil"/>
      </w:pBdr>
    </w:pPr>
    <w:r>
      <w:rPr>
        <w:noProof/>
        <w:lang w:val="en-US"/>
      </w:rPr>
      <w:drawing>
        <wp:inline distT="0" distB="0" distL="0" distR="0" wp14:anchorId="165C7084" wp14:editId="73554101">
          <wp:extent cx="5889625" cy="277495"/>
          <wp:effectExtent l="0" t="0" r="0" b="0"/>
          <wp:docPr id="49" name="图像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像17"/>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1E596" w14:textId="77777777" w:rsidR="0060680B" w:rsidRDefault="0060680B">
    <w:pPr>
      <w:pStyle w:val="af7"/>
      <w:pBdr>
        <w:bottom w:val="nil"/>
      </w:pBdr>
      <w:jc w:val="both"/>
    </w:pPr>
    <w:r>
      <w:rPr>
        <w:noProof/>
        <w:lang w:val="en-US"/>
      </w:rPr>
      <w:drawing>
        <wp:inline distT="0" distB="0" distL="0" distR="0" wp14:anchorId="28ABC764" wp14:editId="610CFCE6">
          <wp:extent cx="5889625" cy="277495"/>
          <wp:effectExtent l="0" t="0" r="0" b="0"/>
          <wp:docPr id="50" name="图像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像18"/>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9565F3" w14:textId="77777777" w:rsidR="0060680B" w:rsidRDefault="0060680B">
    <w:pPr>
      <w:pStyle w:val="af7"/>
      <w:pBdr>
        <w:bottom w:val="nil"/>
      </w:pBdr>
      <w:jc w:val="both"/>
    </w:pPr>
    <w:r>
      <w:rPr>
        <w:noProof/>
        <w:lang w:val="en-US"/>
      </w:rPr>
      <w:drawing>
        <wp:inline distT="0" distB="0" distL="0" distR="0" wp14:anchorId="4A4EFEE3" wp14:editId="5395238E">
          <wp:extent cx="5889625" cy="277495"/>
          <wp:effectExtent l="0" t="0" r="0" b="0"/>
          <wp:docPr id="51" name="图像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像19"/>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92A688" w14:textId="77777777" w:rsidR="0060680B" w:rsidRDefault="0060680B">
    <w:pPr>
      <w:pStyle w:val="af7"/>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0D1A1" w14:textId="77777777" w:rsidR="0060680B" w:rsidRDefault="0060680B">
    <w:pPr>
      <w:pStyle w:val="af7"/>
      <w:pBdr>
        <w:bottom w:val="nil"/>
      </w:pBdr>
      <w:jc w:val="both"/>
    </w:pPr>
    <w:r>
      <w:rPr>
        <w:noProof/>
        <w:lang w:val="en-US"/>
      </w:rPr>
      <w:drawing>
        <wp:inline distT="0" distB="0" distL="0" distR="0" wp14:anchorId="1B81D74E" wp14:editId="5F2D8135">
          <wp:extent cx="5889625" cy="277495"/>
          <wp:effectExtent l="0" t="0" r="0" b="0"/>
          <wp:docPr id="52" name="图像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像20"/>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p w14:paraId="7CB6DCD5" w14:textId="77777777" w:rsidR="0060680B" w:rsidRDefault="0060680B">
    <w:pPr>
      <w:pStyle w:val="af7"/>
      <w:pBdr>
        <w:bottom w:val="nil"/>
      </w:pBdr>
      <w:jc w:val="both"/>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D10266" w14:textId="77777777" w:rsidR="0060680B" w:rsidRDefault="0060680B">
    <w:pPr>
      <w:pStyle w:val="af7"/>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1D4511" w14:textId="77777777" w:rsidR="0060680B" w:rsidRDefault="0060680B">
    <w:pPr>
      <w:pStyle w:val="af7"/>
      <w:pBdr>
        <w:bottom w:val="nil"/>
      </w:pBdr>
      <w:jc w:val="both"/>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6464C7" w14:textId="77777777" w:rsidR="0060680B" w:rsidRDefault="0060680B">
    <w:pPr>
      <w:pStyle w:val="af7"/>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F3E11" w14:textId="77777777" w:rsidR="0060680B" w:rsidRDefault="0060680B">
    <w:pPr>
      <w:pStyle w:val="af7"/>
      <w:pBdr>
        <w:bottom w:val="nil"/>
      </w:pBdr>
      <w:jc w:val="both"/>
    </w:pPr>
    <w:r>
      <w:rPr>
        <w:noProof/>
        <w:lang w:val="en-US"/>
      </w:rPr>
      <w:drawing>
        <wp:inline distT="0" distB="0" distL="0" distR="0" wp14:anchorId="6FC2BF18" wp14:editId="1D29EAB1">
          <wp:extent cx="5889625" cy="277495"/>
          <wp:effectExtent l="0" t="0" r="0" b="0"/>
          <wp:docPr id="53" name="图像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像21"/>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7C7B9" w14:textId="77777777" w:rsidR="0060680B" w:rsidRDefault="0060680B">
    <w:pPr>
      <w:pStyle w:val="af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6496D" w14:textId="77777777" w:rsidR="0060680B" w:rsidRDefault="0060680B">
    <w:pPr>
      <w:pStyle w:val="af7"/>
      <w:pBdr>
        <w:bottom w:val="nil"/>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258D7C" w14:textId="77777777" w:rsidR="0060680B" w:rsidRDefault="0060680B">
    <w:pPr>
      <w:pStyle w:val="af7"/>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5E69A2" w14:textId="77777777" w:rsidR="0060680B" w:rsidRDefault="0060680B">
    <w:pPr>
      <w:pStyle w:val="af7"/>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AA291" w14:textId="77777777" w:rsidR="0060680B" w:rsidRDefault="0060680B">
    <w:pPr>
      <w:pStyle w:val="af7"/>
      <w:pBdr>
        <w:bottom w:val="nil"/>
      </w:pBdr>
    </w:pPr>
    <w:r>
      <w:rPr>
        <w:noProof/>
        <w:lang w:val="en-US"/>
      </w:rPr>
      <w:drawing>
        <wp:inline distT="0" distB="0" distL="0" distR="0" wp14:anchorId="6C1D3C39" wp14:editId="389C5231">
          <wp:extent cx="5889625" cy="277495"/>
          <wp:effectExtent l="0" t="0" r="0" b="0"/>
          <wp:docPr id="54" name="图像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像22"/>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781E0" w14:textId="77777777" w:rsidR="0060680B" w:rsidRDefault="0060680B">
    <w:pPr>
      <w:pStyle w:val="af7"/>
      <w:pBdr>
        <w:bottom w:val="nil"/>
      </w:pBdr>
    </w:pPr>
    <w:r>
      <w:rPr>
        <w:noProof/>
        <w:lang w:val="en-US"/>
      </w:rPr>
      <w:drawing>
        <wp:inline distT="0" distB="0" distL="0" distR="0" wp14:anchorId="6009E276" wp14:editId="7641BFB3">
          <wp:extent cx="5889625" cy="277495"/>
          <wp:effectExtent l="0" t="0" r="0" b="0"/>
          <wp:docPr id="55" name="图像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像23"/>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D419D" w14:textId="77777777" w:rsidR="0060680B" w:rsidRDefault="0060680B">
    <w:pPr>
      <w:pStyle w:val="af7"/>
      <w:pBdr>
        <w:bottom w:val="nil"/>
      </w:pBdr>
    </w:pPr>
    <w:r>
      <w:rPr>
        <w:noProof/>
        <w:lang w:val="en-US"/>
      </w:rPr>
      <w:drawing>
        <wp:inline distT="0" distB="0" distL="0" distR="0" wp14:anchorId="53643960" wp14:editId="46FA01C0">
          <wp:extent cx="5889625" cy="277495"/>
          <wp:effectExtent l="0" t="0" r="0" b="0"/>
          <wp:docPr id="56" name="图像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像24"/>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14B214" w14:textId="77777777" w:rsidR="0060680B" w:rsidRDefault="0060680B">
    <w:pPr>
      <w:pStyle w:val="af7"/>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C26E8F" w14:textId="77777777" w:rsidR="0060680B" w:rsidRDefault="0060680B">
    <w:pPr>
      <w:pStyle w:val="af7"/>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78B04" w14:textId="77777777" w:rsidR="0060680B" w:rsidRDefault="0060680B">
    <w:pPr>
      <w:pStyle w:val="af7"/>
      <w:pBdr>
        <w:bottom w:val="nil"/>
      </w:pBdr>
    </w:pPr>
    <w:r>
      <w:rPr>
        <w:noProof/>
        <w:lang w:val="en-US"/>
      </w:rPr>
      <w:drawing>
        <wp:inline distT="0" distB="0" distL="0" distR="0" wp14:anchorId="0021EF7B" wp14:editId="30ECF529">
          <wp:extent cx="5498465" cy="277495"/>
          <wp:effectExtent l="0" t="0" r="0" b="0"/>
          <wp:docPr id="57" name="图像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像25"/>
                  <pic:cNvPicPr>
                    <a:picLocks noChangeAspect="1" noChangeArrowheads="1"/>
                  </pic:cNvPicPr>
                </pic:nvPicPr>
                <pic:blipFill>
                  <a:blip r:embed="rId1"/>
                  <a:srcRect l="-1" t="-40" r="-1" b="-40"/>
                  <a:stretch>
                    <a:fillRect/>
                  </a:stretch>
                </pic:blipFill>
                <pic:spPr bwMode="auto">
                  <a:xfrm>
                    <a:off x="0" y="0"/>
                    <a:ext cx="5498465" cy="277495"/>
                  </a:xfrm>
                  <a:prstGeom prst="rect">
                    <a:avLst/>
                  </a:prstGeom>
                </pic:spPr>
              </pic:pic>
            </a:graphicData>
          </a:graphic>
        </wp:inline>
      </w:drawing>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D44146" w14:textId="77777777" w:rsidR="0060680B" w:rsidRDefault="0060680B">
    <w:pPr>
      <w:pStyle w:val="af7"/>
      <w:pBdr>
        <w:bottom w:val="nil"/>
      </w:pBdr>
    </w:pPr>
    <w:r>
      <w:rPr>
        <w:noProof/>
        <w:lang w:val="en-US"/>
      </w:rPr>
      <w:drawing>
        <wp:inline distT="0" distB="0" distL="0" distR="0" wp14:anchorId="0D85F792" wp14:editId="67775D73">
          <wp:extent cx="5498465" cy="277495"/>
          <wp:effectExtent l="0" t="0" r="0" b="0"/>
          <wp:docPr id="58" name="图像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像26"/>
                  <pic:cNvPicPr>
                    <a:picLocks noChangeAspect="1" noChangeArrowheads="1"/>
                  </pic:cNvPicPr>
                </pic:nvPicPr>
                <pic:blipFill>
                  <a:blip r:embed="rId1"/>
                  <a:srcRect l="-1" t="-40" r="-1" b="-40"/>
                  <a:stretch>
                    <a:fillRect/>
                  </a:stretch>
                </pic:blipFill>
                <pic:spPr bwMode="auto">
                  <a:xfrm>
                    <a:off x="0" y="0"/>
                    <a:ext cx="5498465" cy="277495"/>
                  </a:xfrm>
                  <a:prstGeom prst="rect">
                    <a:avLst/>
                  </a:prstGeom>
                </pic:spPr>
              </pic:pic>
            </a:graphicData>
          </a:graphic>
        </wp:inline>
      </w:drawing>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10388" w14:textId="77777777" w:rsidR="0060680B" w:rsidRDefault="0060680B">
    <w:pPr>
      <w:rPr>
        <w:lang w:val="zh-CN"/>
      </w:rPr>
    </w:pPr>
    <w:r>
      <w:rPr>
        <w:noProof/>
      </w:rPr>
      <w:drawing>
        <wp:inline distT="0" distB="0" distL="0" distR="0" wp14:anchorId="6948F491" wp14:editId="2EDB5F2E">
          <wp:extent cx="5498465" cy="277495"/>
          <wp:effectExtent l="0" t="0" r="0" b="0"/>
          <wp:docPr id="40" name="图像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像27"/>
                  <pic:cNvPicPr>
                    <a:picLocks noChangeAspect="1" noChangeArrowheads="1"/>
                  </pic:cNvPicPr>
                </pic:nvPicPr>
                <pic:blipFill>
                  <a:blip r:embed="rId1"/>
                  <a:srcRect l="-1" t="-40" r="-1" b="-40"/>
                  <a:stretch>
                    <a:fillRect/>
                  </a:stretch>
                </pic:blipFill>
                <pic:spPr bwMode="auto">
                  <a:xfrm>
                    <a:off x="0" y="0"/>
                    <a:ext cx="5498465" cy="27749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19F34" w14:textId="77777777" w:rsidR="0060680B" w:rsidRDefault="0060680B">
    <w:pPr>
      <w:pStyle w:val="af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2EBF64" w14:textId="77777777" w:rsidR="0060680B" w:rsidRDefault="0060680B">
    <w:pPr>
      <w:pStyle w:val="af7"/>
      <w:pBdr>
        <w:bottom w:val="nil"/>
      </w:pBdr>
    </w:pPr>
    <w:r>
      <w:rPr>
        <w:noProof/>
        <w:lang w:val="en-US"/>
      </w:rPr>
      <w:drawing>
        <wp:inline distT="0" distB="0" distL="0" distR="0" wp14:anchorId="3A31FA2B" wp14:editId="2A572362">
          <wp:extent cx="5889625" cy="277495"/>
          <wp:effectExtent l="0" t="0" r="0" b="0"/>
          <wp:docPr id="44"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71C4C" w14:textId="77777777" w:rsidR="0060680B" w:rsidRDefault="0060680B">
    <w:pPr>
      <w:rPr>
        <w:lang w:val="zh-CN"/>
      </w:rPr>
    </w:pPr>
    <w:r>
      <w:rPr>
        <w:noProof/>
      </w:rPr>
      <w:drawing>
        <wp:inline distT="0" distB="0" distL="0" distR="0" wp14:anchorId="6BF51F52" wp14:editId="35BF79E3">
          <wp:extent cx="5895975" cy="323215"/>
          <wp:effectExtent l="0" t="0" r="0" b="0"/>
          <wp:docPr id="45" name="图像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像14"/>
                  <pic:cNvPicPr>
                    <a:picLocks noChangeAspect="1" noChangeArrowheads="1"/>
                  </pic:cNvPicPr>
                </pic:nvPicPr>
                <pic:blipFill>
                  <a:blip r:embed="rId1"/>
                  <a:srcRect l="-1" t="-40" r="-1" b="-40"/>
                  <a:stretch>
                    <a:fillRect/>
                  </a:stretch>
                </pic:blipFill>
                <pic:spPr bwMode="auto">
                  <a:xfrm>
                    <a:off x="0" y="0"/>
                    <a:ext cx="5895975" cy="323215"/>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7CCC28" w14:textId="77777777" w:rsidR="0060680B" w:rsidRDefault="0060680B">
    <w:pPr>
      <w:rPr>
        <w:lang w:val="zh-CN"/>
      </w:rPr>
    </w:pPr>
    <w:r>
      <w:rPr>
        <w:noProof/>
      </w:rPr>
      <w:drawing>
        <wp:inline distT="0" distB="0" distL="0" distR="0" wp14:anchorId="0DB3BEED" wp14:editId="43B04C2F">
          <wp:extent cx="5902325" cy="332740"/>
          <wp:effectExtent l="0" t="0" r="0" b="0"/>
          <wp:docPr id="46" name="图像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像13"/>
                  <pic:cNvPicPr>
                    <a:picLocks noChangeAspect="1" noChangeArrowheads="1"/>
                  </pic:cNvPicPr>
                </pic:nvPicPr>
                <pic:blipFill>
                  <a:blip r:embed="rId1"/>
                  <a:srcRect l="-1" t="-40" r="-1" b="-40"/>
                  <a:stretch>
                    <a:fillRect/>
                  </a:stretch>
                </pic:blipFill>
                <pic:spPr bwMode="auto">
                  <a:xfrm>
                    <a:off x="0" y="0"/>
                    <a:ext cx="5902325" cy="332740"/>
                  </a:xfrm>
                  <a:prstGeom prst="rect">
                    <a:avLst/>
                  </a:prstGeom>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470661" w14:textId="77777777" w:rsidR="0060680B" w:rsidRDefault="0060680B">
    <w:pPr>
      <w:pStyle w:val="af7"/>
      <w:pBdr>
        <w:bottom w:val="nil"/>
      </w:pBdr>
      <w:jc w:val="both"/>
      <w:rPr>
        <w:rFonts w:ascii="楷体_GB2312;楷体" w:eastAsia="楷体_GB2312;楷体" w:hAnsi="楷体_GB2312;楷体"/>
        <w:spacing w:val="-20"/>
        <w:sz w:val="24"/>
      </w:rPr>
    </w:pPr>
    <w:r>
      <w:rPr>
        <w:rFonts w:ascii="楷体_GB2312;楷体" w:eastAsia="楷体_GB2312;楷体" w:hAnsi="楷体_GB2312;楷体"/>
        <w:noProof/>
        <w:spacing w:val="-20"/>
        <w:sz w:val="24"/>
        <w:lang w:val="en-US"/>
      </w:rPr>
      <w:drawing>
        <wp:inline distT="0" distB="0" distL="0" distR="0" wp14:anchorId="5D6788DB" wp14:editId="67FA14F8">
          <wp:extent cx="8865870" cy="393700"/>
          <wp:effectExtent l="0" t="0" r="0" b="0"/>
          <wp:docPr id="47" name="图像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像16"/>
                  <pic:cNvPicPr>
                    <a:picLocks noChangeAspect="1" noChangeArrowheads="1"/>
                  </pic:cNvPicPr>
                </pic:nvPicPr>
                <pic:blipFill>
                  <a:blip r:embed="rId1"/>
                  <a:stretch>
                    <a:fillRect/>
                  </a:stretch>
                </pic:blipFill>
                <pic:spPr bwMode="auto">
                  <a:xfrm>
                    <a:off x="0" y="0"/>
                    <a:ext cx="8865870" cy="393700"/>
                  </a:xfrm>
                  <a:prstGeom prst="rect">
                    <a:avLst/>
                  </a:prstGeom>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88E73" w14:textId="77777777" w:rsidR="0060680B" w:rsidRDefault="0060680B">
    <w:pPr>
      <w:pStyle w:val="af7"/>
      <w:pBdr>
        <w:bottom w:val="nil"/>
      </w:pBdr>
    </w:pPr>
    <w:r>
      <w:rPr>
        <w:noProof/>
        <w:lang w:val="en-US"/>
      </w:rPr>
      <w:drawing>
        <wp:inline distT="0" distB="0" distL="0" distR="0" wp14:anchorId="478BE0DA" wp14:editId="5C3DE78B">
          <wp:extent cx="5889625" cy="277495"/>
          <wp:effectExtent l="0" t="0" r="0" b="0"/>
          <wp:docPr id="48" name="图像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像15"/>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52877" w14:textId="77777777" w:rsidR="0060680B" w:rsidRDefault="0060680B">
    <w:pPr>
      <w:pStyle w:val="af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B23734"/>
    <w:multiLevelType w:val="multilevel"/>
    <w:tmpl w:val="FD66E7F4"/>
    <w:lvl w:ilvl="0">
      <w:start w:val="3"/>
      <w:numFmt w:val="decimal"/>
      <w:pStyle w:val="3"/>
      <w:lvlText w:val="（%1）"/>
      <w:lvlJc w:val="left"/>
      <w:pPr>
        <w:tabs>
          <w:tab w:val="num" w:pos="1320"/>
        </w:tabs>
        <w:ind w:left="1320" w:hanging="720"/>
      </w:pPr>
    </w:lvl>
    <w:lvl w:ilvl="1">
      <w:start w:val="1"/>
      <w:numFmt w:val="upperLetter"/>
      <w:lvlText w:val="%2、"/>
      <w:lvlJc w:val="left"/>
      <w:pPr>
        <w:tabs>
          <w:tab w:val="num" w:pos="1740"/>
        </w:tabs>
        <w:ind w:left="1740" w:hanging="720"/>
      </w:p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1">
    <w:nsid w:val="0CDF6E37"/>
    <w:multiLevelType w:val="multilevel"/>
    <w:tmpl w:val="1A162DBE"/>
    <w:lvl w:ilvl="0">
      <w:start w:val="1"/>
      <w:numFmt w:val="decimal"/>
      <w:lvlText w:val="%1."/>
      <w:lvlJc w:val="left"/>
      <w:pPr>
        <w:ind w:left="920" w:hanging="360"/>
      </w:pPr>
      <w:rPr>
        <w:rFonts w:eastAsia="仿宋_GB2312;仿宋"/>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436312"/>
    <w:multiLevelType w:val="multilevel"/>
    <w:tmpl w:val="CC98744A"/>
    <w:lvl w:ilvl="0">
      <w:start w:val="1"/>
      <w:numFmt w:val="decimal"/>
      <w:lvlText w:val="%1."/>
      <w:lvlJc w:val="left"/>
      <w:pPr>
        <w:ind w:left="935" w:hanging="375"/>
      </w:pPr>
      <w:rPr>
        <w:rFonts w:ascii="Arial" w:eastAsia="仿宋_GB2312;仿宋" w:hAnsi="Arial" w:cs="Arial"/>
        <w:sz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2BF6C03"/>
    <w:multiLevelType w:val="multilevel"/>
    <w:tmpl w:val="E29C3A44"/>
    <w:lvl w:ilvl="0">
      <w:start w:val="3"/>
      <w:numFmt w:val="decimal"/>
      <w:lvlText w:val="（%1）"/>
      <w:lvlJc w:val="left"/>
      <w:pPr>
        <w:tabs>
          <w:tab w:val="num" w:pos="1320"/>
        </w:tabs>
        <w:ind w:left="1320" w:hanging="72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nsid w:val="465C6E1E"/>
    <w:multiLevelType w:val="multilevel"/>
    <w:tmpl w:val="8230D402"/>
    <w:lvl w:ilvl="0">
      <w:start w:val="1"/>
      <w:numFmt w:val="upperRoman"/>
      <w:pStyle w:val="4"/>
      <w:lvlText w:val="%1、"/>
      <w:lvlJc w:val="left"/>
      <w:pPr>
        <w:tabs>
          <w:tab w:val="num" w:pos="1605"/>
        </w:tabs>
        <w:ind w:left="1605" w:hanging="108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88A0EEE"/>
    <w:multiLevelType w:val="multilevel"/>
    <w:tmpl w:val="E59666C6"/>
    <w:lvl w:ilvl="0">
      <w:start w:val="2"/>
      <w:numFmt w:val="bullet"/>
      <w:lvlText w:val="◆"/>
      <w:lvlJc w:val="left"/>
      <w:pPr>
        <w:ind w:left="360" w:hanging="360"/>
      </w:pPr>
      <w:rPr>
        <w:rFonts w:ascii="MS Gothic" w:hAnsi="MS Gothic" w:cs="MS Gothic;ＭＳ ゴシック" w:hint="default"/>
        <w:strike w:val="0"/>
        <w:dstrike w:val="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E485CEF"/>
    <w:multiLevelType w:val="multilevel"/>
    <w:tmpl w:val="1FBE3354"/>
    <w:lvl w:ilvl="0">
      <w:start w:val="1"/>
      <w:numFmt w:val="upperLetter"/>
      <w:pStyle w:val="1"/>
      <w:lvlText w:val="%1．"/>
      <w:lvlJc w:val="left"/>
      <w:pPr>
        <w:tabs>
          <w:tab w:val="num" w:pos="720"/>
        </w:tabs>
        <w:ind w:left="720" w:hanging="7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9070F5E"/>
    <w:multiLevelType w:val="multilevel"/>
    <w:tmpl w:val="6524B014"/>
    <w:lvl w:ilvl="0">
      <w:start w:val="1"/>
      <w:numFmt w:val="upperLetter"/>
      <w:pStyle w:val="2"/>
      <w:lvlText w:val="%1."/>
      <w:lvlJc w:val="left"/>
      <w:pPr>
        <w:tabs>
          <w:tab w:val="num"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B6C5C60"/>
    <w:multiLevelType w:val="multilevel"/>
    <w:tmpl w:val="19D6A940"/>
    <w:lvl w:ilvl="0">
      <w:numFmt w:val="bullet"/>
      <w:lvlText w:val="—"/>
      <w:lvlJc w:val="left"/>
      <w:pPr>
        <w:ind w:left="360" w:hanging="360"/>
      </w:pPr>
      <w:rPr>
        <w:rFonts w:ascii="微软雅黑" w:hAnsi="微软雅黑"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5"/>
  </w:num>
  <w:num w:numId="3">
    <w:abstractNumId w:val="0"/>
  </w:num>
  <w:num w:numId="4">
    <w:abstractNumId w:val="1"/>
  </w:num>
  <w:num w:numId="5">
    <w:abstractNumId w:val="2"/>
  </w:num>
  <w:num w:numId="6">
    <w:abstractNumId w:val="8"/>
  </w:num>
  <w:num w:numId="7">
    <w:abstractNumId w:val="4"/>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hideSpellingErrors/>
  <w:defaultTabStop w:val="420"/>
  <w:characterSpacingControl w:val="doNotCompress"/>
  <w:savePreviewPicture/>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101"/>
    <w:rsid w:val="000B7BF1"/>
    <w:rsid w:val="000F0609"/>
    <w:rsid w:val="001C70B3"/>
    <w:rsid w:val="00304BC7"/>
    <w:rsid w:val="00337F1D"/>
    <w:rsid w:val="004D0314"/>
    <w:rsid w:val="004E1915"/>
    <w:rsid w:val="00564730"/>
    <w:rsid w:val="0060680B"/>
    <w:rsid w:val="00693E9D"/>
    <w:rsid w:val="00740D99"/>
    <w:rsid w:val="007C6194"/>
    <w:rsid w:val="00842C80"/>
    <w:rsid w:val="00E25FDE"/>
    <w:rsid w:val="00E33400"/>
    <w:rsid w:val="00E70101"/>
    <w:rsid w:val="00E978F0"/>
    <w:rsid w:val="00F30281"/>
    <w:rsid w:val="00F54F96"/>
    <w:rsid w:val="00F738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9E163D"/>
  <w15:docId w15:val="{63872F1F-DF93-45EA-A6B8-59FF6534B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新宋体" w:hAnsi="Liberation Serif" w:cs="Lucida Sans"/>
        <w:szCs w:val="24"/>
        <w:lang w:val="en-US"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line="360" w:lineRule="atLeast"/>
      <w:textAlignment w:val="baseline"/>
    </w:pPr>
    <w:rPr>
      <w:rFonts w:ascii="Times New Roman" w:eastAsia="宋体;SimSun" w:hAnsi="Times New Roman" w:cs="Times New Roman"/>
      <w:sz w:val="24"/>
      <w:szCs w:val="20"/>
      <w:lang w:bidi="ar-SA"/>
    </w:rPr>
  </w:style>
  <w:style w:type="paragraph" w:styleId="1">
    <w:name w:val="heading 1"/>
    <w:basedOn w:val="a"/>
    <w:next w:val="a"/>
    <w:qFormat/>
    <w:pPr>
      <w:keepNext/>
      <w:numPr>
        <w:numId w:val="9"/>
      </w:numPr>
      <w:spacing w:line="300" w:lineRule="auto"/>
      <w:jc w:val="both"/>
      <w:outlineLvl w:val="0"/>
    </w:pPr>
    <w:rPr>
      <w:rFonts w:ascii="Arial" w:eastAsia="仿宋_GB2312;仿宋" w:hAnsi="Arial" w:cs="Arial"/>
      <w:b/>
      <w:sz w:val="28"/>
      <w:lang w:val="zh-CN"/>
    </w:rPr>
  </w:style>
  <w:style w:type="paragraph" w:styleId="2">
    <w:name w:val="heading 2"/>
    <w:basedOn w:val="a"/>
    <w:next w:val="a"/>
    <w:qFormat/>
    <w:pPr>
      <w:keepNext/>
      <w:numPr>
        <w:numId w:val="8"/>
      </w:numPr>
      <w:spacing w:line="300" w:lineRule="auto"/>
      <w:outlineLvl w:val="1"/>
    </w:pPr>
    <w:rPr>
      <w:rFonts w:ascii="Arial" w:eastAsia="仿宋_GB2312;仿宋" w:hAnsi="Arial" w:cs="Arial"/>
      <w:b/>
      <w:bCs/>
      <w:sz w:val="28"/>
      <w:lang w:val="zh-CN"/>
    </w:rPr>
  </w:style>
  <w:style w:type="paragraph" w:styleId="3">
    <w:name w:val="heading 3"/>
    <w:basedOn w:val="a"/>
    <w:next w:val="a"/>
    <w:qFormat/>
    <w:pPr>
      <w:keepNext/>
      <w:numPr>
        <w:numId w:val="3"/>
      </w:numPr>
      <w:tabs>
        <w:tab w:val="left" w:pos="0"/>
        <w:tab w:val="left" w:pos="1200"/>
      </w:tabs>
      <w:spacing w:line="440" w:lineRule="atLeast"/>
      <w:ind w:hanging="600"/>
      <w:jc w:val="both"/>
      <w:outlineLvl w:val="2"/>
    </w:pPr>
    <w:rPr>
      <w:rFonts w:ascii="仿宋_GB2312;仿宋" w:eastAsia="仿宋_GB2312;仿宋" w:hAnsi="仿宋_GB2312;仿宋" w:cs="Arial"/>
      <w:sz w:val="28"/>
      <w:lang w:val="zh-CN"/>
    </w:rPr>
  </w:style>
  <w:style w:type="paragraph" w:styleId="4">
    <w:name w:val="heading 4"/>
    <w:basedOn w:val="a"/>
    <w:next w:val="a"/>
    <w:qFormat/>
    <w:pPr>
      <w:keepNext/>
      <w:numPr>
        <w:numId w:val="7"/>
      </w:numPr>
      <w:spacing w:line="440" w:lineRule="atLeast"/>
      <w:ind w:right="-22" w:firstLine="0"/>
      <w:outlineLvl w:val="3"/>
    </w:pPr>
    <w:rPr>
      <w:rFonts w:ascii="仿宋_GB2312;仿宋" w:eastAsia="仿宋_GB2312;仿宋" w:hAnsi="仿宋_GB2312;仿宋"/>
      <w:sz w:val="28"/>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rPr>
      <w:rFonts w:ascii="Wingdings" w:hAnsi="Wingdings" w:cs="Wingdings"/>
    </w:rPr>
  </w:style>
  <w:style w:type="character" w:customStyle="1" w:styleId="WW8Num2z0">
    <w:name w:val="WW8Num2z0"/>
    <w:qFormat/>
    <w:rPr>
      <w:rFonts w:ascii="MS Gothic;ＭＳ ゴシック" w:eastAsia="MS Gothic;ＭＳ ゴシック" w:hAnsi="MS Gothic;ＭＳ ゴシック" w:cs="MS Gothic;ＭＳ ゴシック"/>
      <w:strike w:val="0"/>
      <w:dstrike w:val="0"/>
      <w:u w:val="none"/>
    </w:rPr>
  </w:style>
  <w:style w:type="character" w:customStyle="1" w:styleId="WW8Num2z1">
    <w:name w:val="WW8Num2z1"/>
    <w:qFormat/>
    <w:rPr>
      <w:rFonts w:ascii="Marlett" w:hAnsi="Marlett" w:cs="Marlett"/>
    </w:rPr>
  </w:style>
  <w:style w:type="character" w:customStyle="1" w:styleId="WW8Num3z0">
    <w:name w:val="WW8Num3z0"/>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eastAsia="仿宋_GB2312;仿宋"/>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rFonts w:ascii="Arial" w:eastAsia="仿宋_GB2312;仿宋" w:hAnsi="Arial" w:cs="Arial"/>
      <w:sz w:val="28"/>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微软雅黑" w:eastAsia="微软雅黑" w:hAnsi="微软雅黑" w:cs="Times New Roman"/>
    </w:rPr>
  </w:style>
  <w:style w:type="character" w:customStyle="1" w:styleId="WW8Num7z1">
    <w:name w:val="WW8Num7z1"/>
    <w:qFormat/>
    <w:rPr>
      <w:rFonts w:ascii="Wingdings" w:hAnsi="Wingdings" w:cs="Wingdings"/>
    </w:rPr>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b w:val="0"/>
    </w:rPr>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1Char">
    <w:name w:val="标题 1 Char"/>
    <w:qFormat/>
    <w:rPr>
      <w:rFonts w:ascii="Arial" w:eastAsia="仿宋_GB2312;仿宋" w:hAnsi="Arial" w:cs="Arial"/>
      <w:b/>
      <w:sz w:val="28"/>
      <w:lang w:val="zh-CN"/>
    </w:rPr>
  </w:style>
  <w:style w:type="character" w:customStyle="1" w:styleId="2Char">
    <w:name w:val="标题 2 Char"/>
    <w:qFormat/>
    <w:rPr>
      <w:rFonts w:ascii="Arial" w:eastAsia="仿宋_GB2312;仿宋" w:hAnsi="Arial" w:cs="Arial"/>
      <w:b/>
      <w:bCs/>
      <w:sz w:val="28"/>
      <w:lang w:val="zh-CN"/>
    </w:rPr>
  </w:style>
  <w:style w:type="character" w:customStyle="1" w:styleId="3Char">
    <w:name w:val="标题 3 Char"/>
    <w:qFormat/>
    <w:rPr>
      <w:rFonts w:ascii="仿宋_GB2312;仿宋" w:eastAsia="仿宋_GB2312;仿宋" w:hAnsi="仿宋_GB2312;仿宋" w:cs="Arial"/>
      <w:sz w:val="28"/>
      <w:lang w:val="zh-CN"/>
    </w:rPr>
  </w:style>
  <w:style w:type="character" w:customStyle="1" w:styleId="4Char">
    <w:name w:val="标题 4 Char"/>
    <w:qFormat/>
    <w:rPr>
      <w:rFonts w:ascii="仿宋_GB2312;仿宋" w:eastAsia="仿宋_GB2312;仿宋" w:hAnsi="仿宋_GB2312;仿宋" w:cs="Times New Roman"/>
      <w:sz w:val="28"/>
      <w:lang w:val="zh-CN"/>
    </w:rPr>
  </w:style>
  <w:style w:type="character" w:styleId="a3">
    <w:name w:val="page number"/>
    <w:basedOn w:val="a0"/>
  </w:style>
  <w:style w:type="character" w:customStyle="1" w:styleId="Char">
    <w:name w:val="页眉 Char"/>
    <w:qFormat/>
    <w:rPr>
      <w:rFonts w:ascii="Times New Roman" w:eastAsia="宋体;SimSun" w:hAnsi="Times New Roman" w:cs="Times New Roman"/>
      <w:kern w:val="0"/>
      <w:sz w:val="18"/>
      <w:szCs w:val="20"/>
    </w:rPr>
  </w:style>
  <w:style w:type="character" w:customStyle="1" w:styleId="Char0">
    <w:name w:val="页脚 Char"/>
    <w:qFormat/>
    <w:rPr>
      <w:rFonts w:ascii="Times New Roman" w:eastAsia="宋体;SimSun" w:hAnsi="Times New Roman" w:cs="Times New Roman"/>
      <w:kern w:val="0"/>
      <w:sz w:val="18"/>
      <w:szCs w:val="20"/>
    </w:rPr>
  </w:style>
  <w:style w:type="character" w:customStyle="1" w:styleId="Char1">
    <w:name w:val="文档结构图 Char"/>
    <w:qFormat/>
    <w:rPr>
      <w:rFonts w:ascii="Times New Roman" w:eastAsia="宋体;SimSun" w:hAnsi="Times New Roman" w:cs="Times New Roman"/>
      <w:kern w:val="0"/>
      <w:sz w:val="24"/>
      <w:szCs w:val="20"/>
      <w:shd w:val="clear" w:color="auto" w:fill="000080"/>
    </w:rPr>
  </w:style>
  <w:style w:type="character" w:customStyle="1" w:styleId="Char2">
    <w:name w:val="正文文本 Char"/>
    <w:qFormat/>
    <w:rPr>
      <w:rFonts w:ascii="宋体;SimSun" w:eastAsia="宋体;SimSun" w:hAnsi="宋体;SimSun" w:cs="Times New Roman"/>
      <w:sz w:val="30"/>
      <w:szCs w:val="20"/>
    </w:rPr>
  </w:style>
  <w:style w:type="character" w:customStyle="1" w:styleId="Char3">
    <w:name w:val="正文首行缩进 Char"/>
    <w:qFormat/>
    <w:rPr>
      <w:rFonts w:ascii="Times New Roman" w:eastAsia="宋体;SimSun" w:hAnsi="Times New Roman" w:cs="Times New Roman"/>
      <w:sz w:val="30"/>
      <w:szCs w:val="20"/>
    </w:rPr>
  </w:style>
  <w:style w:type="character" w:customStyle="1" w:styleId="Char4">
    <w:name w:val="正文文本缩进 Char"/>
    <w:qFormat/>
    <w:rPr>
      <w:rFonts w:ascii="仿宋_GB2312;仿宋" w:eastAsia="仿宋_GB2312;仿宋" w:hAnsi="仿宋_GB2312;仿宋" w:cs="Times New Roman"/>
      <w:kern w:val="0"/>
      <w:sz w:val="28"/>
      <w:szCs w:val="20"/>
    </w:rPr>
  </w:style>
  <w:style w:type="character" w:customStyle="1" w:styleId="2Char0">
    <w:name w:val="正文文本缩进 2 Char"/>
    <w:qFormat/>
    <w:rPr>
      <w:rFonts w:ascii="仿宋_GB2312;仿宋" w:eastAsia="仿宋_GB2312;仿宋" w:hAnsi="仿宋_GB2312;仿宋" w:cs="Times New Roman"/>
      <w:kern w:val="0"/>
      <w:sz w:val="28"/>
      <w:szCs w:val="20"/>
    </w:rPr>
  </w:style>
  <w:style w:type="character" w:customStyle="1" w:styleId="3Char0">
    <w:name w:val="正文文本缩进 3 Char"/>
    <w:qFormat/>
    <w:rPr>
      <w:rFonts w:ascii="Arial" w:eastAsia="仿宋_GB2312;仿宋" w:hAnsi="Arial" w:cs="Arial"/>
      <w:kern w:val="0"/>
      <w:sz w:val="28"/>
      <w:szCs w:val="20"/>
    </w:rPr>
  </w:style>
  <w:style w:type="character" w:customStyle="1" w:styleId="2Char1">
    <w:name w:val="正文文本 2 Char"/>
    <w:qFormat/>
    <w:rPr>
      <w:rFonts w:ascii="仿宋_GB2312;仿宋" w:eastAsia="仿宋_GB2312;仿宋" w:hAnsi="仿宋_GB2312;仿宋" w:cs="Times New Roman"/>
      <w:kern w:val="0"/>
      <w:sz w:val="28"/>
      <w:szCs w:val="20"/>
    </w:rPr>
  </w:style>
  <w:style w:type="character" w:customStyle="1" w:styleId="Char5">
    <w:name w:val="纯文本 Char"/>
    <w:qFormat/>
    <w:rPr>
      <w:rFonts w:ascii="宋体;SimSun" w:eastAsia="宋体;SimSun" w:hAnsi="宋体;SimSun" w:cs="Times New Roman"/>
      <w:szCs w:val="20"/>
    </w:rPr>
  </w:style>
  <w:style w:type="character" w:customStyle="1" w:styleId="3Char1">
    <w:name w:val="正文文本 3 Char"/>
    <w:qFormat/>
    <w:rPr>
      <w:rFonts w:ascii="楷体_GB2312;楷体" w:eastAsia="楷体_GB2312;楷体" w:hAnsi="楷体_GB2312;楷体" w:cs="Times New Roman"/>
      <w:kern w:val="0"/>
      <w:sz w:val="32"/>
      <w:szCs w:val="20"/>
    </w:rPr>
  </w:style>
  <w:style w:type="character" w:customStyle="1" w:styleId="a4">
    <w:name w:val="特别强调"/>
    <w:qFormat/>
    <w:rPr>
      <w:b/>
      <w:bCs/>
    </w:rPr>
  </w:style>
  <w:style w:type="character" w:customStyle="1" w:styleId="Char6">
    <w:name w:val="日期 Char"/>
    <w:qFormat/>
    <w:rPr>
      <w:rFonts w:ascii="楷体_GB2312;楷体" w:eastAsia="楷体_GB2312;楷体" w:hAnsi="楷体_GB2312;楷体" w:cs="Times New Roman"/>
      <w:b/>
      <w:kern w:val="0"/>
      <w:sz w:val="28"/>
      <w:szCs w:val="20"/>
    </w:rPr>
  </w:style>
  <w:style w:type="character" w:customStyle="1" w:styleId="text1">
    <w:name w:val="text1"/>
    <w:qFormat/>
    <w:rPr>
      <w:spacing w:val="10"/>
      <w:sz w:val="28"/>
      <w:szCs w:val="28"/>
    </w:rPr>
  </w:style>
  <w:style w:type="character" w:customStyle="1" w:styleId="nr1">
    <w:name w:val="nr1"/>
    <w:qFormat/>
    <w:rPr>
      <w:rFonts w:ascii="楷体_GB2312;楷体" w:eastAsia="楷体_GB2312;楷体" w:hAnsi="楷体_GB2312;楷体"/>
      <w:color w:val="000000"/>
      <w:sz w:val="24"/>
      <w:szCs w:val="24"/>
    </w:rPr>
  </w:style>
  <w:style w:type="character" w:customStyle="1" w:styleId="HTMLChar">
    <w:name w:val="HTML 预设格式 Char"/>
    <w:qFormat/>
    <w:rPr>
      <w:rFonts w:ascii="宋体;SimSun" w:eastAsia="宋体;SimSun" w:hAnsi="宋体;SimSun" w:cs="Times New Roman"/>
      <w:kern w:val="0"/>
      <w:sz w:val="24"/>
      <w:szCs w:val="24"/>
    </w:rPr>
  </w:style>
  <w:style w:type="character" w:customStyle="1" w:styleId="Char7">
    <w:name w:val="批注框文本 Char"/>
    <w:qFormat/>
    <w:rPr>
      <w:rFonts w:ascii="Times New Roman" w:eastAsia="宋体;SimSun" w:hAnsi="Times New Roman" w:cs="Times New Roman"/>
      <w:kern w:val="0"/>
      <w:sz w:val="18"/>
      <w:szCs w:val="18"/>
    </w:rPr>
  </w:style>
  <w:style w:type="character" w:customStyle="1" w:styleId="t12h291">
    <w:name w:val="t12h291"/>
    <w:qFormat/>
    <w:rPr>
      <w:color w:val="000000"/>
      <w:sz w:val="24"/>
      <w:szCs w:val="24"/>
    </w:rPr>
  </w:style>
  <w:style w:type="character" w:customStyle="1" w:styleId="A40">
    <w:name w:val="A4"/>
    <w:qFormat/>
    <w:rPr>
      <w:rFonts w:cs="华文细黑碙..;仿宋"/>
      <w:color w:val="000000"/>
      <w:sz w:val="16"/>
      <w:szCs w:val="16"/>
    </w:rPr>
  </w:style>
  <w:style w:type="character" w:customStyle="1" w:styleId="A30">
    <w:name w:val="A3"/>
    <w:qFormat/>
    <w:rPr>
      <w:rFonts w:cs="黑体萄;方正舒体"/>
      <w:color w:val="000000"/>
      <w:sz w:val="18"/>
      <w:szCs w:val="18"/>
    </w:rPr>
  </w:style>
  <w:style w:type="character" w:styleId="a5">
    <w:name w:val="annotation reference"/>
    <w:qFormat/>
    <w:rPr>
      <w:sz w:val="21"/>
      <w:szCs w:val="21"/>
    </w:rPr>
  </w:style>
  <w:style w:type="character" w:customStyle="1" w:styleId="Char8">
    <w:name w:val="批注文字 Char"/>
    <w:qFormat/>
    <w:rPr>
      <w:rFonts w:ascii="Times New Roman" w:hAnsi="Times New Roman" w:cs="Times New Roman"/>
      <w:sz w:val="24"/>
    </w:rPr>
  </w:style>
  <w:style w:type="character" w:customStyle="1" w:styleId="Char9">
    <w:name w:val="批注主题 Char"/>
    <w:qFormat/>
    <w:rPr>
      <w:rFonts w:ascii="Times New Roman" w:hAnsi="Times New Roman" w:cs="Times New Roman"/>
      <w:b/>
      <w:bCs/>
      <w:sz w:val="24"/>
    </w:rPr>
  </w:style>
  <w:style w:type="character" w:customStyle="1" w:styleId="Internet">
    <w:name w:val="Internet 链接"/>
    <w:rPr>
      <w:color w:val="0000FF"/>
      <w:u w:val="single"/>
    </w:rPr>
  </w:style>
  <w:style w:type="character" w:customStyle="1" w:styleId="apple-converted-space">
    <w:name w:val="apple-converted-space"/>
    <w:qFormat/>
  </w:style>
  <w:style w:type="character" w:customStyle="1" w:styleId="fontstyle01">
    <w:name w:val="fontstyle01"/>
    <w:qFormat/>
    <w:rPr>
      <w:rFonts w:ascii="E-BZ;Cambria" w:hAnsi="E-BZ;Cambria" w:cs="E-BZ;Cambria"/>
      <w:b w:val="0"/>
      <w:bCs w:val="0"/>
      <w:i w:val="0"/>
      <w:iCs w:val="0"/>
      <w:color w:val="000000"/>
      <w:sz w:val="16"/>
      <w:szCs w:val="16"/>
    </w:rPr>
  </w:style>
  <w:style w:type="character" w:customStyle="1" w:styleId="fontstyle21">
    <w:name w:val="fontstyle21"/>
    <w:qFormat/>
    <w:rPr>
      <w:rFonts w:ascii="FZSSK--GBK1-0;Arial Unicode MS" w:hAnsi="FZSSK--GBK1-0;Arial Unicode MS" w:cs="FZSSK--GBK1-0;Arial Unicode MS"/>
      <w:b w:val="0"/>
      <w:bCs w:val="0"/>
      <w:i w:val="0"/>
      <w:iCs w:val="0"/>
      <w:color w:val="000000"/>
      <w:sz w:val="16"/>
      <w:szCs w:val="16"/>
    </w:rPr>
  </w:style>
  <w:style w:type="character" w:customStyle="1" w:styleId="fontstyle11">
    <w:name w:val="fontstyle11"/>
    <w:qFormat/>
    <w:rPr>
      <w:rFonts w:ascii="E-BZ;Cambria" w:hAnsi="E-BZ;Cambria" w:cs="E-BZ;Cambria"/>
      <w:b w:val="0"/>
      <w:bCs w:val="0"/>
      <w:i w:val="0"/>
      <w:iCs w:val="0"/>
      <w:color w:val="000000"/>
      <w:sz w:val="16"/>
      <w:szCs w:val="16"/>
    </w:rPr>
  </w:style>
  <w:style w:type="character" w:customStyle="1" w:styleId="a6">
    <w:name w:val="未处理的提及"/>
    <w:qFormat/>
    <w:rPr>
      <w:color w:val="605E5C"/>
      <w:shd w:val="clear" w:color="auto" w:fill="E1DFDD"/>
    </w:rPr>
  </w:style>
  <w:style w:type="character" w:customStyle="1" w:styleId="10">
    <w:name w:val="标题 1 字符"/>
    <w:qFormat/>
    <w:rPr>
      <w:rFonts w:ascii="Times New Roman" w:hAnsi="Times New Roman" w:cs="Times New Roman"/>
      <w:b/>
      <w:bCs/>
      <w:kern w:val="2"/>
      <w:sz w:val="44"/>
      <w:szCs w:val="44"/>
    </w:rPr>
  </w:style>
  <w:style w:type="character" w:customStyle="1" w:styleId="20">
    <w:name w:val="标题 2 字符"/>
    <w:qFormat/>
    <w:rPr>
      <w:rFonts w:ascii="等线 Light" w:eastAsia="等线 Light" w:hAnsi="等线 Light" w:cs="Times New Roman"/>
      <w:b/>
      <w:bCs/>
      <w:sz w:val="32"/>
      <w:szCs w:val="32"/>
    </w:rPr>
  </w:style>
  <w:style w:type="character" w:customStyle="1" w:styleId="30">
    <w:name w:val="标题 3 字符"/>
    <w:qFormat/>
    <w:rPr>
      <w:rFonts w:ascii="Times New Roman" w:hAnsi="Times New Roman" w:cs="Times New Roman"/>
      <w:b/>
      <w:bCs/>
      <w:sz w:val="32"/>
      <w:szCs w:val="32"/>
    </w:rPr>
  </w:style>
  <w:style w:type="character" w:customStyle="1" w:styleId="40">
    <w:name w:val="标题 4 字符"/>
    <w:qFormat/>
    <w:rPr>
      <w:rFonts w:ascii="等线 Light" w:eastAsia="等线 Light" w:hAnsi="等线 Light" w:cs="Times New Roman"/>
      <w:b/>
      <w:bCs/>
      <w:sz w:val="28"/>
      <w:szCs w:val="28"/>
    </w:rPr>
  </w:style>
  <w:style w:type="character" w:customStyle="1" w:styleId="Internet0">
    <w:name w:val="访问过的 Internet 链接"/>
    <w:rPr>
      <w:color w:val="954F72"/>
      <w:u w:val="single"/>
    </w:rPr>
  </w:style>
  <w:style w:type="character" w:customStyle="1" w:styleId="HTML">
    <w:name w:val="HTML 预设格式 字符"/>
    <w:qFormat/>
    <w:rPr>
      <w:rFonts w:ascii="Courier New" w:hAnsi="Courier New" w:cs="Courier New"/>
    </w:rPr>
  </w:style>
  <w:style w:type="character" w:customStyle="1" w:styleId="a7">
    <w:name w:val="批注文字 字符"/>
    <w:qFormat/>
    <w:rPr>
      <w:rFonts w:ascii="Times New Roman" w:hAnsi="Times New Roman" w:cs="Times New Roman"/>
      <w:sz w:val="24"/>
    </w:rPr>
  </w:style>
  <w:style w:type="character" w:customStyle="1" w:styleId="a8">
    <w:name w:val="页眉 字符"/>
    <w:qFormat/>
    <w:rPr>
      <w:rFonts w:ascii="Times New Roman" w:hAnsi="Times New Roman" w:cs="Times New Roman"/>
      <w:sz w:val="18"/>
      <w:szCs w:val="18"/>
    </w:rPr>
  </w:style>
  <w:style w:type="character" w:customStyle="1" w:styleId="a9">
    <w:name w:val="页脚 字符"/>
    <w:qFormat/>
    <w:rPr>
      <w:rFonts w:ascii="Times New Roman" w:hAnsi="Times New Roman" w:cs="Times New Roman"/>
      <w:sz w:val="18"/>
      <w:szCs w:val="18"/>
    </w:rPr>
  </w:style>
  <w:style w:type="character" w:customStyle="1" w:styleId="aa">
    <w:name w:val="正文文本 字符"/>
    <w:qFormat/>
    <w:rPr>
      <w:rFonts w:ascii="Times New Roman" w:hAnsi="Times New Roman" w:cs="Times New Roman"/>
      <w:sz w:val="24"/>
    </w:rPr>
  </w:style>
  <w:style w:type="character" w:customStyle="1" w:styleId="ab">
    <w:name w:val="正文文本缩进 字符"/>
    <w:qFormat/>
    <w:rPr>
      <w:rFonts w:ascii="Times New Roman" w:hAnsi="Times New Roman" w:cs="Times New Roman"/>
      <w:sz w:val="24"/>
    </w:rPr>
  </w:style>
  <w:style w:type="character" w:customStyle="1" w:styleId="ac">
    <w:name w:val="日期 字符"/>
    <w:qFormat/>
    <w:rPr>
      <w:rFonts w:ascii="Times New Roman" w:hAnsi="Times New Roman" w:cs="Times New Roman"/>
      <w:sz w:val="24"/>
    </w:rPr>
  </w:style>
  <w:style w:type="character" w:customStyle="1" w:styleId="ad">
    <w:name w:val="正文文本首行缩进 字符"/>
    <w:qFormat/>
  </w:style>
  <w:style w:type="character" w:customStyle="1" w:styleId="21">
    <w:name w:val="正文文本 2 字符"/>
    <w:qFormat/>
    <w:rPr>
      <w:rFonts w:ascii="Times New Roman" w:hAnsi="Times New Roman" w:cs="Times New Roman"/>
      <w:sz w:val="24"/>
    </w:rPr>
  </w:style>
  <w:style w:type="character" w:customStyle="1" w:styleId="31">
    <w:name w:val="正文文本 3 字符"/>
    <w:qFormat/>
    <w:rPr>
      <w:rFonts w:ascii="Times New Roman" w:hAnsi="Times New Roman" w:cs="Times New Roman"/>
      <w:sz w:val="16"/>
      <w:szCs w:val="16"/>
    </w:rPr>
  </w:style>
  <w:style w:type="character" w:customStyle="1" w:styleId="22">
    <w:name w:val="正文文本缩进 2 字符"/>
    <w:qFormat/>
    <w:rPr>
      <w:rFonts w:ascii="Times New Roman" w:hAnsi="Times New Roman" w:cs="Times New Roman"/>
      <w:sz w:val="24"/>
    </w:rPr>
  </w:style>
  <w:style w:type="character" w:customStyle="1" w:styleId="32">
    <w:name w:val="正文文本缩进 3 字符"/>
    <w:qFormat/>
    <w:rPr>
      <w:rFonts w:ascii="Times New Roman" w:hAnsi="Times New Roman" w:cs="Times New Roman"/>
      <w:sz w:val="16"/>
      <w:szCs w:val="16"/>
    </w:rPr>
  </w:style>
  <w:style w:type="character" w:customStyle="1" w:styleId="ae">
    <w:name w:val="文档结构图 字符"/>
    <w:qFormat/>
    <w:rPr>
      <w:rFonts w:ascii="Times New Roman" w:hAnsi="Times New Roman" w:cs="Times New Roman"/>
      <w:sz w:val="24"/>
      <w:shd w:val="clear" w:color="auto" w:fill="000080"/>
    </w:rPr>
  </w:style>
  <w:style w:type="character" w:customStyle="1" w:styleId="af">
    <w:name w:val="纯文本 字符"/>
    <w:qFormat/>
    <w:rPr>
      <w:rFonts w:ascii="等线" w:eastAsia="等线" w:hAnsi="等线" w:cs="Courier New"/>
      <w:sz w:val="24"/>
    </w:rPr>
  </w:style>
  <w:style w:type="character" w:customStyle="1" w:styleId="af0">
    <w:name w:val="批注主题 字符"/>
    <w:qFormat/>
    <w:rPr>
      <w:rFonts w:ascii="Times New Roman" w:hAnsi="Times New Roman" w:cs="Times New Roman"/>
      <w:b/>
      <w:bCs/>
      <w:sz w:val="24"/>
    </w:rPr>
  </w:style>
  <w:style w:type="character" w:customStyle="1" w:styleId="af1">
    <w:name w:val="批注框文本 字符"/>
    <w:qFormat/>
    <w:rPr>
      <w:rFonts w:ascii="Times New Roman" w:hAnsi="Times New Roman" w:cs="Times New Roman"/>
      <w:sz w:val="18"/>
      <w:szCs w:val="18"/>
    </w:rPr>
  </w:style>
  <w:style w:type="paragraph" w:customStyle="1" w:styleId="af2">
    <w:name w:val="标题样式"/>
    <w:basedOn w:val="a"/>
    <w:next w:val="af3"/>
    <w:qFormat/>
    <w:pPr>
      <w:keepNext/>
      <w:spacing w:before="240" w:after="120"/>
    </w:pPr>
    <w:rPr>
      <w:rFonts w:ascii="Liberation Sans" w:eastAsia="微软雅黑" w:hAnsi="Liberation Sans" w:cs="Lucida Sans"/>
      <w:sz w:val="28"/>
      <w:szCs w:val="28"/>
    </w:rPr>
  </w:style>
  <w:style w:type="paragraph" w:styleId="af3">
    <w:name w:val="Body Text"/>
    <w:basedOn w:val="a"/>
    <w:pPr>
      <w:spacing w:line="240" w:lineRule="auto"/>
      <w:jc w:val="both"/>
      <w:textAlignment w:val="auto"/>
    </w:pPr>
    <w:rPr>
      <w:rFonts w:ascii="宋体;SimSun" w:hAnsi="宋体;SimSun"/>
      <w:sz w:val="30"/>
      <w:lang w:val="zh-CN"/>
    </w:rPr>
  </w:style>
  <w:style w:type="paragraph" w:styleId="af4">
    <w:name w:val="List"/>
    <w:basedOn w:val="af3"/>
    <w:rPr>
      <w:rFonts w:cs="Lucida Sans"/>
    </w:rPr>
  </w:style>
  <w:style w:type="paragraph" w:styleId="af5">
    <w:name w:val="caption"/>
    <w:basedOn w:val="a"/>
    <w:qFormat/>
    <w:pPr>
      <w:suppressLineNumbers/>
      <w:spacing w:before="120" w:after="120"/>
    </w:pPr>
    <w:rPr>
      <w:rFonts w:cs="Lucida Sans"/>
      <w:i/>
      <w:iCs/>
      <w:szCs w:val="24"/>
    </w:rPr>
  </w:style>
  <w:style w:type="paragraph" w:customStyle="1" w:styleId="af6">
    <w:name w:val="索引"/>
    <w:basedOn w:val="a"/>
    <w:qFormat/>
    <w:pPr>
      <w:suppressLineNumbers/>
    </w:pPr>
    <w:rPr>
      <w:rFonts w:cs="Lucida Sans"/>
    </w:rPr>
  </w:style>
  <w:style w:type="paragraph" w:styleId="af7">
    <w:name w:val="header"/>
    <w:basedOn w:val="a"/>
    <w:pPr>
      <w:pBdr>
        <w:bottom w:val="single" w:sz="6" w:space="1" w:color="000000"/>
      </w:pBdr>
      <w:tabs>
        <w:tab w:val="center" w:pos="4153"/>
        <w:tab w:val="right" w:pos="8306"/>
      </w:tabs>
      <w:spacing w:line="240" w:lineRule="atLeast"/>
      <w:jc w:val="center"/>
    </w:pPr>
    <w:rPr>
      <w:sz w:val="18"/>
      <w:lang w:val="zh-CN"/>
    </w:rPr>
  </w:style>
  <w:style w:type="paragraph" w:styleId="af8">
    <w:name w:val="footer"/>
    <w:basedOn w:val="a"/>
    <w:pPr>
      <w:tabs>
        <w:tab w:val="center" w:pos="4153"/>
        <w:tab w:val="right" w:pos="8306"/>
      </w:tabs>
      <w:spacing w:line="240" w:lineRule="atLeast"/>
    </w:pPr>
    <w:rPr>
      <w:sz w:val="18"/>
      <w:lang w:val="zh-CN"/>
    </w:rPr>
  </w:style>
  <w:style w:type="paragraph" w:styleId="af9">
    <w:name w:val="Document Map"/>
    <w:basedOn w:val="a"/>
    <w:qFormat/>
    <w:pPr>
      <w:shd w:val="clear" w:color="auto" w:fill="000080"/>
    </w:pPr>
    <w:rPr>
      <w:lang w:val="zh-CN"/>
    </w:rPr>
  </w:style>
  <w:style w:type="paragraph" w:styleId="afa">
    <w:name w:val="Body Text First Indent"/>
    <w:basedOn w:val="af3"/>
    <w:qFormat/>
    <w:pPr>
      <w:spacing w:after="120"/>
      <w:ind w:firstLine="420"/>
    </w:pPr>
    <w:rPr>
      <w:rFonts w:ascii="Times New Roman" w:hAnsi="Times New Roman"/>
    </w:rPr>
  </w:style>
  <w:style w:type="paragraph" w:styleId="afb">
    <w:name w:val="Body Text Indent"/>
    <w:basedOn w:val="a"/>
    <w:pPr>
      <w:spacing w:line="400" w:lineRule="atLeast"/>
      <w:ind w:firstLine="570"/>
    </w:pPr>
    <w:rPr>
      <w:rFonts w:ascii="仿宋_GB2312;仿宋" w:eastAsia="仿宋_GB2312;仿宋" w:hAnsi="仿宋_GB2312;仿宋"/>
      <w:sz w:val="28"/>
      <w:lang w:val="zh-CN"/>
    </w:rPr>
  </w:style>
  <w:style w:type="paragraph" w:styleId="23">
    <w:name w:val="Body Text Indent 2"/>
    <w:basedOn w:val="a"/>
    <w:qFormat/>
    <w:pPr>
      <w:autoSpaceDE w:val="0"/>
      <w:spacing w:line="320" w:lineRule="atLeast"/>
      <w:ind w:firstLine="680"/>
      <w:jc w:val="both"/>
    </w:pPr>
    <w:rPr>
      <w:sz w:val="28"/>
    </w:rPr>
  </w:style>
  <w:style w:type="paragraph" w:styleId="33">
    <w:name w:val="Body Text Indent 3"/>
    <w:basedOn w:val="a"/>
    <w:qFormat/>
    <w:pPr>
      <w:spacing w:line="440" w:lineRule="atLeast"/>
      <w:ind w:firstLine="600"/>
      <w:jc w:val="both"/>
    </w:pPr>
    <w:rPr>
      <w:rFonts w:ascii="Arial" w:eastAsia="仿宋_GB2312;仿宋" w:hAnsi="Arial" w:cs="Arial"/>
      <w:sz w:val="28"/>
      <w:lang w:val="zh-CN"/>
    </w:rPr>
  </w:style>
  <w:style w:type="paragraph" w:styleId="24">
    <w:name w:val="Body Text 2"/>
    <w:basedOn w:val="a"/>
    <w:qFormat/>
    <w:pPr>
      <w:autoSpaceDE w:val="0"/>
      <w:spacing w:line="440" w:lineRule="exact"/>
      <w:jc w:val="both"/>
    </w:pPr>
    <w:rPr>
      <w:rFonts w:ascii="仿宋_GB2312;仿宋" w:eastAsia="仿宋_GB2312;仿宋" w:hAnsi="仿宋_GB2312;仿宋" w:cs="Arial"/>
      <w:sz w:val="28"/>
      <w:lang w:val="zh-CN"/>
    </w:rPr>
  </w:style>
  <w:style w:type="paragraph" w:styleId="afc">
    <w:name w:val="Plain Text"/>
    <w:basedOn w:val="a"/>
    <w:qFormat/>
    <w:pPr>
      <w:spacing w:line="240" w:lineRule="auto"/>
      <w:jc w:val="both"/>
      <w:textAlignment w:val="auto"/>
    </w:pPr>
    <w:rPr>
      <w:rFonts w:ascii="宋体;SimSun" w:hAnsi="宋体;SimSun" w:cs="Courier New"/>
      <w:sz w:val="20"/>
      <w:lang w:val="zh-CN"/>
    </w:rPr>
  </w:style>
  <w:style w:type="paragraph" w:styleId="34">
    <w:name w:val="Body Text 3"/>
    <w:basedOn w:val="a"/>
    <w:qFormat/>
    <w:pPr>
      <w:autoSpaceDE w:val="0"/>
      <w:spacing w:line="312" w:lineRule="atLeast"/>
      <w:jc w:val="both"/>
    </w:pPr>
    <w:rPr>
      <w:rFonts w:ascii="Arial" w:hAnsi="Arial" w:cs="Arial"/>
      <w:sz w:val="28"/>
    </w:rPr>
  </w:style>
  <w:style w:type="paragraph" w:styleId="afd">
    <w:name w:val="Normal (Web)"/>
    <w:basedOn w:val="a"/>
    <w:qFormat/>
    <w:pPr>
      <w:widowControl/>
      <w:spacing w:line="360" w:lineRule="auto"/>
      <w:textAlignment w:val="auto"/>
    </w:pPr>
    <w:rPr>
      <w:rFonts w:ascii="宋体;SimSun" w:hAnsi="宋体;SimSun" w:cs="宋体;SimSun"/>
      <w:sz w:val="18"/>
      <w:szCs w:val="18"/>
    </w:rPr>
  </w:style>
  <w:style w:type="paragraph" w:customStyle="1" w:styleId="LO-Normal">
    <w:name w:val="LO-Normal"/>
    <w:qFormat/>
    <w:pPr>
      <w:widowControl w:val="0"/>
      <w:spacing w:line="360" w:lineRule="atLeast"/>
      <w:textAlignment w:val="baseline"/>
    </w:pPr>
    <w:rPr>
      <w:rFonts w:ascii="宋体;SimSun" w:eastAsia="宋体;SimSun" w:hAnsi="宋体;SimSun" w:cs="Times New Roman"/>
      <w:sz w:val="34"/>
      <w:szCs w:val="20"/>
      <w:lang w:bidi="ar-SA"/>
    </w:rPr>
  </w:style>
  <w:style w:type="paragraph" w:styleId="afe">
    <w:name w:val="Date"/>
    <w:basedOn w:val="a"/>
    <w:next w:val="a"/>
    <w:qFormat/>
    <w:pPr>
      <w:jc w:val="both"/>
    </w:pPr>
    <w:rPr>
      <w:rFonts w:ascii="楷体_GB2312;楷体" w:eastAsia="楷体_GB2312;楷体" w:hAnsi="楷体_GB2312;楷体"/>
      <w:b/>
      <w:sz w:val="28"/>
      <w:lang w:val="zh-CN"/>
    </w:rPr>
  </w:style>
  <w:style w:type="paragraph" w:customStyle="1" w:styleId="xl33">
    <w:name w:val="xl33"/>
    <w:basedOn w:val="a"/>
    <w:qFormat/>
    <w:pPr>
      <w:widowControl/>
      <w:pBdr>
        <w:top w:val="single" w:sz="4" w:space="0" w:color="000000"/>
        <w:bottom w:val="single" w:sz="4" w:space="0" w:color="000000"/>
      </w:pBdr>
      <w:spacing w:before="280" w:after="280" w:line="240" w:lineRule="auto"/>
      <w:jc w:val="center"/>
      <w:textAlignment w:val="center"/>
    </w:pPr>
    <w:rPr>
      <w:rFonts w:ascii="Arial Unicode MS" w:hAnsi="Arial Unicode MS" w:cs="Arial Unicode MS"/>
      <w:b/>
      <w:bCs/>
      <w:szCs w:val="24"/>
    </w:rPr>
  </w:style>
  <w:style w:type="paragraph" w:customStyle="1" w:styleId="font5">
    <w:name w:val="font5"/>
    <w:basedOn w:val="a"/>
    <w:qFormat/>
    <w:pPr>
      <w:widowControl/>
      <w:spacing w:before="280" w:after="280" w:line="240" w:lineRule="auto"/>
      <w:textAlignment w:val="auto"/>
    </w:pPr>
    <w:rPr>
      <w:rFonts w:ascii="宋体;SimSun" w:hAnsi="宋体;SimSun" w:cs="宋体;SimSun"/>
      <w:sz w:val="18"/>
      <w:szCs w:val="18"/>
    </w:rPr>
  </w:style>
  <w:style w:type="paragraph" w:customStyle="1" w:styleId="font6">
    <w:name w:val="font6"/>
    <w:basedOn w:val="a"/>
    <w:qFormat/>
    <w:pPr>
      <w:widowControl/>
      <w:spacing w:before="280" w:after="280" w:line="240" w:lineRule="auto"/>
      <w:textAlignment w:val="auto"/>
    </w:pPr>
    <w:rPr>
      <w:rFonts w:ascii="宋体;SimSun" w:hAnsi="宋体;SimSun" w:cs="宋体;SimSun"/>
      <w:b/>
      <w:bCs/>
      <w:sz w:val="32"/>
      <w:szCs w:val="32"/>
    </w:rPr>
  </w:style>
  <w:style w:type="paragraph" w:customStyle="1" w:styleId="font7">
    <w:name w:val="font7"/>
    <w:basedOn w:val="a"/>
    <w:qFormat/>
    <w:pPr>
      <w:widowControl/>
      <w:spacing w:before="280" w:after="280" w:line="240" w:lineRule="auto"/>
      <w:textAlignment w:val="auto"/>
    </w:pPr>
    <w:rPr>
      <w:szCs w:val="24"/>
    </w:rPr>
  </w:style>
  <w:style w:type="paragraph" w:customStyle="1" w:styleId="font8">
    <w:name w:val="font8"/>
    <w:basedOn w:val="a"/>
    <w:qFormat/>
    <w:pPr>
      <w:widowControl/>
      <w:spacing w:before="280" w:after="280" w:line="240" w:lineRule="auto"/>
      <w:textAlignment w:val="auto"/>
    </w:pPr>
    <w:rPr>
      <w:rFonts w:ascii="宋体;SimSun" w:hAnsi="宋体;SimSun" w:cs="宋体;SimSun"/>
      <w:b/>
      <w:bCs/>
      <w:sz w:val="36"/>
      <w:szCs w:val="36"/>
    </w:rPr>
  </w:style>
  <w:style w:type="paragraph" w:customStyle="1" w:styleId="font9">
    <w:name w:val="font9"/>
    <w:basedOn w:val="a"/>
    <w:qFormat/>
    <w:pPr>
      <w:widowControl/>
      <w:spacing w:before="280" w:after="280" w:line="240" w:lineRule="auto"/>
      <w:textAlignment w:val="auto"/>
    </w:pPr>
    <w:rPr>
      <w:b/>
      <w:bCs/>
      <w:sz w:val="36"/>
      <w:szCs w:val="36"/>
    </w:rPr>
  </w:style>
  <w:style w:type="paragraph" w:customStyle="1" w:styleId="xl24">
    <w:name w:val="xl24"/>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center"/>
      <w:textAlignment w:val="auto"/>
    </w:pPr>
    <w:rPr>
      <w:rFonts w:ascii="Arial Unicode MS" w:hAnsi="Arial Unicode MS" w:cs="Arial Unicode MS"/>
      <w:szCs w:val="24"/>
    </w:rPr>
  </w:style>
  <w:style w:type="paragraph" w:customStyle="1" w:styleId="xl25">
    <w:name w:val="xl25"/>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center"/>
      <w:textAlignment w:val="auto"/>
    </w:pPr>
    <w:rPr>
      <w:szCs w:val="24"/>
    </w:rPr>
  </w:style>
  <w:style w:type="paragraph" w:customStyle="1" w:styleId="xl26">
    <w:name w:val="xl26"/>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center"/>
      <w:textAlignment w:val="auto"/>
    </w:pPr>
    <w:rPr>
      <w:sz w:val="20"/>
    </w:rPr>
  </w:style>
  <w:style w:type="paragraph" w:customStyle="1" w:styleId="xl27">
    <w:name w:val="xl27"/>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textAlignment w:val="auto"/>
    </w:pPr>
    <w:rPr>
      <w:rFonts w:ascii="Arial Narrow" w:hAnsi="Arial Narrow" w:cs="Arial Narrow"/>
      <w:sz w:val="20"/>
    </w:rPr>
  </w:style>
  <w:style w:type="paragraph" w:customStyle="1" w:styleId="xl28">
    <w:name w:val="xl28"/>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textAlignment w:val="auto"/>
    </w:pPr>
    <w:rPr>
      <w:rFonts w:ascii="Arial Narrow" w:hAnsi="Arial Narrow" w:cs="Arial Narrow"/>
      <w:sz w:val="20"/>
    </w:rPr>
  </w:style>
  <w:style w:type="paragraph" w:customStyle="1" w:styleId="xl29">
    <w:name w:val="xl29"/>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right"/>
      <w:textAlignment w:val="auto"/>
    </w:pPr>
    <w:rPr>
      <w:rFonts w:ascii="Arial Narrow" w:hAnsi="Arial Narrow" w:cs="Arial Narrow"/>
      <w:sz w:val="20"/>
    </w:rPr>
  </w:style>
  <w:style w:type="paragraph" w:customStyle="1" w:styleId="xl30">
    <w:name w:val="xl30"/>
    <w:basedOn w:val="a"/>
    <w:qFormat/>
    <w:pPr>
      <w:widowControl/>
      <w:pBdr>
        <w:top w:val="single" w:sz="4" w:space="0" w:color="000000"/>
        <w:left w:val="single" w:sz="4" w:space="0" w:color="000000"/>
        <w:bottom w:val="single" w:sz="4" w:space="0" w:color="000000"/>
      </w:pBdr>
      <w:spacing w:before="280" w:after="280" w:line="240" w:lineRule="auto"/>
      <w:jc w:val="center"/>
      <w:textAlignment w:val="auto"/>
    </w:pPr>
    <w:rPr>
      <w:rFonts w:ascii="Arial Unicode MS" w:hAnsi="Arial Unicode MS" w:cs="Arial Unicode MS"/>
      <w:sz w:val="20"/>
    </w:rPr>
  </w:style>
  <w:style w:type="paragraph" w:customStyle="1" w:styleId="xl31">
    <w:name w:val="xl31"/>
    <w:basedOn w:val="a"/>
    <w:qFormat/>
    <w:pPr>
      <w:widowControl/>
      <w:pBdr>
        <w:top w:val="single" w:sz="4" w:space="0" w:color="000000"/>
        <w:bottom w:val="single" w:sz="4" w:space="0" w:color="000000"/>
      </w:pBdr>
      <w:spacing w:before="280" w:after="280" w:line="240" w:lineRule="auto"/>
      <w:jc w:val="center"/>
      <w:textAlignment w:val="auto"/>
    </w:pPr>
    <w:rPr>
      <w:rFonts w:ascii="Arial Unicode MS" w:hAnsi="Arial Unicode MS" w:cs="Arial Unicode MS"/>
      <w:sz w:val="20"/>
    </w:rPr>
  </w:style>
  <w:style w:type="paragraph" w:customStyle="1" w:styleId="xl32">
    <w:name w:val="xl32"/>
    <w:basedOn w:val="a"/>
    <w:qFormat/>
    <w:pPr>
      <w:widowControl/>
      <w:pBdr>
        <w:top w:val="single" w:sz="4" w:space="0" w:color="000000"/>
        <w:bottom w:val="single" w:sz="4" w:space="0" w:color="000000"/>
        <w:right w:val="single" w:sz="4" w:space="0" w:color="000000"/>
      </w:pBdr>
      <w:spacing w:before="280" w:after="280" w:line="240" w:lineRule="auto"/>
      <w:jc w:val="center"/>
      <w:textAlignment w:val="auto"/>
    </w:pPr>
    <w:rPr>
      <w:rFonts w:ascii="Arial Unicode MS" w:hAnsi="Arial Unicode MS" w:cs="Arial Unicode MS"/>
      <w:sz w:val="20"/>
    </w:rPr>
  </w:style>
  <w:style w:type="paragraph" w:styleId="HTML0">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rFonts w:ascii="宋体;SimSun" w:hAnsi="宋体;SimSun" w:cs="宋体;SimSun"/>
      <w:szCs w:val="24"/>
      <w:lang w:val="zh-CN"/>
    </w:rPr>
  </w:style>
  <w:style w:type="paragraph" w:customStyle="1" w:styleId="25">
    <w:name w:val="样式2"/>
    <w:basedOn w:val="a"/>
    <w:qFormat/>
    <w:pPr>
      <w:autoSpaceDE w:val="0"/>
      <w:spacing w:line="240" w:lineRule="auto"/>
      <w:jc w:val="center"/>
    </w:pPr>
    <w:rPr>
      <w:rFonts w:ascii="长城粗隶书;宋体" w:eastAsia="长城粗隶书;宋体" w:hAnsi="长城粗隶书;宋体"/>
      <w:b/>
      <w:spacing w:val="20"/>
      <w:sz w:val="52"/>
    </w:rPr>
  </w:style>
  <w:style w:type="paragraph" w:customStyle="1" w:styleId="CharChar1Char">
    <w:name w:val="Char Char1 Char"/>
    <w:basedOn w:val="a"/>
    <w:qFormat/>
    <w:pPr>
      <w:spacing w:line="240" w:lineRule="auto"/>
      <w:jc w:val="both"/>
      <w:textAlignment w:val="auto"/>
    </w:pPr>
    <w:rPr>
      <w:rFonts w:ascii="宋体;SimSun" w:hAnsi="宋体;SimSun" w:cs="Courier New"/>
      <w:kern w:val="2"/>
      <w:sz w:val="32"/>
      <w:szCs w:val="32"/>
    </w:rPr>
  </w:style>
  <w:style w:type="paragraph" w:customStyle="1" w:styleId="Chara">
    <w:name w:val="Char"/>
    <w:basedOn w:val="a"/>
    <w:qFormat/>
    <w:pPr>
      <w:spacing w:line="240" w:lineRule="auto"/>
      <w:jc w:val="both"/>
      <w:textAlignment w:val="auto"/>
    </w:pPr>
    <w:rPr>
      <w:rFonts w:ascii="宋体;SimSun" w:hAnsi="宋体;SimSun" w:cs="Courier New"/>
      <w:kern w:val="2"/>
      <w:sz w:val="32"/>
      <w:szCs w:val="32"/>
    </w:rPr>
  </w:style>
  <w:style w:type="paragraph" w:styleId="aff">
    <w:name w:val="Balloon Text"/>
    <w:basedOn w:val="a"/>
    <w:qFormat/>
    <w:rPr>
      <w:sz w:val="18"/>
      <w:szCs w:val="18"/>
      <w:lang w:val="zh-CN"/>
    </w:rPr>
  </w:style>
  <w:style w:type="paragraph" w:customStyle="1" w:styleId="Default">
    <w:name w:val="Default"/>
    <w:qFormat/>
    <w:pPr>
      <w:widowControl w:val="0"/>
      <w:autoSpaceDE w:val="0"/>
    </w:pPr>
    <w:rPr>
      <w:rFonts w:ascii="华文细黑碙..;仿宋" w:eastAsia="华文细黑碙..;仿宋" w:hAnsi="华文细黑碙..;仿宋" w:cs="华文细黑碙..;仿宋"/>
      <w:color w:val="000000"/>
      <w:sz w:val="24"/>
      <w:lang w:bidi="ar-SA"/>
    </w:rPr>
  </w:style>
  <w:style w:type="paragraph" w:styleId="aff0">
    <w:name w:val="annotation text"/>
    <w:basedOn w:val="a"/>
    <w:qFormat/>
    <w:rPr>
      <w:lang w:val="zh-CN"/>
    </w:rPr>
  </w:style>
  <w:style w:type="paragraph" w:styleId="aff1">
    <w:name w:val="annotation subject"/>
    <w:basedOn w:val="aff0"/>
    <w:next w:val="aff0"/>
    <w:qFormat/>
    <w:rPr>
      <w:b/>
      <w:bCs/>
    </w:rPr>
  </w:style>
  <w:style w:type="paragraph" w:styleId="aff2">
    <w:name w:val="Revision"/>
    <w:qFormat/>
    <w:rPr>
      <w:rFonts w:ascii="Times New Roman" w:eastAsia="宋体;SimSun" w:hAnsi="Times New Roman" w:cs="Times New Roman"/>
      <w:sz w:val="24"/>
      <w:szCs w:val="20"/>
      <w:lang w:bidi="ar-SA"/>
    </w:rPr>
  </w:style>
  <w:style w:type="paragraph" w:customStyle="1" w:styleId="iwpoititle">
    <w:name w:val="iw_poi_title"/>
    <w:basedOn w:val="a"/>
    <w:qFormat/>
    <w:pPr>
      <w:widowControl/>
      <w:spacing w:line="240" w:lineRule="auto"/>
      <w:textAlignment w:val="auto"/>
    </w:pPr>
    <w:rPr>
      <w:rFonts w:ascii="宋体;SimSun" w:hAnsi="宋体;SimSun" w:cs="宋体;SimSun"/>
      <w:b/>
      <w:bCs/>
      <w:color w:val="4D4D4D"/>
      <w:sz w:val="21"/>
      <w:szCs w:val="21"/>
    </w:rPr>
  </w:style>
  <w:style w:type="paragraph" w:customStyle="1" w:styleId="CharCharCharChar">
    <w:name w:val="Char Char Char Char"/>
    <w:basedOn w:val="a"/>
    <w:qFormat/>
    <w:pPr>
      <w:spacing w:line="240" w:lineRule="auto"/>
      <w:jc w:val="both"/>
      <w:textAlignment w:val="auto"/>
    </w:pPr>
    <w:rPr>
      <w:rFonts w:ascii="宋体;SimSun" w:hAnsi="宋体;SimSun" w:cs="Courier New"/>
      <w:kern w:val="2"/>
      <w:sz w:val="32"/>
      <w:szCs w:val="32"/>
    </w:rPr>
  </w:style>
  <w:style w:type="paragraph" w:styleId="aff3">
    <w:name w:val="List Paragraph"/>
    <w:basedOn w:val="a"/>
    <w:qFormat/>
    <w:pPr>
      <w:ind w:firstLine="420"/>
    </w:pPr>
  </w:style>
  <w:style w:type="paragraph" w:styleId="11">
    <w:name w:val="toc 1"/>
    <w:basedOn w:val="a"/>
    <w:next w:val="a"/>
    <w:uiPriority w:val="39"/>
    <w:pPr>
      <w:tabs>
        <w:tab w:val="left" w:pos="840"/>
        <w:tab w:val="right" w:leader="dot" w:pos="8654"/>
      </w:tabs>
      <w:spacing w:line="360" w:lineRule="auto"/>
      <w:jc w:val="center"/>
    </w:pPr>
    <w:rPr>
      <w:rFonts w:ascii="仿宋_GB2312;仿宋" w:eastAsia="仿宋_GB2312;仿宋" w:hAnsi="仿宋_GB2312;仿宋" w:cs="Arial"/>
      <w:sz w:val="28"/>
      <w:szCs w:val="28"/>
      <w:lang w:val="zh-CN"/>
    </w:rPr>
  </w:style>
  <w:style w:type="paragraph" w:styleId="26">
    <w:name w:val="toc 2"/>
    <w:basedOn w:val="a"/>
    <w:next w:val="a"/>
    <w:uiPriority w:val="39"/>
    <w:pPr>
      <w:tabs>
        <w:tab w:val="right" w:leader="dot" w:pos="8931"/>
      </w:tabs>
      <w:spacing w:line="360" w:lineRule="auto"/>
      <w:ind w:left="480"/>
    </w:pPr>
  </w:style>
  <w:style w:type="paragraph" w:styleId="35">
    <w:name w:val="toc 3"/>
    <w:basedOn w:val="a"/>
    <w:next w:val="a"/>
    <w:uiPriority w:val="39"/>
    <w:pPr>
      <w:spacing w:line="240" w:lineRule="auto"/>
      <w:ind w:left="840"/>
      <w:jc w:val="both"/>
      <w:textAlignment w:val="auto"/>
    </w:pPr>
    <w:rPr>
      <w:rFonts w:ascii="Calibri" w:hAnsi="Calibri"/>
      <w:kern w:val="2"/>
      <w:sz w:val="21"/>
      <w:szCs w:val="22"/>
    </w:rPr>
  </w:style>
  <w:style w:type="paragraph" w:styleId="41">
    <w:name w:val="toc 4"/>
    <w:basedOn w:val="a"/>
    <w:next w:val="a"/>
    <w:uiPriority w:val="39"/>
    <w:pPr>
      <w:spacing w:line="240" w:lineRule="auto"/>
      <w:ind w:left="1260"/>
      <w:jc w:val="both"/>
      <w:textAlignment w:val="auto"/>
    </w:pPr>
    <w:rPr>
      <w:rFonts w:ascii="Calibri" w:hAnsi="Calibri"/>
      <w:kern w:val="2"/>
      <w:sz w:val="21"/>
      <w:szCs w:val="22"/>
    </w:rPr>
  </w:style>
  <w:style w:type="paragraph" w:styleId="5">
    <w:name w:val="toc 5"/>
    <w:basedOn w:val="a"/>
    <w:next w:val="a"/>
    <w:uiPriority w:val="39"/>
    <w:pPr>
      <w:spacing w:line="240" w:lineRule="auto"/>
      <w:ind w:left="1680"/>
      <w:jc w:val="both"/>
      <w:textAlignment w:val="auto"/>
    </w:pPr>
    <w:rPr>
      <w:rFonts w:ascii="Calibri" w:hAnsi="Calibri"/>
      <w:kern w:val="2"/>
      <w:sz w:val="21"/>
      <w:szCs w:val="22"/>
    </w:rPr>
  </w:style>
  <w:style w:type="paragraph" w:styleId="6">
    <w:name w:val="toc 6"/>
    <w:basedOn w:val="a"/>
    <w:next w:val="a"/>
    <w:uiPriority w:val="39"/>
    <w:pPr>
      <w:spacing w:line="240" w:lineRule="auto"/>
      <w:ind w:left="2100"/>
      <w:jc w:val="both"/>
      <w:textAlignment w:val="auto"/>
    </w:pPr>
    <w:rPr>
      <w:rFonts w:ascii="Calibri" w:hAnsi="Calibri"/>
      <w:kern w:val="2"/>
      <w:sz w:val="21"/>
      <w:szCs w:val="22"/>
    </w:rPr>
  </w:style>
  <w:style w:type="paragraph" w:styleId="7">
    <w:name w:val="toc 7"/>
    <w:basedOn w:val="a"/>
    <w:next w:val="a"/>
    <w:uiPriority w:val="39"/>
    <w:pPr>
      <w:spacing w:line="240" w:lineRule="auto"/>
      <w:ind w:left="2520"/>
      <w:jc w:val="both"/>
      <w:textAlignment w:val="auto"/>
    </w:pPr>
    <w:rPr>
      <w:rFonts w:ascii="Calibri" w:hAnsi="Calibri"/>
      <w:kern w:val="2"/>
      <w:sz w:val="21"/>
      <w:szCs w:val="22"/>
    </w:rPr>
  </w:style>
  <w:style w:type="paragraph" w:styleId="8">
    <w:name w:val="toc 8"/>
    <w:basedOn w:val="a"/>
    <w:next w:val="a"/>
    <w:uiPriority w:val="39"/>
    <w:pPr>
      <w:spacing w:line="240" w:lineRule="auto"/>
      <w:ind w:left="2940"/>
      <w:jc w:val="both"/>
      <w:textAlignment w:val="auto"/>
    </w:pPr>
    <w:rPr>
      <w:rFonts w:ascii="Calibri" w:hAnsi="Calibri"/>
      <w:kern w:val="2"/>
      <w:sz w:val="21"/>
      <w:szCs w:val="22"/>
    </w:rPr>
  </w:style>
  <w:style w:type="paragraph" w:styleId="9">
    <w:name w:val="toc 9"/>
    <w:basedOn w:val="a"/>
    <w:next w:val="a"/>
    <w:uiPriority w:val="39"/>
    <w:pPr>
      <w:spacing w:line="240" w:lineRule="auto"/>
      <w:ind w:left="3360"/>
      <w:jc w:val="both"/>
      <w:textAlignment w:val="auto"/>
    </w:pPr>
    <w:rPr>
      <w:rFonts w:ascii="Calibri" w:hAnsi="Calibri"/>
      <w:kern w:val="2"/>
      <w:sz w:val="21"/>
      <w:szCs w:val="22"/>
    </w:rPr>
  </w:style>
  <w:style w:type="paragraph" w:customStyle="1" w:styleId="12">
    <w:name w:val="正文1"/>
    <w:qFormat/>
    <w:pPr>
      <w:widowControl w:val="0"/>
      <w:spacing w:line="360" w:lineRule="atLeast"/>
      <w:textAlignment w:val="baseline"/>
    </w:pPr>
    <w:rPr>
      <w:rFonts w:ascii="宋体;SimSun" w:eastAsia="宋体;SimSun" w:hAnsi="宋体;SimSun" w:cs="Times New Roman"/>
      <w:sz w:val="34"/>
      <w:szCs w:val="20"/>
      <w:lang w:bidi="ar-SA"/>
    </w:rPr>
  </w:style>
  <w:style w:type="paragraph" w:customStyle="1" w:styleId="70">
    <w:name w:val="样式7"/>
    <w:basedOn w:val="a"/>
    <w:qFormat/>
    <w:pPr>
      <w:spacing w:line="360" w:lineRule="auto"/>
      <w:ind w:firstLine="567"/>
      <w:jc w:val="both"/>
      <w:textAlignment w:val="auto"/>
    </w:pPr>
    <w:rPr>
      <w:rFonts w:ascii="仿宋_GB2312;仿宋" w:eastAsia="仿宋_GB2312;仿宋" w:hAnsi="仿宋_GB2312;仿宋"/>
      <w:kern w:val="2"/>
      <w:sz w:val="28"/>
      <w:lang w:val="zh-CN"/>
    </w:rPr>
  </w:style>
  <w:style w:type="paragraph" w:customStyle="1" w:styleId="27">
    <w:name w:val="普通(网站)2"/>
    <w:basedOn w:val="a"/>
    <w:qFormat/>
    <w:pPr>
      <w:widowControl/>
      <w:spacing w:before="100" w:after="100" w:line="240" w:lineRule="auto"/>
      <w:textAlignment w:val="auto"/>
    </w:pPr>
    <w:rPr>
      <w:rFonts w:ascii="宋体;SimSun" w:hAnsi="宋体;SimSun" w:cs="宋体;SimSun"/>
      <w:sz w:val="18"/>
    </w:rPr>
  </w:style>
  <w:style w:type="paragraph" w:customStyle="1" w:styleId="aff4">
    <w:name w:val="表格内容"/>
    <w:basedOn w:val="a"/>
    <w:qFormat/>
    <w:pPr>
      <w:suppressLineNumbers/>
    </w:pPr>
  </w:style>
  <w:style w:type="paragraph" w:customStyle="1" w:styleId="aff5">
    <w:name w:val="表格标题"/>
    <w:basedOn w:val="aff4"/>
    <w:qFormat/>
    <w:pPr>
      <w:jc w:val="center"/>
    </w:pPr>
    <w:rPr>
      <w:b/>
      <w:bCs/>
    </w:rPr>
  </w:style>
  <w:style w:type="paragraph" w:customStyle="1" w:styleId="aff6">
    <w:name w:val="框架内容"/>
    <w:basedOn w:val="a"/>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character" w:styleId="aff7">
    <w:name w:val="Hyperlink"/>
    <w:basedOn w:val="a0"/>
    <w:uiPriority w:val="99"/>
    <w:unhideWhenUsed/>
    <w:rsid w:val="004E191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footer" Target="footer10.xml"/><Relationship Id="rId39" Type="http://schemas.openxmlformats.org/officeDocument/2006/relationships/header" Target="header13.xml"/><Relationship Id="rId21" Type="http://schemas.openxmlformats.org/officeDocument/2006/relationships/header" Target="header8.xml"/><Relationship Id="rId34" Type="http://schemas.openxmlformats.org/officeDocument/2006/relationships/hyperlink" Target="http://www.baidu.com/link?url=WR4ik0HfoP3GU1rlTYIFq3n2WBRxMHa-d8GcgMgJUtKKn1Pe8laCRZpZkd9wT3bWx0Da0HhCv5MAzf-34H8xnjpEjz3Kk8n4fMGDiYPYgW3" TargetMode="External"/><Relationship Id="rId42" Type="http://schemas.openxmlformats.org/officeDocument/2006/relationships/footer" Target="footer14.xml"/><Relationship Id="rId47" Type="http://schemas.openxmlformats.org/officeDocument/2006/relationships/header" Target="header17.xml"/><Relationship Id="rId50" Type="http://schemas.openxmlformats.org/officeDocument/2006/relationships/footer" Target="footer18.xml"/><Relationship Id="rId55" Type="http://schemas.openxmlformats.org/officeDocument/2006/relationships/footer" Target="footer20.xml"/><Relationship Id="rId63" Type="http://schemas.openxmlformats.org/officeDocument/2006/relationships/hyperlink" Target="http://baike.baidu.com/item/&#22303;&#22320;&#25152;&#26377;&#26435;" TargetMode="External"/><Relationship Id="rId68" Type="http://schemas.openxmlformats.org/officeDocument/2006/relationships/header" Target="header25.xml"/><Relationship Id="rId76" Type="http://schemas.openxmlformats.org/officeDocument/2006/relationships/footer" Target="footer28.xml"/><Relationship Id="rId7" Type="http://schemas.openxmlformats.org/officeDocument/2006/relationships/header" Target="header1.xml"/><Relationship Id="rId71" Type="http://schemas.openxmlformats.org/officeDocument/2006/relationships/footer" Target="footer26.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image" Target="media/image8.png"/><Relationship Id="rId11" Type="http://schemas.openxmlformats.org/officeDocument/2006/relationships/header" Target="header3.xml"/><Relationship Id="rId24" Type="http://schemas.openxmlformats.org/officeDocument/2006/relationships/footer" Target="footer9.xml"/><Relationship Id="rId32" Type="http://schemas.openxmlformats.org/officeDocument/2006/relationships/header" Target="header11.xml"/><Relationship Id="rId37" Type="http://schemas.openxmlformats.org/officeDocument/2006/relationships/header" Target="header12.xml"/><Relationship Id="rId40" Type="http://schemas.openxmlformats.org/officeDocument/2006/relationships/footer" Target="footer13.xml"/><Relationship Id="rId45" Type="http://schemas.openxmlformats.org/officeDocument/2006/relationships/header" Target="header16.xml"/><Relationship Id="rId53" Type="http://schemas.openxmlformats.org/officeDocument/2006/relationships/footer" Target="footer19.xml"/><Relationship Id="rId58" Type="http://schemas.openxmlformats.org/officeDocument/2006/relationships/header" Target="header22.xml"/><Relationship Id="rId66" Type="http://schemas.openxmlformats.org/officeDocument/2006/relationships/header" Target="header24.xml"/><Relationship Id="rId74" Type="http://schemas.openxmlformats.org/officeDocument/2006/relationships/footer" Target="footer27.xm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eader" Target="header23.xml"/><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image" Target="media/image10.png"/><Relationship Id="rId44" Type="http://schemas.openxmlformats.org/officeDocument/2006/relationships/footer" Target="footer15.xml"/><Relationship Id="rId52" Type="http://schemas.openxmlformats.org/officeDocument/2006/relationships/header" Target="header19.xml"/><Relationship Id="rId60" Type="http://schemas.openxmlformats.org/officeDocument/2006/relationships/image" Target="media/image15.png"/><Relationship Id="rId65" Type="http://schemas.openxmlformats.org/officeDocument/2006/relationships/image" Target="media/image17.png"/><Relationship Id="rId73" Type="http://schemas.openxmlformats.org/officeDocument/2006/relationships/header" Target="header27.xml"/><Relationship Id="rId78" Type="http://schemas.openxmlformats.org/officeDocument/2006/relationships/footer" Target="footer29.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hyperlink" Target="http://baike.baidu.com/item/&#22303;&#22320;&#25152;&#26377;&#26435;" TargetMode="External"/><Relationship Id="rId43" Type="http://schemas.openxmlformats.org/officeDocument/2006/relationships/header" Target="header15.xml"/><Relationship Id="rId48" Type="http://schemas.openxmlformats.org/officeDocument/2006/relationships/footer" Target="footer17.xml"/><Relationship Id="rId56" Type="http://schemas.openxmlformats.org/officeDocument/2006/relationships/header" Target="header21.xml"/><Relationship Id="rId64" Type="http://schemas.openxmlformats.org/officeDocument/2006/relationships/hyperlink" Target="http://baike.baidu.com/item/&#22303;&#22320;&#20215;&#26684;" TargetMode="External"/><Relationship Id="rId69" Type="http://schemas.openxmlformats.org/officeDocument/2006/relationships/footer" Target="footer25.xml"/><Relationship Id="rId77" Type="http://schemas.openxmlformats.org/officeDocument/2006/relationships/header" Target="header29.xml"/><Relationship Id="rId8" Type="http://schemas.openxmlformats.org/officeDocument/2006/relationships/footer" Target="footer1.xml"/><Relationship Id="rId51" Type="http://schemas.openxmlformats.org/officeDocument/2006/relationships/hyperlink" Target="http://www.baidu.com/link?url=WR4ik0HfoP3GU1rlTYIFq3n2WBRxMHa-d8GcgMgJUtKKn1Pe8laCRZpZkd9wT3bWx0Da0HhCv5MAzf-34H8xnjpEjz3Kk8n4fMGDiYPYgW3" TargetMode="External"/><Relationship Id="rId72" Type="http://schemas.openxmlformats.org/officeDocument/2006/relationships/image" Target="media/image18.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footer" Target="footer11.xml"/><Relationship Id="rId38" Type="http://schemas.openxmlformats.org/officeDocument/2006/relationships/footer" Target="footer12.xml"/><Relationship Id="rId46" Type="http://schemas.openxmlformats.org/officeDocument/2006/relationships/footer" Target="footer16.xml"/><Relationship Id="rId59" Type="http://schemas.openxmlformats.org/officeDocument/2006/relationships/footer" Target="footer22.xml"/><Relationship Id="rId67" Type="http://schemas.openxmlformats.org/officeDocument/2006/relationships/footer" Target="footer24.xml"/><Relationship Id="rId20" Type="http://schemas.openxmlformats.org/officeDocument/2006/relationships/footer" Target="footer7.xml"/><Relationship Id="rId41" Type="http://schemas.openxmlformats.org/officeDocument/2006/relationships/header" Target="header14.xml"/><Relationship Id="rId54" Type="http://schemas.openxmlformats.org/officeDocument/2006/relationships/header" Target="header20.xml"/><Relationship Id="rId62" Type="http://schemas.openxmlformats.org/officeDocument/2006/relationships/footer" Target="footer23.xml"/><Relationship Id="rId70" Type="http://schemas.openxmlformats.org/officeDocument/2006/relationships/header" Target="header26.xml"/><Relationship Id="rId75" Type="http://schemas.openxmlformats.org/officeDocument/2006/relationships/header" Target="header2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chart" Target="charts/chart1.xml"/><Relationship Id="rId36" Type="http://schemas.openxmlformats.org/officeDocument/2006/relationships/hyperlink" Target="http://baike.baidu.com/item/&#22303;&#22320;&#20215;&#26684;" TargetMode="External"/><Relationship Id="rId49" Type="http://schemas.openxmlformats.org/officeDocument/2006/relationships/header" Target="header18.xml"/><Relationship Id="rId57" Type="http://schemas.openxmlformats.org/officeDocument/2006/relationships/footer" Target="footer21.xml"/></Relationships>
</file>

<file path=word/_rels/header10.xml.rels><?xml version="1.0" encoding="UTF-8" standalone="yes"?>
<Relationships xmlns="http://schemas.openxmlformats.org/package/2006/relationships"><Relationship Id="rId1" Type="http://schemas.openxmlformats.org/officeDocument/2006/relationships/image" Target="media/image6.jpeg"/></Relationships>
</file>

<file path=word/_rels/header11.xml.rels><?xml version="1.0" encoding="UTF-8" standalone="yes"?>
<Relationships xmlns="http://schemas.openxmlformats.org/package/2006/relationships"><Relationship Id="rId1" Type="http://schemas.openxmlformats.org/officeDocument/2006/relationships/image" Target="media/image11.jpeg"/></Relationships>
</file>

<file path=word/_rels/header12.xml.rels><?xml version="1.0" encoding="UTF-8" standalone="yes"?>
<Relationships xmlns="http://schemas.openxmlformats.org/package/2006/relationships"><Relationship Id="rId1" Type="http://schemas.openxmlformats.org/officeDocument/2006/relationships/image" Target="media/image11.jpeg"/></Relationships>
</file>

<file path=word/_rels/header14.xml.rels><?xml version="1.0" encoding="UTF-8" standalone="yes"?>
<Relationships xmlns="http://schemas.openxmlformats.org/package/2006/relationships"><Relationship Id="rId1" Type="http://schemas.openxmlformats.org/officeDocument/2006/relationships/image" Target="media/image12.jpeg"/></Relationships>
</file>

<file path=word/_rels/header18.xml.rels><?xml version="1.0" encoding="UTF-8" standalone="yes"?>
<Relationships xmlns="http://schemas.openxmlformats.org/package/2006/relationships"><Relationship Id="rId1" Type="http://schemas.openxmlformats.org/officeDocument/2006/relationships/image" Target="media/image13.jpeg"/></Relationships>
</file>

<file path=word/_rels/header22.xml.rels><?xml version="1.0" encoding="UTF-8" standalone="yes"?>
<Relationships xmlns="http://schemas.openxmlformats.org/package/2006/relationships"><Relationship Id="rId1" Type="http://schemas.openxmlformats.org/officeDocument/2006/relationships/image" Target="media/image14.jpeg"/></Relationships>
</file>

<file path=word/_rels/header23.xml.rels><?xml version="1.0" encoding="UTF-8" standalone="yes"?>
<Relationships xmlns="http://schemas.openxmlformats.org/package/2006/relationships"><Relationship Id="rId1" Type="http://schemas.openxmlformats.org/officeDocument/2006/relationships/image" Target="media/image16.jpeg"/></Relationships>
</file>

<file path=word/_rels/header24.xml.rels><?xml version="1.0" encoding="UTF-8" standalone="yes"?>
<Relationships xmlns="http://schemas.openxmlformats.org/package/2006/relationships"><Relationship Id="rId1" Type="http://schemas.openxmlformats.org/officeDocument/2006/relationships/image" Target="media/image16.jpeg"/></Relationships>
</file>

<file path=word/_rels/header27.xml.rels><?xml version="1.0" encoding="UTF-8" standalone="yes"?>
<Relationships xmlns="http://schemas.openxmlformats.org/package/2006/relationships"><Relationship Id="rId1" Type="http://schemas.openxmlformats.org/officeDocument/2006/relationships/image" Target="media/image19.jpeg"/></Relationships>
</file>

<file path=word/_rels/header28.xml.rels><?xml version="1.0" encoding="UTF-8" standalone="yes"?>
<Relationships xmlns="http://schemas.openxmlformats.org/package/2006/relationships"><Relationship Id="rId1" Type="http://schemas.openxmlformats.org/officeDocument/2006/relationships/image" Target="media/image19.jpeg"/></Relationships>
</file>

<file path=word/_rels/header29.xml.rels><?xml version="1.0" encoding="UTF-8" standalone="yes"?>
<Relationships xmlns="http://schemas.openxmlformats.org/package/2006/relationships"><Relationship Id="rId1" Type="http://schemas.openxmlformats.org/officeDocument/2006/relationships/image" Target="media/image20.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invertIfNegative val="0"/>
          <c:dLbls>
            <c:dLbl>
              <c:idx val="0"/>
              <c:delete val="1"/>
              <c:extLst>
                <c:ext xmlns:c15="http://schemas.microsoft.com/office/drawing/2012/chart" uri="{CE6537A1-D6FC-4f65-9D91-7224C49458BB}"/>
              </c:extLst>
            </c:dLbl>
            <c:dLbl>
              <c:idx val="1"/>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14698142062950792"/>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2493438320209973E-2"/>
                  <c:y val="0"/>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2992125984251968E-2"/>
                  <c:y val="4.6296296296296294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33858267716535445"/>
                  <c:y val="0"/>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9.711286089238845E-2"/>
                  <c:y val="4.6296296296296294E-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8.3989501312335957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Arial" pitchFamily="34" charset="0"/>
                    <a:cs typeface="Arial"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Sheet1!$A$8:$A$16</c:f>
              <c:strCache>
                <c:ptCount val="9"/>
                <c:pt idx="0">
                  <c:v>其他土地</c:v>
                </c:pt>
                <c:pt idx="1">
                  <c:v>水域及水利设施用地</c:v>
                </c:pt>
                <c:pt idx="2">
                  <c:v>交通运输用地</c:v>
                </c:pt>
                <c:pt idx="3">
                  <c:v>城镇村及工矿用地</c:v>
                </c:pt>
                <c:pt idx="4">
                  <c:v>湿地</c:v>
                </c:pt>
                <c:pt idx="5">
                  <c:v>草地</c:v>
                </c:pt>
                <c:pt idx="6">
                  <c:v>林地</c:v>
                </c:pt>
                <c:pt idx="7">
                  <c:v>园地</c:v>
                </c:pt>
                <c:pt idx="8">
                  <c:v>耕地</c:v>
                </c:pt>
              </c:strCache>
            </c:strRef>
          </c:cat>
          <c:val>
            <c:numRef>
              <c:f>Sheet1!$B$8:$B$16</c:f>
              <c:numCache>
                <c:formatCode>0.00_ </c:formatCode>
                <c:ptCount val="9"/>
                <c:pt idx="0">
                  <c:v>11351.260000000082</c:v>
                </c:pt>
                <c:pt idx="1">
                  <c:v>61704</c:v>
                </c:pt>
                <c:pt idx="2">
                  <c:v>49281.38</c:v>
                </c:pt>
                <c:pt idx="3">
                  <c:v>313643.87</c:v>
                </c:pt>
                <c:pt idx="4">
                  <c:v>3107.98</c:v>
                </c:pt>
                <c:pt idx="5">
                  <c:v>14460.44</c:v>
                </c:pt>
                <c:pt idx="6">
                  <c:v>967628.62</c:v>
                </c:pt>
                <c:pt idx="7">
                  <c:v>126274.55</c:v>
                </c:pt>
                <c:pt idx="8">
                  <c:v>93547.9</c:v>
                </c:pt>
              </c:numCache>
            </c:numRef>
          </c:val>
        </c:ser>
        <c:dLbls>
          <c:showLegendKey val="0"/>
          <c:showVal val="0"/>
          <c:showCatName val="0"/>
          <c:showSerName val="0"/>
          <c:showPercent val="0"/>
          <c:showBubbleSize val="0"/>
        </c:dLbls>
        <c:gapWidth val="130"/>
        <c:overlap val="100"/>
        <c:serLines/>
        <c:axId val="552110336"/>
        <c:axId val="552107984"/>
      </c:barChart>
      <c:valAx>
        <c:axId val="552107984"/>
        <c:scaling>
          <c:orientation val="minMax"/>
          <c:max val="1200000"/>
        </c:scaling>
        <c:delete val="0"/>
        <c:axPos val="b"/>
        <c:majorGridlines/>
        <c:numFmt formatCode="0_ " sourceLinked="0"/>
        <c:majorTickMark val="out"/>
        <c:minorTickMark val="none"/>
        <c:tickLblPos val="nextTo"/>
        <c:txPr>
          <a:bodyPr/>
          <a:lstStyle/>
          <a:p>
            <a:pPr>
              <a:defRPr sz="800">
                <a:latin typeface="Arial" pitchFamily="34" charset="0"/>
                <a:cs typeface="Arial" pitchFamily="34" charset="0"/>
              </a:defRPr>
            </a:pPr>
            <a:endParaRPr lang="zh-CN"/>
          </a:p>
        </c:txPr>
        <c:crossAx val="552110336"/>
        <c:crosses val="autoZero"/>
        <c:crossBetween val="between"/>
        <c:minorUnit val="60000"/>
      </c:valAx>
      <c:catAx>
        <c:axId val="552110336"/>
        <c:scaling>
          <c:orientation val="minMax"/>
        </c:scaling>
        <c:delete val="0"/>
        <c:axPos val="l"/>
        <c:numFmt formatCode="General" sourceLinked="0"/>
        <c:majorTickMark val="out"/>
        <c:minorTickMark val="none"/>
        <c:tickLblPos val="nextTo"/>
        <c:txPr>
          <a:bodyPr/>
          <a:lstStyle/>
          <a:p>
            <a:pPr>
              <a:defRPr sz="800">
                <a:latin typeface="华文细黑" pitchFamily="2" charset="-122"/>
                <a:ea typeface="华文细黑" pitchFamily="2" charset="-122"/>
              </a:defRPr>
            </a:pPr>
            <a:endParaRPr lang="zh-CN"/>
          </a:p>
        </c:txPr>
        <c:crossAx val="552107984"/>
        <c:crosses val="autoZero"/>
        <c:auto val="1"/>
        <c:lblAlgn val="ctr"/>
        <c:lblOffset val="100"/>
        <c:noMultiLvlLbl val="0"/>
      </c:catAx>
    </c:plotArea>
    <c:plotVisOnly val="1"/>
    <c:dispBlanksAs val="gap"/>
    <c:showDLblsOverMax val="0"/>
  </c:chart>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112</Pages>
  <Words>9874</Words>
  <Characters>56283</Characters>
  <Application>Microsoft Office Word</Application>
  <DocSecurity>0</DocSecurity>
  <Lines>469</Lines>
  <Paragraphs>132</Paragraphs>
  <ScaleCrop>false</ScaleCrop>
  <Company/>
  <LinksUpToDate>false</LinksUpToDate>
  <CharactersWithSpaces>66025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win10</cp:lastModifiedBy>
  <cp:revision>4</cp:revision>
  <cp:lastPrinted>2023-11-13T14:04:00Z</cp:lastPrinted>
  <dcterms:created xsi:type="dcterms:W3CDTF">2024-08-19T02:43:00Z</dcterms:created>
  <dcterms:modified xsi:type="dcterms:W3CDTF">2024-08-19T02:43:00Z</dcterms:modified>
  <dc:language>zh-CN</dc:language>
</cp:coreProperties>
</file>