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2242" w:right="-93" w:hanging="2242"/>
        <w:outlineLvl w:val="0"/>
        <w:rPr>
          <w:rFonts w:hint="eastAsia" w:ascii="Adobe 黑体 Std R" w:hAnsi="Adobe 黑体 Std R" w:eastAsia="Adobe 黑体 Std R"/>
          <w:b/>
          <w:bCs/>
          <w:sz w:val="21"/>
          <w:szCs w:val="21"/>
        </w:rPr>
      </w:pPr>
    </w:p>
    <w:p>
      <w:pPr>
        <w:pStyle w:val="42"/>
        <w:spacing w:line="320" w:lineRule="exact"/>
        <w:ind w:left="360" w:firstLine="0" w:firstLineChars="0"/>
        <w:rPr>
          <w:rFonts w:ascii="Arial" w:hAnsi="Arial" w:eastAsia="方正黑体简体"/>
          <w:sz w:val="21"/>
          <w:szCs w:val="21"/>
        </w:rPr>
        <w:sectPr>
          <w:headerReference r:id="rId4" w:type="first"/>
          <w:headerReference r:id="rId3" w:type="default"/>
          <w:footerReference r:id="rId5" w:type="even"/>
          <w:type w:val="continuous"/>
          <w:pgSz w:w="11907" w:h="16840"/>
          <w:pgMar w:top="1843" w:right="1304" w:bottom="1134" w:left="1304" w:header="851" w:footer="1134" w:gutter="0"/>
          <w:pgNumType w:start="0"/>
          <w:cols w:space="720" w:num="1"/>
          <w:titlePg/>
          <w:docGrid w:linePitch="326" w:charSpace="0"/>
        </w:sectPr>
      </w:pPr>
      <w:r>
        <w:rPr>
          <w:rFonts w:ascii="Arial" w:hAnsi="Arial" w:eastAsia="方正黑体简体"/>
          <w:sz w:val="21"/>
          <w:szCs w:val="21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margin">
                  <wp:posOffset>5408295</wp:posOffset>
                </wp:positionV>
                <wp:extent cx="5904230" cy="30480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23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2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right="-93" w:firstLineChars="0"/>
                              <w:textAlignment w:val="bottom"/>
                              <w:outlineLvl w:val="0"/>
                              <w:rPr>
                                <w:rFonts w:ascii="Arial" w:hAnsi="Arial" w:eastAsia="Adobe 黑体 Std R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  <w:t>估价项目名称：</w:t>
                            </w:r>
                          </w:p>
                          <w:p>
                            <w:pPr>
                              <w:pStyle w:val="42"/>
                              <w:spacing w:line="320" w:lineRule="exact"/>
                              <w:ind w:left="360" w:firstLine="0" w:firstLineChars="0"/>
                              <w:textAlignment w:val="bottom"/>
                              <w:rPr>
                                <w:rFonts w:hint="eastAsia" w:ascii="Arial" w:hAnsi="Arial" w:eastAsia="方正黑体简体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sz w:val="21"/>
                                <w:szCs w:val="21"/>
                              </w:rPr>
                              <w:t>安徽省六安市皋城东路以南，球拍东路以东万达广场B地块商业、地下车库用房房地产</w:t>
                            </w:r>
                            <w:r>
                              <w:rPr>
                                <w:rFonts w:hint="eastAsia" w:ascii="Arial" w:hAnsi="Arial" w:eastAsia="方正黑体简体" w:cs="Arial"/>
                                <w:color w:val="000000"/>
                                <w:sz w:val="21"/>
                                <w:szCs w:val="21"/>
                              </w:rPr>
                              <w:t>市场价</w:t>
                            </w:r>
                            <w:r>
                              <w:rPr>
                                <w:rFonts w:hint="eastAsia" w:ascii="Arial" w:hAnsi="Arial" w:eastAsia="方正黑体简体" w:cs="Arial"/>
                                <w:sz w:val="21"/>
                                <w:szCs w:val="21"/>
                              </w:rPr>
                              <w:t>值评估</w:t>
                            </w:r>
                          </w:p>
                          <w:p>
                            <w:pPr>
                              <w:spacing w:line="320" w:lineRule="exact"/>
                              <w:textAlignment w:val="bottom"/>
                              <w:rPr>
                                <w:rFonts w:ascii="Arial" w:hAnsi="Arial" w:eastAsia="方正黑体简体"/>
                              </w:rPr>
                            </w:pPr>
                          </w:p>
                          <w:p>
                            <w:pPr>
                              <w:pStyle w:val="42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right="-93" w:firstLineChars="0"/>
                              <w:textAlignment w:val="bottom"/>
                              <w:outlineLvl w:val="0"/>
                              <w:rPr>
                                <w:rFonts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  <w:t>估价委托人：</w:t>
                            </w:r>
                          </w:p>
                          <w:p>
                            <w:pPr>
                              <w:pStyle w:val="42"/>
                              <w:spacing w:line="320" w:lineRule="exact"/>
                              <w:ind w:left="360" w:firstLine="0" w:firstLineChars="0"/>
                              <w:textAlignment w:val="bottom"/>
                              <w:rPr>
                                <w:rFonts w:hint="eastAsia" w:ascii="Arial" w:hAnsi="Arial" w:eastAsia="方正黑体简体" w:cs="Arial"/>
                                <w:color w:val="E36C0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sz w:val="21"/>
                                <w:szCs w:val="21"/>
                              </w:rPr>
                              <w:t>大连万达集团股份有限公司</w:t>
                            </w:r>
                          </w:p>
                          <w:p>
                            <w:pPr>
                              <w:spacing w:line="320" w:lineRule="exact"/>
                              <w:textAlignment w:val="bottom"/>
                              <w:rPr>
                                <w:rFonts w:ascii="Arial" w:hAnsi="Arial" w:eastAsia="方正黑体简体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2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right="-93" w:firstLineChars="0"/>
                              <w:textAlignment w:val="bottom"/>
                              <w:outlineLvl w:val="0"/>
                              <w:rPr>
                                <w:rFonts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  <w:t>房地产估价机构：</w:t>
                            </w:r>
                          </w:p>
                          <w:p>
                            <w:pPr>
                              <w:pStyle w:val="42"/>
                              <w:spacing w:line="320" w:lineRule="exact"/>
                              <w:ind w:left="360" w:firstLine="0" w:firstLineChars="0"/>
                              <w:textAlignment w:val="bottom"/>
                              <w:rPr>
                                <w:rFonts w:ascii="Arial" w:hAnsi="Arial" w:eastAsia="方正黑体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sz w:val="21"/>
                                <w:szCs w:val="21"/>
                              </w:rPr>
                              <w:t>北京康正宏基房地产评估有限公司</w:t>
                            </w:r>
                          </w:p>
                          <w:p>
                            <w:pPr>
                              <w:spacing w:line="320" w:lineRule="exact"/>
                              <w:textAlignment w:val="bottom"/>
                              <w:rPr>
                                <w:rFonts w:ascii="Arial" w:hAnsi="Arial" w:eastAsia="方正黑体简体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2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right="-93" w:firstLineChars="0"/>
                              <w:textAlignment w:val="bottom"/>
                              <w:outlineLvl w:val="0"/>
                              <w:rPr>
                                <w:rFonts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  <w:t>注册房地产估价师：</w:t>
                            </w:r>
                          </w:p>
                          <w:p>
                            <w:pPr>
                              <w:pStyle w:val="42"/>
                              <w:spacing w:line="320" w:lineRule="exact"/>
                              <w:ind w:left="360" w:firstLine="0" w:firstLineChars="0"/>
                              <w:textAlignment w:val="bottom"/>
                              <w:rPr>
                                <w:rFonts w:ascii="Arial" w:hAnsi="Arial" w:eastAsia="方正黑体简体"/>
                                <w:color w:val="E36C0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sz w:val="21"/>
                                <w:szCs w:val="21"/>
                              </w:rPr>
                              <w:t>王鹏（注册号：1120050019)、郑燚（注册号：1120070131)</w:t>
                            </w:r>
                          </w:p>
                          <w:p>
                            <w:pPr>
                              <w:pStyle w:val="42"/>
                              <w:spacing w:line="320" w:lineRule="exact"/>
                              <w:ind w:left="360" w:firstLine="0" w:firstLineChars="0"/>
                              <w:textAlignment w:val="bottom"/>
                              <w:rPr>
                                <w:rFonts w:hint="eastAsia" w:ascii="Arial" w:hAnsi="Arial" w:eastAsia="方正黑体简体"/>
                                <w:color w:val="E36C0A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2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ind w:right="-93" w:firstLineChars="0"/>
                              <w:textAlignment w:val="bottom"/>
                              <w:outlineLvl w:val="0"/>
                              <w:rPr>
                                <w:rFonts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eastAsia="方正黑体简体"/>
                                <w:b/>
                                <w:bCs/>
                                <w:sz w:val="21"/>
                                <w:szCs w:val="21"/>
                              </w:rPr>
                              <w:t>估价报告编号：</w:t>
                            </w:r>
                          </w:p>
                          <w:p>
                            <w:pPr>
                              <w:pStyle w:val="42"/>
                              <w:spacing w:line="320" w:lineRule="exact"/>
                              <w:ind w:left="360" w:firstLine="0" w:firstLineChars="0"/>
                              <w:textAlignment w:val="botto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ial" w:hAnsi="Arial" w:eastAsia="方正黑体简体" w:cs="Arial"/>
                                <w:sz w:val="21"/>
                                <w:szCs w:val="21"/>
                              </w:rPr>
                              <w:t>康正预评字</w:t>
                            </w:r>
                            <w:r>
                              <w:rPr>
                                <w:rFonts w:hint="eastAsia" w:ascii="Arial" w:hAnsi="Arial" w:eastAsia="方正黑体简体"/>
                                <w:sz w:val="21"/>
                                <w:szCs w:val="21"/>
                              </w:rPr>
                              <w:t>2021-1-0026-P01DYGJ2</w:t>
                            </w:r>
                            <w:r>
                              <w:rPr>
                                <w:rFonts w:hint="eastAsia" w:ascii="Arial" w:hAnsi="Arial" w:eastAsia="方正黑体简体" w:cs="Arial"/>
                                <w:sz w:val="2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65pt;margin-top:425.85pt;height:240pt;width:464.9pt;mso-position-horizontal-relative:margin;mso-position-vertical-relative:margin;z-index:251658240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2"/>
                        <w:numPr>
                          <w:ilvl w:val="0"/>
                          <w:numId w:val="5"/>
                        </w:numPr>
                        <w:spacing w:line="320" w:lineRule="exact"/>
                        <w:ind w:right="-93" w:firstLineChars="0"/>
                        <w:textAlignment w:val="bottom"/>
                        <w:outlineLvl w:val="0"/>
                        <w:rPr>
                          <w:rFonts w:ascii="Arial" w:hAnsi="Arial" w:eastAsia="Adobe 黑体 Std R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  <w:t>估价项目名称：</w:t>
                      </w:r>
                    </w:p>
                    <w:p>
                      <w:pPr>
                        <w:pStyle w:val="42"/>
                        <w:spacing w:line="320" w:lineRule="exact"/>
                        <w:ind w:left="360" w:firstLine="0" w:firstLineChars="0"/>
                        <w:textAlignment w:val="bottom"/>
                        <w:rPr>
                          <w:rFonts w:hint="eastAsia" w:ascii="Arial" w:hAnsi="Arial" w:eastAsia="方正黑体简体" w:cs="Arial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sz w:val="21"/>
                          <w:szCs w:val="21"/>
                        </w:rPr>
                        <w:t>安徽省六安市皋城东路以南，球拍东路以东万达广场B地块商业、地下车库用房房地产</w:t>
                      </w:r>
                      <w:r>
                        <w:rPr>
                          <w:rFonts w:hint="eastAsia" w:ascii="Arial" w:hAnsi="Arial" w:eastAsia="方正黑体简体" w:cs="Arial"/>
                          <w:color w:val="000000"/>
                          <w:sz w:val="21"/>
                          <w:szCs w:val="21"/>
                        </w:rPr>
                        <w:t>市场价</w:t>
                      </w:r>
                      <w:r>
                        <w:rPr>
                          <w:rFonts w:hint="eastAsia" w:ascii="Arial" w:hAnsi="Arial" w:eastAsia="方正黑体简体" w:cs="Arial"/>
                          <w:sz w:val="21"/>
                          <w:szCs w:val="21"/>
                        </w:rPr>
                        <w:t>值评估</w:t>
                      </w:r>
                    </w:p>
                    <w:p>
                      <w:pPr>
                        <w:spacing w:line="320" w:lineRule="exact"/>
                        <w:textAlignment w:val="bottom"/>
                        <w:rPr>
                          <w:rFonts w:ascii="Arial" w:hAnsi="Arial" w:eastAsia="方正黑体简体"/>
                        </w:rPr>
                      </w:pPr>
                    </w:p>
                    <w:p>
                      <w:pPr>
                        <w:pStyle w:val="42"/>
                        <w:numPr>
                          <w:ilvl w:val="0"/>
                          <w:numId w:val="5"/>
                        </w:numPr>
                        <w:spacing w:line="320" w:lineRule="exact"/>
                        <w:ind w:right="-93" w:firstLineChars="0"/>
                        <w:textAlignment w:val="bottom"/>
                        <w:outlineLvl w:val="0"/>
                        <w:rPr>
                          <w:rFonts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  <w:t>估价委托人：</w:t>
                      </w:r>
                    </w:p>
                    <w:p>
                      <w:pPr>
                        <w:pStyle w:val="42"/>
                        <w:spacing w:line="320" w:lineRule="exact"/>
                        <w:ind w:left="360" w:firstLine="0" w:firstLineChars="0"/>
                        <w:textAlignment w:val="bottom"/>
                        <w:rPr>
                          <w:rFonts w:hint="eastAsia" w:ascii="Arial" w:hAnsi="Arial" w:eastAsia="方正黑体简体" w:cs="Arial"/>
                          <w:color w:val="E36C0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sz w:val="21"/>
                          <w:szCs w:val="21"/>
                        </w:rPr>
                        <w:t>大连万达集团股份有限公司</w:t>
                      </w:r>
                    </w:p>
                    <w:p>
                      <w:pPr>
                        <w:spacing w:line="320" w:lineRule="exact"/>
                        <w:textAlignment w:val="bottom"/>
                        <w:rPr>
                          <w:rFonts w:ascii="Arial" w:hAnsi="Arial" w:eastAsia="方正黑体简体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2"/>
                        <w:numPr>
                          <w:ilvl w:val="0"/>
                          <w:numId w:val="5"/>
                        </w:numPr>
                        <w:spacing w:line="320" w:lineRule="exact"/>
                        <w:ind w:right="-93" w:firstLineChars="0"/>
                        <w:textAlignment w:val="bottom"/>
                        <w:outlineLvl w:val="0"/>
                        <w:rPr>
                          <w:rFonts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  <w:t>房地产估价机构：</w:t>
                      </w:r>
                    </w:p>
                    <w:p>
                      <w:pPr>
                        <w:pStyle w:val="42"/>
                        <w:spacing w:line="320" w:lineRule="exact"/>
                        <w:ind w:left="360" w:firstLine="0" w:firstLineChars="0"/>
                        <w:textAlignment w:val="bottom"/>
                        <w:rPr>
                          <w:rFonts w:ascii="Arial" w:hAnsi="Arial" w:eastAsia="方正黑体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sz w:val="21"/>
                          <w:szCs w:val="21"/>
                        </w:rPr>
                        <w:t>北京康正宏基房地产评估有限公司</w:t>
                      </w:r>
                    </w:p>
                    <w:p>
                      <w:pPr>
                        <w:spacing w:line="320" w:lineRule="exact"/>
                        <w:textAlignment w:val="bottom"/>
                        <w:rPr>
                          <w:rFonts w:ascii="Arial" w:hAnsi="Arial" w:eastAsia="方正黑体简体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2"/>
                        <w:numPr>
                          <w:ilvl w:val="0"/>
                          <w:numId w:val="5"/>
                        </w:numPr>
                        <w:spacing w:line="320" w:lineRule="exact"/>
                        <w:ind w:right="-93" w:firstLineChars="0"/>
                        <w:textAlignment w:val="bottom"/>
                        <w:outlineLvl w:val="0"/>
                        <w:rPr>
                          <w:rFonts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  <w:t>注册房地产估价师：</w:t>
                      </w:r>
                    </w:p>
                    <w:p>
                      <w:pPr>
                        <w:pStyle w:val="42"/>
                        <w:spacing w:line="320" w:lineRule="exact"/>
                        <w:ind w:left="360" w:firstLine="0" w:firstLineChars="0"/>
                        <w:textAlignment w:val="bottom"/>
                        <w:rPr>
                          <w:rFonts w:ascii="Arial" w:hAnsi="Arial" w:eastAsia="方正黑体简体"/>
                          <w:color w:val="E36C0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sz w:val="21"/>
                          <w:szCs w:val="21"/>
                        </w:rPr>
                        <w:t>王鹏（注册号：1120050019)、郑燚（注册号：1120070131)</w:t>
                      </w:r>
                    </w:p>
                    <w:p>
                      <w:pPr>
                        <w:pStyle w:val="42"/>
                        <w:spacing w:line="320" w:lineRule="exact"/>
                        <w:ind w:left="360" w:firstLine="0" w:firstLineChars="0"/>
                        <w:textAlignment w:val="bottom"/>
                        <w:rPr>
                          <w:rFonts w:hint="eastAsia" w:ascii="Arial" w:hAnsi="Arial" w:eastAsia="方正黑体简体"/>
                          <w:color w:val="E36C0A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2"/>
                        <w:numPr>
                          <w:ilvl w:val="0"/>
                          <w:numId w:val="5"/>
                        </w:numPr>
                        <w:spacing w:line="320" w:lineRule="exact"/>
                        <w:ind w:right="-93" w:firstLineChars="0"/>
                        <w:textAlignment w:val="bottom"/>
                        <w:outlineLvl w:val="0"/>
                        <w:rPr>
                          <w:rFonts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Arial" w:hAnsi="Arial" w:eastAsia="方正黑体简体"/>
                          <w:b/>
                          <w:bCs/>
                          <w:sz w:val="21"/>
                          <w:szCs w:val="21"/>
                        </w:rPr>
                        <w:t>估价报告编号：</w:t>
                      </w:r>
                    </w:p>
                    <w:p>
                      <w:pPr>
                        <w:pStyle w:val="42"/>
                        <w:spacing w:line="320" w:lineRule="exact"/>
                        <w:ind w:left="360" w:firstLine="0" w:firstLineChars="0"/>
                        <w:textAlignment w:val="bottom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ial" w:hAnsi="Arial" w:eastAsia="方正黑体简体" w:cs="Arial"/>
                          <w:sz w:val="21"/>
                          <w:szCs w:val="21"/>
                        </w:rPr>
                        <w:t>康正预评字</w:t>
                      </w:r>
                      <w:r>
                        <w:rPr>
                          <w:rFonts w:hint="eastAsia" w:ascii="Arial" w:hAnsi="Arial" w:eastAsia="方正黑体简体"/>
                          <w:sz w:val="21"/>
                          <w:szCs w:val="21"/>
                        </w:rPr>
                        <w:t>2021-1-0026-P01DYGJ2</w:t>
                      </w:r>
                      <w:r>
                        <w:rPr>
                          <w:rFonts w:hint="eastAsia" w:ascii="Arial" w:hAnsi="Arial" w:eastAsia="方正黑体简体" w:cs="Arial"/>
                          <w:sz w:val="21"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numPr>
          <w:ilvl w:val="0"/>
          <w:numId w:val="0"/>
        </w:numPr>
        <w:spacing w:line="480" w:lineRule="auto"/>
        <w:jc w:val="center"/>
        <w:rPr>
          <w:rFonts w:hint="eastAsia" w:eastAsia="方正黑体简体"/>
          <w:b w:val="0"/>
          <w:kern w:val="2"/>
          <w:sz w:val="32"/>
        </w:rPr>
      </w:pPr>
      <w:bookmarkStart w:id="0" w:name="_Toc258768551"/>
      <w:r>
        <w:rPr>
          <w:rFonts w:hint="eastAsia" w:eastAsia="方正黑体简体"/>
          <w:b w:val="0"/>
          <w:kern w:val="2"/>
          <w:sz w:val="32"/>
        </w:rPr>
        <w:t>评估意见函</w:t>
      </w:r>
      <w:bookmarkEnd w:id="0"/>
    </w:p>
    <w:p>
      <w:pPr>
        <w:wordWrap w:val="0"/>
        <w:overflowPunct w:val="0"/>
        <w:spacing w:line="480" w:lineRule="auto"/>
        <w:jc w:val="both"/>
        <w:textAlignment w:val="auto"/>
        <w:rPr>
          <w:rFonts w:hint="eastAsia" w:ascii="Arial" w:hAnsi="Arial"/>
          <w:b/>
          <w:sz w:val="21"/>
          <w:szCs w:val="28"/>
        </w:rPr>
      </w:pPr>
      <w:r>
        <w:rPr>
          <w:rFonts w:hint="eastAsia" w:ascii="Arial" w:hAnsi="Arial"/>
          <w:b/>
          <w:sz w:val="21"/>
          <w:szCs w:val="28"/>
        </w:rPr>
        <w:t>大连万达集团股份有限公司：</w:t>
      </w:r>
    </w:p>
    <w:p>
      <w:pPr>
        <w:tabs>
          <w:tab w:val="left" w:pos="8647"/>
        </w:tabs>
        <w:wordWrap w:val="0"/>
        <w:overflowPunct w:val="0"/>
        <w:spacing w:line="480" w:lineRule="auto"/>
        <w:ind w:right="17" w:firstLine="420" w:firstLineChars="200"/>
        <w:jc w:val="both"/>
        <w:textAlignment w:val="auto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sz w:val="21"/>
          <w:szCs w:val="28"/>
        </w:rPr>
        <w:t>受贵公司委托，我公司对</w:t>
      </w:r>
      <w:r>
        <w:rPr>
          <w:rFonts w:hint="eastAsia" w:ascii="Arial" w:hAnsi="Arial"/>
          <w:kern w:val="2"/>
          <w:sz w:val="21"/>
        </w:rPr>
        <w:t>安徽省六安市皋城东路以南，球拍东路以东万达广场B地块商业、地下车库用房房地产</w:t>
      </w:r>
      <w:r>
        <w:rPr>
          <w:rFonts w:hint="eastAsia" w:ascii="Arial" w:hAnsi="Arial"/>
          <w:sz w:val="21"/>
          <w:szCs w:val="28"/>
        </w:rPr>
        <w:t>市场价值进行了预评估。</w:t>
      </w:r>
    </w:p>
    <w:p>
      <w:pPr>
        <w:wordWrap w:val="0"/>
        <w:overflowPunct w:val="0"/>
        <w:spacing w:line="480" w:lineRule="auto"/>
        <w:ind w:right="17" w:firstLine="422" w:firstLineChars="200"/>
        <w:jc w:val="both"/>
        <w:textAlignment w:val="auto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b/>
          <w:bCs/>
          <w:sz w:val="21"/>
          <w:szCs w:val="28"/>
        </w:rPr>
        <w:t>估价对象：</w:t>
      </w:r>
      <w:r>
        <w:rPr>
          <w:rFonts w:hint="eastAsia" w:ascii="Arial" w:hAnsi="Arial"/>
          <w:sz w:val="21"/>
          <w:szCs w:val="28"/>
        </w:rPr>
        <w:t>估价对象为安徽省六安市皋城东路以南，球拍东路以东万达广场B地块商业、地下车库用房房地产，为六安万达广场投资有限公司所有。根据《不动产权证书》[皖（2017）六安市市不动产权第0035164、0035165、0035166号]，估价对象出让国有建设用地使用权面积为37138平方米；根据《不动产权证书》[皖（2017）六安市市不动产权第0035164、0035165、0035166号]及《房地产测绘成果报告》[六房测字（2016008001）号]，估价对象建筑面积为145161.58平方米。具体信息，详见下表：</w:t>
      </w:r>
    </w:p>
    <w:tbl>
      <w:tblPr>
        <w:tblStyle w:val="32"/>
        <w:tblW w:w="9298" w:type="dxa"/>
        <w:jc w:val="center"/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04"/>
        <w:gridCol w:w="1804"/>
        <w:gridCol w:w="1804"/>
        <w:gridCol w:w="2081"/>
        <w:gridCol w:w="1805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土地面积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楼层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建筑面积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用途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安徽省六安市皋城东路以南，球拍东路以东万达广场B地块商业、地下车库用房房地产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37138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一层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25476.71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商业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378.71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设备用房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二层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23664.4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商业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220.3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设备用房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三层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22080.61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商业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203.1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设备用房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四层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25224.51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商业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115.36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设备用房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负一层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22468.09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华文细黑" w:cs="Arial"/>
                <w:color w:val="000000"/>
                <w:sz w:val="18"/>
                <w:szCs w:val="18"/>
                <w:lang w:bidi="ar"/>
              </w:rPr>
              <w:t>非住宅（地下车库）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4689.3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设备用房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负二层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18156.47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华文细黑" w:cs="Arial"/>
                <w:color w:val="000000"/>
                <w:sz w:val="18"/>
                <w:szCs w:val="18"/>
                <w:lang w:bidi="ar"/>
              </w:rPr>
              <w:t>非住宅（地下车库）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2484.02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设备用房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37138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145161.58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Arial" w:hAnsi="Arial" w:eastAsia="华文细黑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华文细黑" w:cs="Arial"/>
                <w:color w:val="000000"/>
                <w:sz w:val="18"/>
                <w:szCs w:val="18"/>
                <w:lang w:bidi="ar"/>
              </w:rPr>
              <w:t>——</w:t>
            </w:r>
          </w:p>
        </w:tc>
      </w:tr>
    </w:tbl>
    <w:p>
      <w:pPr>
        <w:wordWrap w:val="0"/>
        <w:overflowPunct w:val="0"/>
        <w:spacing w:line="240" w:lineRule="auto"/>
        <w:ind w:right="17" w:firstLine="360" w:firstLineChars="200"/>
        <w:jc w:val="both"/>
        <w:textAlignment w:val="auto"/>
        <w:rPr>
          <w:rFonts w:hint="eastAsia" w:ascii="华文细黑" w:hAnsi="华文细黑" w:eastAsia="华文细黑" w:cs="华文细黑"/>
          <w:sz w:val="18"/>
          <w:szCs w:val="18"/>
        </w:rPr>
      </w:pPr>
      <w:r>
        <w:rPr>
          <w:rFonts w:hint="eastAsia" w:ascii="华文细黑" w:hAnsi="华文细黑" w:eastAsia="华文细黑" w:cs="华文细黑"/>
          <w:sz w:val="18"/>
          <w:szCs w:val="18"/>
        </w:rPr>
        <w:t>单位：平方米</w:t>
      </w:r>
    </w:p>
    <w:p>
      <w:pPr>
        <w:wordWrap w:val="0"/>
        <w:overflowPunct w:val="0"/>
        <w:spacing w:line="240" w:lineRule="auto"/>
        <w:ind w:right="17" w:firstLine="420" w:firstLineChars="200"/>
        <w:jc w:val="both"/>
        <w:textAlignment w:val="auto"/>
        <w:rPr>
          <w:rFonts w:hint="eastAsia" w:ascii="Arial" w:hAnsi="Arial" w:cs="Arial"/>
          <w:bCs/>
          <w:i/>
          <w:sz w:val="21"/>
          <w:szCs w:val="28"/>
        </w:rPr>
      </w:pPr>
    </w:p>
    <w:p>
      <w:pPr>
        <w:spacing w:line="480" w:lineRule="auto"/>
        <w:ind w:firstLine="422" w:firstLineChars="200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b/>
          <w:bCs/>
          <w:sz w:val="21"/>
          <w:szCs w:val="28"/>
        </w:rPr>
        <w:t>估价目的：</w:t>
      </w:r>
      <w:r>
        <w:rPr>
          <w:rFonts w:hint="eastAsia" w:ascii="Arial" w:hAnsi="Arial"/>
          <w:sz w:val="21"/>
        </w:rPr>
        <w:t>为估价委托人因在</w:t>
      </w:r>
      <w:r>
        <w:rPr>
          <w:rFonts w:hint="eastAsia" w:ascii="Arial" w:hAnsi="Arial" w:cs="Arial"/>
          <w:sz w:val="21"/>
          <w:szCs w:val="21"/>
        </w:rPr>
        <w:t>大业信托有限责任公司办理金融服务</w:t>
      </w:r>
      <w:r>
        <w:rPr>
          <w:rFonts w:hint="eastAsia" w:ascii="Arial" w:hAnsi="Arial"/>
          <w:sz w:val="21"/>
        </w:rPr>
        <w:t>需要了解估价对象房地产市场价值提供参考依据。</w:t>
      </w:r>
    </w:p>
    <w:p>
      <w:pPr>
        <w:wordWrap w:val="0"/>
        <w:overflowPunct w:val="0"/>
        <w:spacing w:line="480" w:lineRule="auto"/>
        <w:ind w:firstLine="422" w:firstLineChars="200"/>
        <w:jc w:val="both"/>
        <w:textAlignment w:val="auto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b/>
          <w:bCs/>
          <w:sz w:val="21"/>
          <w:szCs w:val="28"/>
        </w:rPr>
        <w:t>价值时点：</w:t>
      </w:r>
      <w:r>
        <w:rPr>
          <w:rFonts w:hint="eastAsia" w:ascii="Arial" w:hAnsi="Arial"/>
          <w:sz w:val="21"/>
          <w:szCs w:val="21"/>
        </w:rPr>
        <w:t>2021年1月15日</w:t>
      </w:r>
    </w:p>
    <w:p>
      <w:pPr>
        <w:wordWrap w:val="0"/>
        <w:overflowPunct w:val="0"/>
        <w:spacing w:line="480" w:lineRule="auto"/>
        <w:ind w:firstLine="422" w:firstLineChars="200"/>
        <w:jc w:val="both"/>
        <w:textAlignment w:val="auto"/>
        <w:rPr>
          <w:rFonts w:ascii="Arial" w:hAnsi="Arial"/>
          <w:sz w:val="21"/>
          <w:szCs w:val="21"/>
        </w:rPr>
      </w:pPr>
      <w:r>
        <w:rPr>
          <w:rFonts w:hint="eastAsia" w:ascii="Arial" w:hAnsi="Arial"/>
          <w:b/>
          <w:bCs/>
          <w:sz w:val="21"/>
          <w:szCs w:val="28"/>
        </w:rPr>
        <w:t>价值类型：</w:t>
      </w:r>
      <w:r>
        <w:rPr>
          <w:rFonts w:hint="eastAsia" w:ascii="Arial" w:hAnsi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>
      <w:pPr>
        <w:wordWrap w:val="0"/>
        <w:spacing w:line="480" w:lineRule="auto"/>
        <w:ind w:firstLine="411" w:firstLineChars="196"/>
        <w:jc w:val="both"/>
        <w:rPr>
          <w:rFonts w:hint="eastAsia" w:ascii="Tahoma" w:hAnsi="Tahoma" w:cs="Tahoma"/>
          <w:sz w:val="21"/>
          <w:szCs w:val="21"/>
        </w:rPr>
      </w:pPr>
      <w:r>
        <w:rPr>
          <w:rFonts w:hint="eastAsia" w:ascii="Arial" w:hAnsi="Arial"/>
          <w:sz w:val="21"/>
        </w:rPr>
        <w:t>本次估价的“房地产价值”是指在正常市场情况下，在价值时点</w:t>
      </w:r>
      <w:r>
        <w:rPr>
          <w:rFonts w:hint="eastAsia" w:ascii="Arial" w:hAnsi="Arial"/>
          <w:sz w:val="21"/>
          <w:szCs w:val="21"/>
        </w:rPr>
        <w:t>2021年1月15日</w:t>
      </w:r>
      <w:r>
        <w:rPr>
          <w:rFonts w:hint="eastAsia" w:ascii="Arial" w:hAnsi="Arial"/>
          <w:sz w:val="21"/>
        </w:rPr>
        <w:t>，估价对象用途为商业、地下车库，土地取得方式为出让，出让国有建设用地使用权剩余土地使用年限为34.5年的房地产市场价值。</w:t>
      </w:r>
    </w:p>
    <w:p>
      <w:pPr>
        <w:wordWrap w:val="0"/>
        <w:overflowPunct w:val="0"/>
        <w:spacing w:line="480" w:lineRule="auto"/>
        <w:ind w:firstLine="422" w:firstLineChars="200"/>
        <w:jc w:val="both"/>
        <w:textAlignment w:val="auto"/>
        <w:rPr>
          <w:rFonts w:hint="eastAsia" w:ascii="Arial" w:hAnsi="Arial"/>
          <w:b/>
          <w:bCs/>
          <w:sz w:val="21"/>
          <w:szCs w:val="28"/>
        </w:rPr>
      </w:pPr>
      <w:r>
        <w:rPr>
          <w:rFonts w:hint="eastAsia" w:ascii="Arial" w:hAnsi="Arial" w:cs="Arial"/>
          <w:b/>
          <w:bCs/>
          <w:sz w:val="21"/>
          <w:szCs w:val="28"/>
        </w:rPr>
        <w:t>估价方法：</w:t>
      </w:r>
      <w:r>
        <w:rPr>
          <w:rFonts w:ascii="Arial" w:hAnsi="Arial" w:cs="Arial"/>
          <w:bCs/>
          <w:sz w:val="21"/>
          <w:szCs w:val="21"/>
        </w:rPr>
        <w:t>本次评估采用的</w:t>
      </w:r>
      <w:r>
        <w:rPr>
          <w:rFonts w:hint="eastAsia" w:ascii="Arial" w:hAnsi="Arial" w:cs="Arial"/>
          <w:bCs/>
          <w:sz w:val="21"/>
          <w:szCs w:val="21"/>
        </w:rPr>
        <w:t>主</w:t>
      </w:r>
      <w:r>
        <w:rPr>
          <w:rFonts w:ascii="Arial" w:hAnsi="Arial" w:cs="Arial"/>
          <w:bCs/>
          <w:sz w:val="21"/>
          <w:szCs w:val="21"/>
        </w:rPr>
        <w:t>估价方法</w:t>
      </w:r>
      <w:r>
        <w:rPr>
          <w:rFonts w:hint="eastAsia" w:ascii="Arial" w:hAnsi="Arial" w:cs="Arial"/>
          <w:bCs/>
          <w:sz w:val="21"/>
          <w:szCs w:val="21"/>
        </w:rPr>
        <w:t>为</w:t>
      </w:r>
      <w:r>
        <w:rPr>
          <w:rFonts w:hint="eastAsia" w:ascii="Arial" w:hAnsi="Arial" w:cs="宋体"/>
          <w:sz w:val="21"/>
          <w:szCs w:val="21"/>
        </w:rPr>
        <w:t>成本法</w:t>
      </w:r>
      <w:r>
        <w:rPr>
          <w:rFonts w:ascii="Arial" w:hAnsi="Arial" w:cs="Arial"/>
          <w:sz w:val="21"/>
          <w:szCs w:val="21"/>
        </w:rPr>
        <w:t>和</w:t>
      </w:r>
      <w:r>
        <w:rPr>
          <w:rFonts w:hint="eastAsia" w:ascii="Arial" w:hAnsi="Arial" w:cs="宋体"/>
          <w:sz w:val="21"/>
          <w:szCs w:val="21"/>
        </w:rPr>
        <w:t>收益法</w:t>
      </w:r>
      <w:r>
        <w:rPr>
          <w:rFonts w:hint="eastAsia" w:ascii="Arial" w:hAnsi="Arial"/>
          <w:sz w:val="21"/>
          <w:szCs w:val="28"/>
        </w:rPr>
        <w:t>。</w:t>
      </w:r>
    </w:p>
    <w:p>
      <w:pPr>
        <w:wordWrap w:val="0"/>
        <w:overflowPunct w:val="0"/>
        <w:spacing w:line="480" w:lineRule="auto"/>
        <w:ind w:firstLine="422" w:firstLineChars="200"/>
        <w:jc w:val="both"/>
        <w:textAlignment w:val="auto"/>
        <w:rPr>
          <w:rFonts w:hint="eastAsia" w:ascii="Arial" w:hAnsi="Arial"/>
          <w:sz w:val="21"/>
          <w:szCs w:val="28"/>
        </w:rPr>
      </w:pPr>
      <w:r>
        <w:rPr>
          <w:rFonts w:hint="eastAsia" w:ascii="Arial" w:hAnsi="Arial"/>
          <w:b/>
          <w:bCs/>
          <w:sz w:val="21"/>
          <w:szCs w:val="28"/>
        </w:rPr>
        <w:t>估价结果：</w:t>
      </w:r>
      <w:r>
        <w:rPr>
          <w:rFonts w:hint="eastAsia" w:ascii="Arial" w:hAnsi="Arial"/>
          <w:sz w:val="21"/>
          <w:szCs w:val="28"/>
        </w:rPr>
        <w:t>评估专业人员根据估价的目的，按照估价的程序，采用科学的估价方法，在认真分析现有资料的基础上，结合本次评估的特殊要求，通过仔细测算和认真分析各种影响房地产价格的因素，确定估价对象在价值时点的房地产预评估价值，详见估价结果一览表。</w:t>
      </w:r>
    </w:p>
    <w:p>
      <w:pPr>
        <w:spacing w:line="240" w:lineRule="auto"/>
        <w:jc w:val="center"/>
        <w:rPr>
          <w:rFonts w:hint="eastAsia" w:ascii="Arial" w:hAnsi="Arial" w:eastAsia="方正黑体简体"/>
        </w:rPr>
      </w:pPr>
      <w:r>
        <w:rPr>
          <w:rFonts w:hint="eastAsia" w:ascii="Arial" w:hAnsi="Arial" w:eastAsia="方正黑体简体"/>
        </w:rPr>
        <w:t>估价结果一览表</w:t>
      </w:r>
    </w:p>
    <w:tbl>
      <w:tblPr>
        <w:tblStyle w:val="32"/>
        <w:tblW w:w="9299" w:type="dxa"/>
        <w:jc w:val="center"/>
        <w:tblBorders>
          <w:top w:val="thinThickThinSmallGap" w:color="404040" w:sz="12" w:space="0"/>
          <w:left w:val="dotted" w:color="404040" w:sz="2" w:space="0"/>
          <w:bottom w:val="thinThickThinSmallGap" w:color="404040" w:sz="12" w:space="0"/>
          <w:right w:val="dotted" w:color="404040" w:sz="2" w:space="0"/>
          <w:insideH w:val="dotted" w:color="404040" w:sz="2" w:space="0"/>
          <w:insideV w:val="dotted" w:color="404040" w:sz="2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544"/>
        <w:gridCol w:w="1134"/>
        <w:gridCol w:w="4621"/>
      </w:tblGrid>
      <w:tr>
        <w:tblPrEx>
          <w:tblBorders>
            <w:top w:val="thinThickThinSmallGap" w:color="404040" w:sz="12" w:space="0"/>
            <w:left w:val="dotted" w:color="404040" w:sz="2" w:space="0"/>
            <w:bottom w:val="thinThickThinSmallGap" w:color="404040" w:sz="12" w:space="0"/>
            <w:right w:val="dotted" w:color="404040" w:sz="2" w:space="0"/>
            <w:insideH w:val="dotted" w:color="404040" w:sz="2" w:space="0"/>
            <w:insideV w:val="dotted" w:color="40404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4678" w:type="dxa"/>
            <w:gridSpan w:val="2"/>
            <w:tcBorders>
              <w:top w:val="thinThickThinSmallGap" w:color="404040" w:sz="12" w:space="0"/>
              <w:bottom w:val="dotted" w:color="404040" w:sz="2" w:space="0"/>
              <w:tl2br w:val="single" w:color="7F7F7F" w:sz="2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right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  <w:t xml:space="preserve">                                          估价对象</w:t>
            </w:r>
          </w:p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  <w:t>项目及结果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宋体"/>
                <w:color w:val="000000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color w:val="000000"/>
                <w:sz w:val="18"/>
                <w:szCs w:val="24"/>
              </w:rPr>
              <w:t>安徽省六安市皋城东路以南，球拍东路以东万达广场B地块商业、地下车库用房房地产</w:t>
            </w:r>
          </w:p>
        </w:tc>
      </w:tr>
      <w:tr>
        <w:tblPrEx>
          <w:tblBorders>
            <w:top w:val="thinThickThinSmallGap" w:color="404040" w:sz="12" w:space="0"/>
            <w:left w:val="dotted" w:color="404040" w:sz="2" w:space="0"/>
            <w:bottom w:val="thinThickThinSmallGap" w:color="404040" w:sz="12" w:space="0"/>
            <w:right w:val="dotted" w:color="404040" w:sz="2" w:space="0"/>
            <w:insideH w:val="dotted" w:color="404040" w:sz="2" w:space="0"/>
            <w:insideV w:val="dotted" w:color="40404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3544" w:type="dxa"/>
            <w:vMerge w:val="restart"/>
            <w:tcBorders>
              <w:top w:val="dotted" w:color="404040" w:sz="2" w:space="0"/>
            </w:tcBorders>
            <w:noWrap/>
            <w:vAlign w:val="center"/>
          </w:tcPr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  <w:t>房地产价值</w:t>
            </w:r>
          </w:p>
        </w:tc>
        <w:tc>
          <w:tcPr>
            <w:tcW w:w="1134" w:type="dxa"/>
            <w:tcBorders>
              <w:top w:val="dotted" w:color="404040" w:sz="2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总价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166277</w:t>
            </w:r>
          </w:p>
        </w:tc>
      </w:tr>
      <w:tr>
        <w:tblPrEx>
          <w:tblBorders>
            <w:top w:val="thinThickThinSmallGap" w:color="404040" w:sz="12" w:space="0"/>
            <w:left w:val="dotted" w:color="404040" w:sz="2" w:space="0"/>
            <w:bottom w:val="thinThickThinSmallGap" w:color="404040" w:sz="12" w:space="0"/>
            <w:right w:val="dotted" w:color="404040" w:sz="2" w:space="0"/>
            <w:insideH w:val="dotted" w:color="404040" w:sz="2" w:space="0"/>
            <w:insideV w:val="dotted" w:color="40404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3544" w:type="dxa"/>
            <w:vMerge w:val="continue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大写金额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壹拾陆亿陆仟贰佰柒拾柒万元整</w:t>
            </w:r>
            <w:r>
              <w:rPr>
                <w:rFonts w:hint="eastAsia" w:ascii="Arial" w:hAnsi="Arial" w:eastAsia="华文细黑" w:cs="宋体"/>
                <w:sz w:val="18"/>
                <w:szCs w:val="24"/>
              </w:rPr>
              <w:tab/>
            </w:r>
          </w:p>
        </w:tc>
      </w:tr>
      <w:tr>
        <w:tblPrEx>
          <w:tblBorders>
            <w:top w:val="thinThickThinSmallGap" w:color="404040" w:sz="12" w:space="0"/>
            <w:left w:val="dotted" w:color="404040" w:sz="2" w:space="0"/>
            <w:bottom w:val="thinThickThinSmallGap" w:color="404040" w:sz="12" w:space="0"/>
            <w:right w:val="dotted" w:color="404040" w:sz="2" w:space="0"/>
            <w:insideH w:val="dotted" w:color="404040" w:sz="2" w:space="0"/>
            <w:insideV w:val="dotted" w:color="40404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3544" w:type="dxa"/>
            <w:vMerge w:val="continue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单价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11455</w:t>
            </w:r>
          </w:p>
        </w:tc>
      </w:tr>
      <w:tr>
        <w:tblPrEx>
          <w:tblBorders>
            <w:top w:val="thinThickThinSmallGap" w:color="404040" w:sz="12" w:space="0"/>
            <w:left w:val="dotted" w:color="404040" w:sz="2" w:space="0"/>
            <w:bottom w:val="thinThickThinSmallGap" w:color="404040" w:sz="12" w:space="0"/>
            <w:right w:val="dotted" w:color="404040" w:sz="2" w:space="0"/>
            <w:insideH w:val="dotted" w:color="404040" w:sz="2" w:space="0"/>
            <w:insideV w:val="dotted" w:color="40404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3544" w:type="dxa"/>
            <w:vMerge w:val="restart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  <w:t>房地产净值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总价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ascii="Arial" w:hAnsi="Arial" w:eastAsia="华文细黑" w:cs="宋体"/>
                <w:sz w:val="18"/>
                <w:szCs w:val="24"/>
              </w:rPr>
              <w:t>131571</w:t>
            </w:r>
          </w:p>
        </w:tc>
      </w:tr>
      <w:tr>
        <w:tblPrEx>
          <w:tblBorders>
            <w:top w:val="thinThickThinSmallGap" w:color="404040" w:sz="12" w:space="0"/>
            <w:left w:val="dotted" w:color="404040" w:sz="2" w:space="0"/>
            <w:bottom w:val="thinThickThinSmallGap" w:color="404040" w:sz="12" w:space="0"/>
            <w:right w:val="dotted" w:color="404040" w:sz="2" w:space="0"/>
            <w:insideH w:val="dotted" w:color="404040" w:sz="2" w:space="0"/>
            <w:insideV w:val="dotted" w:color="40404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3544" w:type="dxa"/>
            <w:vMerge w:val="continue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大写金额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ascii="Arial" w:hAnsi="Arial" w:eastAsia="华文细黑" w:cs="宋体"/>
                <w:sz w:val="18"/>
                <w:szCs w:val="24"/>
              </w:rPr>
              <w:t>壹拾叁亿壹仟伍佰柒拾壹万元整</w:t>
            </w:r>
          </w:p>
        </w:tc>
      </w:tr>
      <w:tr>
        <w:tblPrEx>
          <w:tblBorders>
            <w:top w:val="thinThickThinSmallGap" w:color="404040" w:sz="12" w:space="0"/>
            <w:left w:val="dotted" w:color="404040" w:sz="2" w:space="0"/>
            <w:bottom w:val="thinThickThinSmallGap" w:color="404040" w:sz="12" w:space="0"/>
            <w:right w:val="dotted" w:color="404040" w:sz="2" w:space="0"/>
            <w:insideH w:val="dotted" w:color="404040" w:sz="2" w:space="0"/>
            <w:insideV w:val="dotted" w:color="404040" w:sz="2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Before w:w="0" w:type="auto"/>
          <w:wAfter w:w="0" w:type="auto"/>
          <w:cantSplit/>
          <w:jc w:val="center"/>
        </w:trPr>
        <w:tc>
          <w:tcPr>
            <w:tcW w:w="3544" w:type="dxa"/>
            <w:vMerge w:val="continue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Arial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jc w:val="both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hint="eastAsia" w:ascii="Arial" w:hAnsi="Arial" w:eastAsia="华文细黑" w:cs="宋体"/>
                <w:sz w:val="18"/>
                <w:szCs w:val="24"/>
              </w:rPr>
              <w:t>单价</w:t>
            </w:r>
          </w:p>
        </w:tc>
        <w:tc>
          <w:tcPr>
            <w:tcW w:w="4621" w:type="dxa"/>
            <w:noWrap w:val="0"/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hint="eastAsia" w:ascii="Arial" w:hAnsi="Arial" w:eastAsia="华文细黑" w:cs="宋体"/>
                <w:sz w:val="18"/>
                <w:szCs w:val="24"/>
              </w:rPr>
            </w:pPr>
            <w:r>
              <w:rPr>
                <w:rFonts w:ascii="Arial" w:hAnsi="Arial" w:eastAsia="华文细黑" w:cs="宋体"/>
                <w:sz w:val="18"/>
                <w:szCs w:val="24"/>
              </w:rPr>
              <w:t>9064</w:t>
            </w:r>
          </w:p>
        </w:tc>
      </w:tr>
    </w:tbl>
    <w:p>
      <w:pPr>
        <w:spacing w:line="360" w:lineRule="auto"/>
        <w:rPr>
          <w:rFonts w:hint="eastAsia" w:ascii="Arial" w:hAnsi="Arial" w:eastAsia="华文细黑"/>
          <w:sz w:val="18"/>
        </w:rPr>
      </w:pPr>
      <w:r>
        <w:rPr>
          <w:rFonts w:hint="eastAsia" w:ascii="Arial" w:hAnsi="Arial" w:eastAsia="华文细黑"/>
          <w:sz w:val="18"/>
        </w:rPr>
        <w:t>单位：万元、元/平方米（币种：人民币）</w:t>
      </w:r>
    </w:p>
    <w:p>
      <w:pPr>
        <w:spacing w:line="360" w:lineRule="auto"/>
        <w:rPr>
          <w:rFonts w:hint="eastAsia" w:ascii="Arial" w:hAnsi="Arial" w:eastAsia="楷体_GB2312"/>
          <w:b/>
          <w:sz w:val="28"/>
        </w:rPr>
      </w:pPr>
    </w:p>
    <w:p>
      <w:pPr>
        <w:spacing w:line="480" w:lineRule="auto"/>
        <w:rPr>
          <w:rFonts w:hint="eastAsia" w:ascii="Arial" w:hAnsi="Arial"/>
          <w:bCs/>
          <w:sz w:val="21"/>
          <w:szCs w:val="24"/>
        </w:rPr>
      </w:pPr>
      <w:r>
        <w:rPr>
          <w:rFonts w:hint="eastAsia" w:ascii="Arial" w:hAnsi="Arial" w:cs="Arial"/>
          <w:b/>
          <w:bCs/>
          <w:sz w:val="21"/>
        </w:rPr>
        <w:t>特别提示：</w:t>
      </w:r>
    </w:p>
    <w:p>
      <w:pPr>
        <w:spacing w:line="480" w:lineRule="auto"/>
        <w:ind w:firstLine="420" w:firstLineChars="200"/>
        <w:rPr>
          <w:rFonts w:hint="eastAsia" w:ascii="Arial" w:hAnsi="Arial"/>
          <w:sz w:val="21"/>
          <w:szCs w:val="24"/>
        </w:rPr>
      </w:pPr>
      <w:r>
        <w:rPr>
          <w:rFonts w:hint="eastAsia" w:ascii="Arial" w:hAnsi="Arial"/>
          <w:sz w:val="21"/>
          <w:szCs w:val="24"/>
        </w:rPr>
        <w:t>1.本《评估意见函》中所列估价结果为初评结果，准确金额以本公司出具的正式《房地产估价报告》为准。</w:t>
      </w:r>
    </w:p>
    <w:p>
      <w:pPr>
        <w:spacing w:line="480" w:lineRule="auto"/>
        <w:ind w:firstLine="420" w:firstLineChars="200"/>
        <w:rPr>
          <w:rFonts w:hint="eastAsia" w:ascii="Arial" w:hAnsi="Arial"/>
          <w:bCs/>
          <w:sz w:val="21"/>
          <w:szCs w:val="24"/>
        </w:rPr>
      </w:pPr>
      <w:r>
        <w:rPr>
          <w:rFonts w:hint="eastAsia" w:ascii="Arial" w:hAnsi="Arial"/>
          <w:sz w:val="21"/>
        </w:rPr>
        <w:t>2.他项权利状况：</w:t>
      </w:r>
    </w:p>
    <w:p>
      <w:pPr>
        <w:spacing w:line="480" w:lineRule="auto"/>
        <w:ind w:firstLine="420" w:firstLineChars="200"/>
        <w:jc w:val="both"/>
        <w:rPr>
          <w:rFonts w:ascii="Arial" w:hAnsi="Arial"/>
          <w:color w:val="E36C0A"/>
          <w:sz w:val="21"/>
          <w:szCs w:val="24"/>
        </w:rPr>
      </w:pPr>
      <w:r>
        <w:rPr>
          <w:rFonts w:hint="eastAsia" w:ascii="Arial" w:hAnsi="Arial" w:cs="Arial"/>
          <w:bCs/>
          <w:sz w:val="21"/>
          <w:szCs w:val="21"/>
        </w:rPr>
        <w:t>（1）</w:t>
      </w:r>
      <w:r>
        <w:rPr>
          <w:rFonts w:hint="eastAsia" w:ascii="Arial" w:hAnsi="Arial"/>
          <w:sz w:val="21"/>
        </w:rPr>
        <w:t>根据估价对象</w:t>
      </w:r>
      <w:r>
        <w:rPr>
          <w:rFonts w:hint="eastAsia" w:ascii="Arial" w:hAnsi="Arial"/>
          <w:sz w:val="21"/>
          <w:szCs w:val="28"/>
        </w:rPr>
        <w:t>《不动产权证书》[皖（2017）六安市市不动产权第0035164、0035165、0035166号]</w:t>
      </w:r>
      <w:r>
        <w:rPr>
          <w:rFonts w:hint="eastAsia" w:ascii="Arial" w:hAnsi="Arial"/>
          <w:sz w:val="21"/>
        </w:rPr>
        <w:t>复印件及不动产权利人介绍，截至价值时点，估价对象抵押权未见登记。本次评估设定估价对象不存在抵押权。</w:t>
      </w:r>
    </w:p>
    <w:p>
      <w:pPr>
        <w:spacing w:line="480" w:lineRule="auto"/>
        <w:ind w:firstLine="420" w:firstLineChars="200"/>
        <w:rPr>
          <w:rFonts w:hint="eastAsia" w:ascii="Arial" w:hAnsi="Arial"/>
          <w:color w:val="000000"/>
          <w:sz w:val="21"/>
          <w:szCs w:val="24"/>
        </w:rPr>
      </w:pPr>
      <w:r>
        <w:rPr>
          <w:rFonts w:hint="eastAsia" w:ascii="Arial" w:hAnsi="Arial"/>
          <w:color w:val="000000"/>
          <w:sz w:val="21"/>
          <w:szCs w:val="24"/>
        </w:rPr>
        <w:t>（2）</w:t>
      </w:r>
      <w:r>
        <w:rPr>
          <w:rFonts w:hint="eastAsia" w:ascii="Arial" w:hAnsi="Arial"/>
          <w:sz w:val="21"/>
        </w:rPr>
        <w:t>根据不动产权利人介绍及提供的《台账》，</w:t>
      </w:r>
      <w:r>
        <w:rPr>
          <w:rFonts w:ascii="Arial" w:hAnsi="Arial" w:cs="Arial"/>
          <w:sz w:val="21"/>
          <w:szCs w:val="21"/>
        </w:rPr>
        <w:t>截至价值时点，估价对象</w:t>
      </w:r>
      <w:r>
        <w:rPr>
          <w:rFonts w:hint="eastAsia" w:ascii="Arial" w:hAnsi="Arial" w:cs="Arial"/>
          <w:sz w:val="21"/>
          <w:szCs w:val="21"/>
        </w:rPr>
        <w:t>已部分出租，</w:t>
      </w:r>
      <w:r>
        <w:rPr>
          <w:rFonts w:hint="eastAsia" w:ascii="Arial" w:hAnsi="Arial"/>
          <w:sz w:val="21"/>
        </w:rPr>
        <w:t>本次评估设定估价对象存在租赁权。</w:t>
      </w:r>
    </w:p>
    <w:p>
      <w:pPr>
        <w:spacing w:line="480" w:lineRule="auto"/>
        <w:ind w:firstLine="420" w:firstLineChars="200"/>
        <w:rPr>
          <w:rFonts w:hint="eastAsia" w:ascii="Arial" w:hAnsi="Arial"/>
          <w:color w:val="000000"/>
          <w:sz w:val="21"/>
          <w:szCs w:val="24"/>
        </w:rPr>
      </w:pPr>
      <w:r>
        <w:rPr>
          <w:rFonts w:hint="eastAsia" w:ascii="Arial" w:hAnsi="Arial"/>
          <w:color w:val="000000"/>
          <w:sz w:val="21"/>
          <w:szCs w:val="24"/>
        </w:rPr>
        <w:t>（3）</w:t>
      </w:r>
      <w:r>
        <w:rPr>
          <w:rFonts w:ascii="Arial" w:hAnsi="Arial" w:cs="Arial"/>
          <w:sz w:val="21"/>
          <w:szCs w:val="21"/>
        </w:rPr>
        <w:t>根据</w:t>
      </w:r>
      <w:r>
        <w:rPr>
          <w:rFonts w:hint="eastAsia" w:ascii="Arial" w:hAnsi="Arial" w:cs="Arial"/>
          <w:sz w:val="21"/>
          <w:szCs w:val="21"/>
        </w:rPr>
        <w:t>估价委托人</w:t>
      </w:r>
      <w:r>
        <w:rPr>
          <w:rFonts w:ascii="Arial" w:hAnsi="Arial" w:cs="Arial"/>
          <w:sz w:val="21"/>
          <w:szCs w:val="21"/>
        </w:rPr>
        <w:t>介绍，截至价值时点，估价对象未设定地役权等其他他项权利。本次评估设定估价对象不存在地役权等其他他项权利。</w:t>
      </w:r>
    </w:p>
    <w:p>
      <w:pPr>
        <w:spacing w:line="480" w:lineRule="auto"/>
        <w:ind w:firstLine="420" w:firstLineChars="200"/>
        <w:rPr>
          <w:rFonts w:hint="eastAsia" w:ascii="Arial" w:hAnsi="Arial"/>
          <w:color w:val="E36C0A"/>
          <w:sz w:val="21"/>
          <w:szCs w:val="24"/>
        </w:rPr>
      </w:pPr>
      <w:r>
        <w:rPr>
          <w:rFonts w:hint="eastAsia" w:ascii="Arial" w:hAnsi="Arial"/>
          <w:sz w:val="21"/>
        </w:rPr>
        <w:t>3.本《评估意见函》中数据全部采用电算化连续计算得出，由于在报告中计算的数据均按四舍五入保留两位小数或取整，故可能出现个别等式左右不完全相等的情况，但不影响计算结果及最终评估结论的准确性。</w:t>
      </w:r>
    </w:p>
    <w:p>
      <w:pPr>
        <w:spacing w:line="480" w:lineRule="auto"/>
        <w:ind w:firstLine="420" w:firstLineChars="200"/>
        <w:rPr>
          <w:rFonts w:hint="eastAsia" w:ascii="Arial" w:hAnsi="Arial" w:cs="Arial"/>
          <w:bCs/>
          <w:i/>
          <w:color w:val="548DD4"/>
          <w:sz w:val="21"/>
          <w:szCs w:val="21"/>
        </w:rPr>
      </w:pPr>
      <w:r>
        <w:rPr>
          <w:rFonts w:hint="eastAsia" w:ascii="Arial" w:hAnsi="Arial" w:cs="Arial"/>
          <w:color w:val="000000"/>
          <w:sz w:val="21"/>
        </w:rPr>
        <w:t>4.</w:t>
      </w:r>
      <w:r>
        <w:rPr>
          <w:rFonts w:ascii="Arial" w:hAnsi="Arial" w:cs="Arial"/>
          <w:color w:val="000000"/>
          <w:sz w:val="21"/>
        </w:rPr>
        <w:t>截至</w:t>
      </w:r>
      <w:r>
        <w:rPr>
          <w:rFonts w:hint="eastAsia" w:ascii="Arial" w:hAnsi="Arial"/>
          <w:sz w:val="21"/>
        </w:rPr>
        <w:t>《评估意见函》</w:t>
      </w:r>
      <w:r>
        <w:rPr>
          <w:rFonts w:ascii="Arial" w:hAnsi="Arial" w:cs="Arial"/>
          <w:color w:val="000000"/>
          <w:sz w:val="21"/>
        </w:rPr>
        <w:t>出具之日，</w:t>
      </w:r>
      <w:r>
        <w:rPr>
          <w:rFonts w:hint="eastAsia" w:ascii="Arial" w:hAnsi="Arial" w:cs="Arial"/>
          <w:color w:val="000000"/>
          <w:sz w:val="21"/>
        </w:rPr>
        <w:t>不动产权利人</w:t>
      </w:r>
      <w:r>
        <w:rPr>
          <w:rFonts w:ascii="Arial" w:hAnsi="Arial" w:cs="Arial"/>
          <w:color w:val="000000"/>
          <w:sz w:val="21"/>
        </w:rPr>
        <w:t>未能提供</w:t>
      </w:r>
      <w:r>
        <w:rPr>
          <w:rFonts w:hint="eastAsia" w:ascii="Arial" w:hAnsi="Arial" w:cs="Arial"/>
          <w:color w:val="000000"/>
          <w:sz w:val="21"/>
        </w:rPr>
        <w:t>估价对象权属文件</w:t>
      </w:r>
      <w:r>
        <w:rPr>
          <w:rFonts w:hint="eastAsia" w:ascii="Arial" w:hAnsi="Arial" w:cs="Arial"/>
          <w:bCs/>
          <w:color w:val="000000"/>
          <w:sz w:val="21"/>
          <w:szCs w:val="21"/>
        </w:rPr>
        <w:t>原件</w:t>
      </w:r>
      <w:r>
        <w:rPr>
          <w:rFonts w:ascii="Arial" w:hAnsi="Arial" w:cs="Arial"/>
          <w:color w:val="000000"/>
          <w:sz w:val="21"/>
        </w:rPr>
        <w:t>供评估专业人员核对，且评估专业人员进行了尽职调查，难以获取该资料。本次评估以</w:t>
      </w:r>
      <w:r>
        <w:rPr>
          <w:rFonts w:hint="eastAsia" w:ascii="Arial" w:hAnsi="Arial"/>
          <w:color w:val="000000"/>
          <w:sz w:val="21"/>
          <w:szCs w:val="28"/>
        </w:rPr>
        <w:t>不动产权利人</w:t>
      </w:r>
      <w:r>
        <w:rPr>
          <w:rFonts w:ascii="Arial" w:hAnsi="Arial" w:cs="Arial"/>
          <w:color w:val="000000"/>
          <w:sz w:val="21"/>
        </w:rPr>
        <w:t>提供的</w:t>
      </w:r>
      <w:r>
        <w:rPr>
          <w:rFonts w:hint="eastAsia" w:ascii="Arial" w:hAnsi="Arial" w:cs="Arial"/>
          <w:color w:val="000000"/>
          <w:sz w:val="21"/>
        </w:rPr>
        <w:t>估价对象权属文件</w:t>
      </w:r>
      <w:r>
        <w:rPr>
          <w:rFonts w:hint="eastAsia" w:ascii="Arial" w:hAnsi="Arial" w:cs="Arial"/>
          <w:bCs/>
          <w:color w:val="000000"/>
          <w:sz w:val="21"/>
          <w:szCs w:val="21"/>
        </w:rPr>
        <w:t>复</w:t>
      </w:r>
      <w:r>
        <w:rPr>
          <w:rFonts w:ascii="Arial" w:hAnsi="Arial" w:cs="Arial"/>
          <w:color w:val="000000"/>
          <w:sz w:val="21"/>
        </w:rPr>
        <w:t>印件与原件一致为估价的假设前提。</w:t>
      </w:r>
    </w:p>
    <w:p>
      <w:pPr>
        <w:spacing w:line="480" w:lineRule="auto"/>
        <w:rPr>
          <w:rFonts w:hint="eastAsia" w:ascii="楷体_GB2312" w:hAnsi="Arial" w:eastAsia="楷体_GB2312" w:cs="Arial"/>
          <w:bCs/>
          <w:color w:val="E36C0A"/>
          <w:sz w:val="21"/>
        </w:rPr>
      </w:pPr>
    </w:p>
    <w:p>
      <w:pPr>
        <w:spacing w:line="480" w:lineRule="auto"/>
        <w:rPr>
          <w:rFonts w:hint="eastAsia" w:ascii="Arial" w:hAnsi="Arial"/>
          <w:sz w:val="21"/>
        </w:rPr>
      </w:pPr>
    </w:p>
    <w:tbl>
      <w:tblPr>
        <w:tblStyle w:val="32"/>
        <w:tblW w:w="92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6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096" w:type="dxa"/>
            <w:noWrap w:val="0"/>
            <w:vAlign w:val="top"/>
          </w:tcPr>
          <w:p>
            <w:pPr>
              <w:spacing w:line="480" w:lineRule="auto"/>
              <w:ind w:firstLine="1575" w:firstLineChars="7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顺致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096" w:type="dxa"/>
            <w:noWrap w:val="0"/>
            <w:vAlign w:val="top"/>
          </w:tcPr>
          <w:p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096" w:type="dxa"/>
            <w:noWrap w:val="0"/>
            <w:vAlign w:val="top"/>
          </w:tcPr>
          <w:p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096" w:type="dxa"/>
            <w:noWrap w:val="0"/>
            <w:vAlign w:val="top"/>
          </w:tcPr>
          <w:p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6096" w:type="dxa"/>
            <w:noWrap w:val="0"/>
            <w:vAlign w:val="top"/>
          </w:tcPr>
          <w:p>
            <w:pPr>
              <w:spacing w:line="480" w:lineRule="auto"/>
              <w:jc w:val="right"/>
              <w:rPr>
                <w:rFonts w:ascii="Arial" w:hAnsi="Arial" w:cs="Arial"/>
                <w:color w:val="E36C0A"/>
                <w:sz w:val="21"/>
                <w:szCs w:val="21"/>
              </w:rPr>
            </w:pPr>
            <w:bookmarkStart w:id="1" w:name="_GoBack" w:colFirst="1" w:colLast="1"/>
          </w:p>
        </w:tc>
        <w:tc>
          <w:tcPr>
            <w:tcW w:w="3203" w:type="dxa"/>
            <w:noWrap w:val="0"/>
            <w:vAlign w:val="top"/>
          </w:tcPr>
          <w:p>
            <w:pPr>
              <w:spacing w:line="480" w:lineRule="auto"/>
              <w:jc w:val="right"/>
              <w:rPr>
                <w:rFonts w:ascii="Arial" w:hAnsi="Arial" w:cs="Arial"/>
                <w:color w:val="E36C0A"/>
                <w:sz w:val="21"/>
                <w:szCs w:val="21"/>
              </w:rPr>
            </w:pPr>
            <w:r>
              <w:rPr>
                <w:rFonts w:hint="eastAsia" w:ascii="Arial" w:hAnsi="Arial"/>
                <w:sz w:val="21"/>
                <w:szCs w:val="28"/>
              </w:rPr>
              <w:t>2021年1月20日</w:t>
            </w:r>
          </w:p>
        </w:tc>
      </w:tr>
      <w:bookmarkEnd w:id="1"/>
    </w:tbl>
    <w:p>
      <w:pPr>
        <w:spacing w:line="240" w:lineRule="auto"/>
        <w:outlineLvl w:val="0"/>
        <w:rPr>
          <w:rFonts w:hint="eastAsia" w:ascii="Arial" w:hAnsi="Arial"/>
          <w:sz w:val="21"/>
          <w:szCs w:val="28"/>
        </w:rPr>
      </w:pPr>
    </w:p>
    <w:sectPr>
      <w:headerReference r:id="rId6" w:type="default"/>
      <w:footerReference r:id="rId7" w:type="default"/>
      <w:pgSz w:w="11906" w:h="16838"/>
      <w:pgMar w:top="1843" w:right="1304" w:bottom="1134" w:left="1304" w:header="1134" w:footer="907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ngsuhChe">
    <w:altName w:val="GulimChe"/>
    <w:panose1 w:val="02030609000101010101"/>
    <w:charset w:val="81"/>
    <w:family w:val="modern"/>
    <w:pitch w:val="default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dobe 黑体 Std R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end"/>
    </w:r>
  </w:p>
  <w:p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top w:val="single" w:color="404040" w:sz="4" w:space="1"/>
      </w:pBdr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Arial" w:hAnsi="Arial"/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single" w:color="auto" w:sz="4" w:space="1"/>
      </w:pBdr>
      <w:jc w:val="both"/>
      <w:rPr>
        <w:rFonts w:hint="eastAsia" w:ascii="楷体_GB2312" w:eastAsia="楷体_GB2312"/>
        <w:color w:val="FF0000"/>
        <w:spacing w:val="-20"/>
        <w:sz w:val="21"/>
      </w:rPr>
    </w:pPr>
    <w:r>
      <w:rPr>
        <w:rFonts w:hint="eastAsia" w:ascii="楷体_GB2312" w:eastAsia="楷体_GB2312"/>
        <w:spacing w:val="-20"/>
        <w:sz w:val="24"/>
      </w:rPr>
      <w:t>北京康正宏基房地产评估有限公司 （原北京康正房地产评估事务所）              电</w:t>
    </w:r>
    <w:r>
      <w:rPr>
        <w:rFonts w:ascii="楷体_GB2312" w:eastAsia="楷体_GB2312"/>
        <w:spacing w:val="-20"/>
        <w:sz w:val="24"/>
      </w:rPr>
      <w:t xml:space="preserve"> </w:t>
    </w:r>
    <w:r>
      <w:rPr>
        <w:rFonts w:hint="eastAsia" w:ascii="楷体_GB2312" w:eastAsia="楷体_GB2312"/>
        <w:spacing w:val="-20"/>
        <w:sz w:val="24"/>
      </w:rPr>
      <w:t>话：</w:t>
    </w:r>
    <w:r>
      <w:rPr>
        <w:rFonts w:hint="eastAsia" w:ascii="Arial" w:hAnsi="Arial" w:eastAsia="楷体_GB2312"/>
        <w:spacing w:val="-20"/>
        <w:sz w:val="24"/>
      </w:rPr>
      <w:t>82253558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rPr>
        <w:rFonts w:hint="eastAsia" w:ascii="楷体_GB2312" w:eastAsia="楷体_GB2312"/>
        <w:spacing w:val="-20"/>
        <w:sz w:val="24"/>
      </w:rPr>
    </w:pPr>
    <w:r>
      <w:rPr>
        <w:lang/>
      </w:rPr>
      <w:drawing>
        <wp:inline distT="0" distB="0" distL="114300" distR="114300">
          <wp:extent cx="5902325" cy="285750"/>
          <wp:effectExtent l="0" t="0" r="3175" b="0"/>
          <wp:docPr id="2" name="图片 0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评估报告内页页眉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23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656"/>
    <w:multiLevelType w:val="multilevel"/>
    <w:tmpl w:val="11163656"/>
    <w:lvl w:ilvl="0" w:tentative="0">
      <w:start w:val="3"/>
      <w:numFmt w:val="decimal"/>
      <w:lvlText w:val="（%1）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upperLetter"/>
      <w:pStyle w:val="4"/>
      <w:lvlText w:val="%2、"/>
      <w:lvlJc w:val="left"/>
      <w:pPr>
        <w:tabs>
          <w:tab w:val="left" w:pos="1740"/>
        </w:tabs>
        <w:ind w:left="17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5E2E5779"/>
    <w:multiLevelType w:val="multilevel"/>
    <w:tmpl w:val="5E2E5779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微软雅黑" w:hAnsi="微软雅黑" w:eastAsia="微软雅黑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F6A3DC4"/>
    <w:multiLevelType w:val="multilevel"/>
    <w:tmpl w:val="5F6A3DC4"/>
    <w:lvl w:ilvl="0" w:tentative="0">
      <w:start w:val="1"/>
      <w:numFmt w:val="upperRoman"/>
      <w:pStyle w:val="5"/>
      <w:lvlText w:val="%1、"/>
      <w:lvlJc w:val="left"/>
      <w:pPr>
        <w:tabs>
          <w:tab w:val="left" w:pos="1605"/>
        </w:tabs>
        <w:ind w:left="1605" w:hanging="10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65"/>
        </w:tabs>
        <w:ind w:left="13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85"/>
        </w:tabs>
        <w:ind w:left="17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05"/>
        </w:tabs>
        <w:ind w:left="22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25"/>
        </w:tabs>
        <w:ind w:left="26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45"/>
        </w:tabs>
        <w:ind w:left="30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465"/>
        </w:tabs>
        <w:ind w:left="34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85"/>
        </w:tabs>
        <w:ind w:left="38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05"/>
        </w:tabs>
        <w:ind w:left="4305" w:hanging="420"/>
      </w:pPr>
    </w:lvl>
  </w:abstractNum>
  <w:abstractNum w:abstractNumId="3">
    <w:nsid w:val="75A04673"/>
    <w:multiLevelType w:val="multilevel"/>
    <w:tmpl w:val="75A04673"/>
    <w:lvl w:ilvl="0" w:tentative="0">
      <w:start w:val="1"/>
      <w:numFmt w:val="upperLetter"/>
      <w:pStyle w:val="3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906362E"/>
    <w:multiLevelType w:val="multilevel"/>
    <w:tmpl w:val="7906362E"/>
    <w:lvl w:ilvl="0" w:tentative="0">
      <w:start w:val="1"/>
      <w:numFmt w:val="upperLetter"/>
      <w:pStyle w:val="2"/>
      <w:lvlText w:val="%1．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trackRevisions w:val="1"/>
  <w:documentProtection w:enforcement="0"/>
  <w:defaultTabStop w:val="425"/>
  <w:hyphenationZone w:val="36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5B"/>
    <w:rsid w:val="00000C89"/>
    <w:rsid w:val="00003940"/>
    <w:rsid w:val="00004D42"/>
    <w:rsid w:val="0001031A"/>
    <w:rsid w:val="0001312D"/>
    <w:rsid w:val="000147EE"/>
    <w:rsid w:val="00014F2D"/>
    <w:rsid w:val="00022827"/>
    <w:rsid w:val="00026AB8"/>
    <w:rsid w:val="00035392"/>
    <w:rsid w:val="00040C59"/>
    <w:rsid w:val="0004288D"/>
    <w:rsid w:val="00046421"/>
    <w:rsid w:val="00050104"/>
    <w:rsid w:val="00053031"/>
    <w:rsid w:val="000552B7"/>
    <w:rsid w:val="00056CE9"/>
    <w:rsid w:val="00057D66"/>
    <w:rsid w:val="00060528"/>
    <w:rsid w:val="00065379"/>
    <w:rsid w:val="000728BE"/>
    <w:rsid w:val="00075E41"/>
    <w:rsid w:val="0007620F"/>
    <w:rsid w:val="00082C75"/>
    <w:rsid w:val="00085690"/>
    <w:rsid w:val="000903AB"/>
    <w:rsid w:val="00090ADF"/>
    <w:rsid w:val="00092F3C"/>
    <w:rsid w:val="0009464C"/>
    <w:rsid w:val="0009720F"/>
    <w:rsid w:val="000A1B10"/>
    <w:rsid w:val="000B1A9D"/>
    <w:rsid w:val="000B380F"/>
    <w:rsid w:val="000B57FD"/>
    <w:rsid w:val="000D2290"/>
    <w:rsid w:val="000D2845"/>
    <w:rsid w:val="000D362A"/>
    <w:rsid w:val="000D51B9"/>
    <w:rsid w:val="000D744D"/>
    <w:rsid w:val="000E1641"/>
    <w:rsid w:val="000E30D9"/>
    <w:rsid w:val="000E3C14"/>
    <w:rsid w:val="000E4497"/>
    <w:rsid w:val="000E4856"/>
    <w:rsid w:val="000F39A7"/>
    <w:rsid w:val="000F746A"/>
    <w:rsid w:val="000F7CEF"/>
    <w:rsid w:val="00103AC3"/>
    <w:rsid w:val="00106495"/>
    <w:rsid w:val="00121EB7"/>
    <w:rsid w:val="0012550C"/>
    <w:rsid w:val="00126809"/>
    <w:rsid w:val="0013092A"/>
    <w:rsid w:val="00137B2B"/>
    <w:rsid w:val="00141D6E"/>
    <w:rsid w:val="001433AC"/>
    <w:rsid w:val="00150A2F"/>
    <w:rsid w:val="001537DF"/>
    <w:rsid w:val="00164573"/>
    <w:rsid w:val="00165590"/>
    <w:rsid w:val="00170195"/>
    <w:rsid w:val="00170B7A"/>
    <w:rsid w:val="0018410F"/>
    <w:rsid w:val="00185D76"/>
    <w:rsid w:val="00186584"/>
    <w:rsid w:val="001A358D"/>
    <w:rsid w:val="001B306D"/>
    <w:rsid w:val="001B427F"/>
    <w:rsid w:val="001B430F"/>
    <w:rsid w:val="001B730A"/>
    <w:rsid w:val="001C2C79"/>
    <w:rsid w:val="001C2DF8"/>
    <w:rsid w:val="001C44F5"/>
    <w:rsid w:val="001C7678"/>
    <w:rsid w:val="001D6024"/>
    <w:rsid w:val="001D7D7A"/>
    <w:rsid w:val="001E53E3"/>
    <w:rsid w:val="001E78FE"/>
    <w:rsid w:val="001F1BA3"/>
    <w:rsid w:val="001F6090"/>
    <w:rsid w:val="001F6D6E"/>
    <w:rsid w:val="00200E28"/>
    <w:rsid w:val="00202895"/>
    <w:rsid w:val="0020372D"/>
    <w:rsid w:val="00206854"/>
    <w:rsid w:val="00212AAF"/>
    <w:rsid w:val="00213002"/>
    <w:rsid w:val="00215A59"/>
    <w:rsid w:val="002170BA"/>
    <w:rsid w:val="0022545A"/>
    <w:rsid w:val="002361E9"/>
    <w:rsid w:val="00237F00"/>
    <w:rsid w:val="0024127D"/>
    <w:rsid w:val="00243B85"/>
    <w:rsid w:val="00244311"/>
    <w:rsid w:val="002455C6"/>
    <w:rsid w:val="00252130"/>
    <w:rsid w:val="00252E12"/>
    <w:rsid w:val="002539C2"/>
    <w:rsid w:val="002547BD"/>
    <w:rsid w:val="002555D9"/>
    <w:rsid w:val="00256148"/>
    <w:rsid w:val="00267E50"/>
    <w:rsid w:val="0027408F"/>
    <w:rsid w:val="00277CA3"/>
    <w:rsid w:val="00286E1F"/>
    <w:rsid w:val="00290043"/>
    <w:rsid w:val="00290B34"/>
    <w:rsid w:val="002A136E"/>
    <w:rsid w:val="002A24B2"/>
    <w:rsid w:val="002A4C30"/>
    <w:rsid w:val="002A53A9"/>
    <w:rsid w:val="002A7120"/>
    <w:rsid w:val="002B2513"/>
    <w:rsid w:val="002B35F7"/>
    <w:rsid w:val="002C4410"/>
    <w:rsid w:val="002C6A9B"/>
    <w:rsid w:val="002C789A"/>
    <w:rsid w:val="002D1807"/>
    <w:rsid w:val="002D400F"/>
    <w:rsid w:val="002E05B2"/>
    <w:rsid w:val="002E14B9"/>
    <w:rsid w:val="002E2A4C"/>
    <w:rsid w:val="002E545E"/>
    <w:rsid w:val="002F02D6"/>
    <w:rsid w:val="002F41E0"/>
    <w:rsid w:val="002F6A0D"/>
    <w:rsid w:val="00304865"/>
    <w:rsid w:val="0031005D"/>
    <w:rsid w:val="00315806"/>
    <w:rsid w:val="00323C56"/>
    <w:rsid w:val="003405BD"/>
    <w:rsid w:val="00343BF4"/>
    <w:rsid w:val="00346F0A"/>
    <w:rsid w:val="00346FB4"/>
    <w:rsid w:val="00347B39"/>
    <w:rsid w:val="00351B58"/>
    <w:rsid w:val="00351CBA"/>
    <w:rsid w:val="00353A73"/>
    <w:rsid w:val="003560AB"/>
    <w:rsid w:val="00357EEC"/>
    <w:rsid w:val="0036385B"/>
    <w:rsid w:val="00364041"/>
    <w:rsid w:val="00364ED6"/>
    <w:rsid w:val="00375183"/>
    <w:rsid w:val="00377640"/>
    <w:rsid w:val="00380777"/>
    <w:rsid w:val="00385340"/>
    <w:rsid w:val="0039028C"/>
    <w:rsid w:val="00390D6F"/>
    <w:rsid w:val="0039318E"/>
    <w:rsid w:val="00396791"/>
    <w:rsid w:val="003A2655"/>
    <w:rsid w:val="003A38A4"/>
    <w:rsid w:val="003A6366"/>
    <w:rsid w:val="003B36B3"/>
    <w:rsid w:val="003B4E67"/>
    <w:rsid w:val="003B5263"/>
    <w:rsid w:val="003B6745"/>
    <w:rsid w:val="003C235C"/>
    <w:rsid w:val="003D4862"/>
    <w:rsid w:val="003E03F4"/>
    <w:rsid w:val="003E4ECC"/>
    <w:rsid w:val="003E611B"/>
    <w:rsid w:val="003E7672"/>
    <w:rsid w:val="003F17E9"/>
    <w:rsid w:val="00400E81"/>
    <w:rsid w:val="00403BC4"/>
    <w:rsid w:val="0041133E"/>
    <w:rsid w:val="0041611B"/>
    <w:rsid w:val="00420AA6"/>
    <w:rsid w:val="0042620F"/>
    <w:rsid w:val="00436270"/>
    <w:rsid w:val="00441ED8"/>
    <w:rsid w:val="00447F02"/>
    <w:rsid w:val="00452E17"/>
    <w:rsid w:val="00457523"/>
    <w:rsid w:val="00465DC3"/>
    <w:rsid w:val="00466C77"/>
    <w:rsid w:val="0047206C"/>
    <w:rsid w:val="00472B83"/>
    <w:rsid w:val="0047469A"/>
    <w:rsid w:val="00475B8F"/>
    <w:rsid w:val="00476F0A"/>
    <w:rsid w:val="004810F5"/>
    <w:rsid w:val="00483265"/>
    <w:rsid w:val="004855EC"/>
    <w:rsid w:val="00491DF0"/>
    <w:rsid w:val="00496EDE"/>
    <w:rsid w:val="004A39DC"/>
    <w:rsid w:val="004C294D"/>
    <w:rsid w:val="004C6565"/>
    <w:rsid w:val="004D0EE4"/>
    <w:rsid w:val="004E16A1"/>
    <w:rsid w:val="004E21FE"/>
    <w:rsid w:val="004E3F45"/>
    <w:rsid w:val="004F5293"/>
    <w:rsid w:val="004F6521"/>
    <w:rsid w:val="004F7676"/>
    <w:rsid w:val="00504392"/>
    <w:rsid w:val="00510E07"/>
    <w:rsid w:val="005168D3"/>
    <w:rsid w:val="00516B79"/>
    <w:rsid w:val="005214FF"/>
    <w:rsid w:val="00526456"/>
    <w:rsid w:val="00526554"/>
    <w:rsid w:val="005334EA"/>
    <w:rsid w:val="005367E2"/>
    <w:rsid w:val="0054495D"/>
    <w:rsid w:val="00544C45"/>
    <w:rsid w:val="00545BF4"/>
    <w:rsid w:val="00552741"/>
    <w:rsid w:val="00552E21"/>
    <w:rsid w:val="00553A8C"/>
    <w:rsid w:val="00557D1D"/>
    <w:rsid w:val="00560BCE"/>
    <w:rsid w:val="005774F5"/>
    <w:rsid w:val="00577B2B"/>
    <w:rsid w:val="0058114E"/>
    <w:rsid w:val="005814FD"/>
    <w:rsid w:val="00585457"/>
    <w:rsid w:val="005964B4"/>
    <w:rsid w:val="005973A6"/>
    <w:rsid w:val="00597BD4"/>
    <w:rsid w:val="005A33D9"/>
    <w:rsid w:val="005A76E2"/>
    <w:rsid w:val="005B0290"/>
    <w:rsid w:val="005B14DB"/>
    <w:rsid w:val="005B741B"/>
    <w:rsid w:val="005C456E"/>
    <w:rsid w:val="005D262F"/>
    <w:rsid w:val="005D2C17"/>
    <w:rsid w:val="005D4241"/>
    <w:rsid w:val="005D4276"/>
    <w:rsid w:val="005E708A"/>
    <w:rsid w:val="005E793F"/>
    <w:rsid w:val="005F4469"/>
    <w:rsid w:val="00602105"/>
    <w:rsid w:val="00605600"/>
    <w:rsid w:val="00605EB6"/>
    <w:rsid w:val="00606A14"/>
    <w:rsid w:val="0061090D"/>
    <w:rsid w:val="00614EA0"/>
    <w:rsid w:val="0062278D"/>
    <w:rsid w:val="00627C4D"/>
    <w:rsid w:val="006340BC"/>
    <w:rsid w:val="00640F31"/>
    <w:rsid w:val="00646DFB"/>
    <w:rsid w:val="00653107"/>
    <w:rsid w:val="006544CD"/>
    <w:rsid w:val="00654BA2"/>
    <w:rsid w:val="00657485"/>
    <w:rsid w:val="00660C53"/>
    <w:rsid w:val="00664273"/>
    <w:rsid w:val="00670C1C"/>
    <w:rsid w:val="006715BF"/>
    <w:rsid w:val="006717DA"/>
    <w:rsid w:val="00673C37"/>
    <w:rsid w:val="00686AFE"/>
    <w:rsid w:val="00694A19"/>
    <w:rsid w:val="006969CE"/>
    <w:rsid w:val="00696F8B"/>
    <w:rsid w:val="006A0A03"/>
    <w:rsid w:val="006C188F"/>
    <w:rsid w:val="006D2995"/>
    <w:rsid w:val="006D2C3C"/>
    <w:rsid w:val="006D56D6"/>
    <w:rsid w:val="006E70ED"/>
    <w:rsid w:val="006E7B93"/>
    <w:rsid w:val="006E7D96"/>
    <w:rsid w:val="006F04B9"/>
    <w:rsid w:val="006F73D4"/>
    <w:rsid w:val="0070148A"/>
    <w:rsid w:val="0070221C"/>
    <w:rsid w:val="00711456"/>
    <w:rsid w:val="00713746"/>
    <w:rsid w:val="0071645F"/>
    <w:rsid w:val="0072195E"/>
    <w:rsid w:val="00727B1F"/>
    <w:rsid w:val="0073750D"/>
    <w:rsid w:val="00740F8B"/>
    <w:rsid w:val="00741FEB"/>
    <w:rsid w:val="0074324E"/>
    <w:rsid w:val="00750298"/>
    <w:rsid w:val="00754E0D"/>
    <w:rsid w:val="00760B99"/>
    <w:rsid w:val="00762810"/>
    <w:rsid w:val="00762A83"/>
    <w:rsid w:val="00763696"/>
    <w:rsid w:val="00765AF6"/>
    <w:rsid w:val="007676CC"/>
    <w:rsid w:val="0077148D"/>
    <w:rsid w:val="007778D5"/>
    <w:rsid w:val="0078149A"/>
    <w:rsid w:val="00794727"/>
    <w:rsid w:val="007A15BA"/>
    <w:rsid w:val="007A4132"/>
    <w:rsid w:val="007A689A"/>
    <w:rsid w:val="007B15BE"/>
    <w:rsid w:val="007B2169"/>
    <w:rsid w:val="007B64C9"/>
    <w:rsid w:val="007C72BC"/>
    <w:rsid w:val="007D28F2"/>
    <w:rsid w:val="007D46D9"/>
    <w:rsid w:val="007D4826"/>
    <w:rsid w:val="007E4452"/>
    <w:rsid w:val="007E490C"/>
    <w:rsid w:val="007E590D"/>
    <w:rsid w:val="007F3107"/>
    <w:rsid w:val="007F6DE3"/>
    <w:rsid w:val="007F77CA"/>
    <w:rsid w:val="008016EA"/>
    <w:rsid w:val="0080280F"/>
    <w:rsid w:val="008121C2"/>
    <w:rsid w:val="008130AF"/>
    <w:rsid w:val="00814DA0"/>
    <w:rsid w:val="00826BDE"/>
    <w:rsid w:val="00831441"/>
    <w:rsid w:val="008409C0"/>
    <w:rsid w:val="0084196F"/>
    <w:rsid w:val="0084503F"/>
    <w:rsid w:val="008459C0"/>
    <w:rsid w:val="008464F8"/>
    <w:rsid w:val="008555F5"/>
    <w:rsid w:val="00855C34"/>
    <w:rsid w:val="00860C9A"/>
    <w:rsid w:val="0086147C"/>
    <w:rsid w:val="00861C1C"/>
    <w:rsid w:val="00865CCA"/>
    <w:rsid w:val="008670BF"/>
    <w:rsid w:val="00867524"/>
    <w:rsid w:val="00867534"/>
    <w:rsid w:val="00873ED8"/>
    <w:rsid w:val="008741A3"/>
    <w:rsid w:val="008755EF"/>
    <w:rsid w:val="0087671C"/>
    <w:rsid w:val="00891653"/>
    <w:rsid w:val="008933C6"/>
    <w:rsid w:val="0089390A"/>
    <w:rsid w:val="00894BE1"/>
    <w:rsid w:val="008A4342"/>
    <w:rsid w:val="008A6EC3"/>
    <w:rsid w:val="008A7D4F"/>
    <w:rsid w:val="008C02C5"/>
    <w:rsid w:val="008C25A1"/>
    <w:rsid w:val="008C4C27"/>
    <w:rsid w:val="008C6388"/>
    <w:rsid w:val="008C6DA7"/>
    <w:rsid w:val="008D1FC8"/>
    <w:rsid w:val="008D6F21"/>
    <w:rsid w:val="008E1B0B"/>
    <w:rsid w:val="008E7345"/>
    <w:rsid w:val="008F0FB1"/>
    <w:rsid w:val="008F2E64"/>
    <w:rsid w:val="00900B34"/>
    <w:rsid w:val="0092204E"/>
    <w:rsid w:val="00922E19"/>
    <w:rsid w:val="009241BA"/>
    <w:rsid w:val="009272C7"/>
    <w:rsid w:val="00930B67"/>
    <w:rsid w:val="0093248F"/>
    <w:rsid w:val="009410E0"/>
    <w:rsid w:val="00942BAA"/>
    <w:rsid w:val="009437C5"/>
    <w:rsid w:val="00947511"/>
    <w:rsid w:val="0096490C"/>
    <w:rsid w:val="00966EEF"/>
    <w:rsid w:val="009672CB"/>
    <w:rsid w:val="00971743"/>
    <w:rsid w:val="00972581"/>
    <w:rsid w:val="00973427"/>
    <w:rsid w:val="009734E0"/>
    <w:rsid w:val="00976D72"/>
    <w:rsid w:val="00981C3C"/>
    <w:rsid w:val="00982012"/>
    <w:rsid w:val="00984015"/>
    <w:rsid w:val="00985CAE"/>
    <w:rsid w:val="009A032A"/>
    <w:rsid w:val="009A2A1F"/>
    <w:rsid w:val="009B2E0E"/>
    <w:rsid w:val="009B6FE9"/>
    <w:rsid w:val="009C6A20"/>
    <w:rsid w:val="009D2535"/>
    <w:rsid w:val="009D45E7"/>
    <w:rsid w:val="009E1A87"/>
    <w:rsid w:val="009E464E"/>
    <w:rsid w:val="009E669B"/>
    <w:rsid w:val="009E7AF8"/>
    <w:rsid w:val="009F342B"/>
    <w:rsid w:val="009F4ACA"/>
    <w:rsid w:val="009F7387"/>
    <w:rsid w:val="00A02775"/>
    <w:rsid w:val="00A037E1"/>
    <w:rsid w:val="00A14383"/>
    <w:rsid w:val="00A30CD9"/>
    <w:rsid w:val="00A32C16"/>
    <w:rsid w:val="00A36326"/>
    <w:rsid w:val="00A40067"/>
    <w:rsid w:val="00A4388D"/>
    <w:rsid w:val="00A6360E"/>
    <w:rsid w:val="00A64E83"/>
    <w:rsid w:val="00A768CF"/>
    <w:rsid w:val="00A87055"/>
    <w:rsid w:val="00A90CE1"/>
    <w:rsid w:val="00A91B3F"/>
    <w:rsid w:val="00A931C3"/>
    <w:rsid w:val="00A937DC"/>
    <w:rsid w:val="00A96B67"/>
    <w:rsid w:val="00AA2271"/>
    <w:rsid w:val="00AA29C5"/>
    <w:rsid w:val="00AA50DA"/>
    <w:rsid w:val="00AB4910"/>
    <w:rsid w:val="00AB523F"/>
    <w:rsid w:val="00AB589B"/>
    <w:rsid w:val="00AC09D8"/>
    <w:rsid w:val="00AC4564"/>
    <w:rsid w:val="00AD2874"/>
    <w:rsid w:val="00AD31D5"/>
    <w:rsid w:val="00AE2B5C"/>
    <w:rsid w:val="00AE47DA"/>
    <w:rsid w:val="00AE7DC8"/>
    <w:rsid w:val="00AF0DFD"/>
    <w:rsid w:val="00AF2521"/>
    <w:rsid w:val="00AF4C5B"/>
    <w:rsid w:val="00AF7058"/>
    <w:rsid w:val="00AF79A7"/>
    <w:rsid w:val="00B01C16"/>
    <w:rsid w:val="00B06572"/>
    <w:rsid w:val="00B0773A"/>
    <w:rsid w:val="00B07E36"/>
    <w:rsid w:val="00B07EB9"/>
    <w:rsid w:val="00B117E5"/>
    <w:rsid w:val="00B15AE4"/>
    <w:rsid w:val="00B17705"/>
    <w:rsid w:val="00B21F12"/>
    <w:rsid w:val="00B37824"/>
    <w:rsid w:val="00B41E6F"/>
    <w:rsid w:val="00B438A1"/>
    <w:rsid w:val="00B4688F"/>
    <w:rsid w:val="00B53D64"/>
    <w:rsid w:val="00B6090E"/>
    <w:rsid w:val="00B65014"/>
    <w:rsid w:val="00B65B52"/>
    <w:rsid w:val="00B74A6C"/>
    <w:rsid w:val="00B76F85"/>
    <w:rsid w:val="00B82926"/>
    <w:rsid w:val="00B84651"/>
    <w:rsid w:val="00B85B86"/>
    <w:rsid w:val="00B8624D"/>
    <w:rsid w:val="00B86B5B"/>
    <w:rsid w:val="00B86C83"/>
    <w:rsid w:val="00B91D0C"/>
    <w:rsid w:val="00B93AD9"/>
    <w:rsid w:val="00B96733"/>
    <w:rsid w:val="00BA15B5"/>
    <w:rsid w:val="00BA5328"/>
    <w:rsid w:val="00BA695A"/>
    <w:rsid w:val="00BA7681"/>
    <w:rsid w:val="00BB67ED"/>
    <w:rsid w:val="00BC2D66"/>
    <w:rsid w:val="00BC71A8"/>
    <w:rsid w:val="00BD41A5"/>
    <w:rsid w:val="00BD4DB9"/>
    <w:rsid w:val="00BD501C"/>
    <w:rsid w:val="00BD7631"/>
    <w:rsid w:val="00BE4971"/>
    <w:rsid w:val="00BE4EEF"/>
    <w:rsid w:val="00BF167A"/>
    <w:rsid w:val="00BF1ECF"/>
    <w:rsid w:val="00BF217B"/>
    <w:rsid w:val="00BF46F5"/>
    <w:rsid w:val="00BF7242"/>
    <w:rsid w:val="00C042E4"/>
    <w:rsid w:val="00C04A49"/>
    <w:rsid w:val="00C153F5"/>
    <w:rsid w:val="00C159F8"/>
    <w:rsid w:val="00C20527"/>
    <w:rsid w:val="00C27677"/>
    <w:rsid w:val="00C348A7"/>
    <w:rsid w:val="00C40FA9"/>
    <w:rsid w:val="00C42081"/>
    <w:rsid w:val="00C43B42"/>
    <w:rsid w:val="00C46703"/>
    <w:rsid w:val="00C50BF5"/>
    <w:rsid w:val="00C550F5"/>
    <w:rsid w:val="00C57913"/>
    <w:rsid w:val="00C604F8"/>
    <w:rsid w:val="00C60808"/>
    <w:rsid w:val="00C62EA0"/>
    <w:rsid w:val="00C64B39"/>
    <w:rsid w:val="00C720FC"/>
    <w:rsid w:val="00C80823"/>
    <w:rsid w:val="00C92304"/>
    <w:rsid w:val="00C93803"/>
    <w:rsid w:val="00C951B1"/>
    <w:rsid w:val="00CA111D"/>
    <w:rsid w:val="00CA2952"/>
    <w:rsid w:val="00CA52EC"/>
    <w:rsid w:val="00CA7754"/>
    <w:rsid w:val="00CB25CB"/>
    <w:rsid w:val="00CC356D"/>
    <w:rsid w:val="00CC5AC7"/>
    <w:rsid w:val="00CC7449"/>
    <w:rsid w:val="00CC7C7C"/>
    <w:rsid w:val="00CD1407"/>
    <w:rsid w:val="00CE60D0"/>
    <w:rsid w:val="00CF51C3"/>
    <w:rsid w:val="00D217ED"/>
    <w:rsid w:val="00D27899"/>
    <w:rsid w:val="00D3604C"/>
    <w:rsid w:val="00D50577"/>
    <w:rsid w:val="00D559E8"/>
    <w:rsid w:val="00D569AC"/>
    <w:rsid w:val="00D56B23"/>
    <w:rsid w:val="00D5731F"/>
    <w:rsid w:val="00D57950"/>
    <w:rsid w:val="00D61272"/>
    <w:rsid w:val="00D64014"/>
    <w:rsid w:val="00D640C5"/>
    <w:rsid w:val="00D67B5B"/>
    <w:rsid w:val="00D725DB"/>
    <w:rsid w:val="00D846FB"/>
    <w:rsid w:val="00D8525D"/>
    <w:rsid w:val="00D916A1"/>
    <w:rsid w:val="00D96D85"/>
    <w:rsid w:val="00DA570B"/>
    <w:rsid w:val="00DB5462"/>
    <w:rsid w:val="00DB7205"/>
    <w:rsid w:val="00DC011F"/>
    <w:rsid w:val="00DC0CA4"/>
    <w:rsid w:val="00DC283F"/>
    <w:rsid w:val="00DC4317"/>
    <w:rsid w:val="00DC691C"/>
    <w:rsid w:val="00DD1F17"/>
    <w:rsid w:val="00DD282B"/>
    <w:rsid w:val="00DD36CF"/>
    <w:rsid w:val="00DD3E33"/>
    <w:rsid w:val="00DE110B"/>
    <w:rsid w:val="00DE34A7"/>
    <w:rsid w:val="00DF05D8"/>
    <w:rsid w:val="00DF324D"/>
    <w:rsid w:val="00DF3E33"/>
    <w:rsid w:val="00E0273F"/>
    <w:rsid w:val="00E103F7"/>
    <w:rsid w:val="00E154CA"/>
    <w:rsid w:val="00E20D82"/>
    <w:rsid w:val="00E222D9"/>
    <w:rsid w:val="00E22D19"/>
    <w:rsid w:val="00E34634"/>
    <w:rsid w:val="00E40DA2"/>
    <w:rsid w:val="00E45E8E"/>
    <w:rsid w:val="00E537CB"/>
    <w:rsid w:val="00E54034"/>
    <w:rsid w:val="00E611F0"/>
    <w:rsid w:val="00E64696"/>
    <w:rsid w:val="00E65DB2"/>
    <w:rsid w:val="00E702D6"/>
    <w:rsid w:val="00E71B45"/>
    <w:rsid w:val="00E75B4C"/>
    <w:rsid w:val="00E76B28"/>
    <w:rsid w:val="00E87756"/>
    <w:rsid w:val="00E909B0"/>
    <w:rsid w:val="00E930AE"/>
    <w:rsid w:val="00EA1693"/>
    <w:rsid w:val="00EA3469"/>
    <w:rsid w:val="00EB3B15"/>
    <w:rsid w:val="00EB7210"/>
    <w:rsid w:val="00EC5844"/>
    <w:rsid w:val="00EC6283"/>
    <w:rsid w:val="00EC667C"/>
    <w:rsid w:val="00EC7FCC"/>
    <w:rsid w:val="00ED2978"/>
    <w:rsid w:val="00ED72D1"/>
    <w:rsid w:val="00EE05EE"/>
    <w:rsid w:val="00EE5E94"/>
    <w:rsid w:val="00EF30D4"/>
    <w:rsid w:val="00EF3B9C"/>
    <w:rsid w:val="00F0030A"/>
    <w:rsid w:val="00F006FF"/>
    <w:rsid w:val="00F0378B"/>
    <w:rsid w:val="00F0564F"/>
    <w:rsid w:val="00F05C1B"/>
    <w:rsid w:val="00F0725B"/>
    <w:rsid w:val="00F11EF5"/>
    <w:rsid w:val="00F12FDA"/>
    <w:rsid w:val="00F14772"/>
    <w:rsid w:val="00F20A59"/>
    <w:rsid w:val="00F21D4E"/>
    <w:rsid w:val="00F23A1F"/>
    <w:rsid w:val="00F27BE6"/>
    <w:rsid w:val="00F30AD0"/>
    <w:rsid w:val="00F43247"/>
    <w:rsid w:val="00F452A7"/>
    <w:rsid w:val="00F45B38"/>
    <w:rsid w:val="00F46671"/>
    <w:rsid w:val="00F47637"/>
    <w:rsid w:val="00F557E0"/>
    <w:rsid w:val="00F7127E"/>
    <w:rsid w:val="00F72680"/>
    <w:rsid w:val="00F735C1"/>
    <w:rsid w:val="00F73D46"/>
    <w:rsid w:val="00F74749"/>
    <w:rsid w:val="00F776C8"/>
    <w:rsid w:val="00F84A08"/>
    <w:rsid w:val="00F8661D"/>
    <w:rsid w:val="00FA46EF"/>
    <w:rsid w:val="00FB22A8"/>
    <w:rsid w:val="00FB2787"/>
    <w:rsid w:val="00FB5C67"/>
    <w:rsid w:val="00FC1D97"/>
    <w:rsid w:val="00FC297E"/>
    <w:rsid w:val="00FC3C96"/>
    <w:rsid w:val="00FC4345"/>
    <w:rsid w:val="00FD2047"/>
    <w:rsid w:val="00FD3D69"/>
    <w:rsid w:val="00FD5726"/>
    <w:rsid w:val="00FE4618"/>
    <w:rsid w:val="00FE51FE"/>
    <w:rsid w:val="00FE542D"/>
    <w:rsid w:val="00FE71B0"/>
    <w:rsid w:val="00FF32E2"/>
    <w:rsid w:val="00FF3DD4"/>
    <w:rsid w:val="079C49F7"/>
    <w:rsid w:val="35DC20F5"/>
    <w:rsid w:val="3D5D0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name="Normal Indent"/>
    <w:lsdException w:uiPriority="99" w:name="footnote text"/>
    <w:lsdException w:unhideWhenUsed="0" w:uiPriority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nhideWhenUsed="0" w:uiPriority="0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nhideWhenUsed="0" w:uiPriority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00" w:lineRule="auto"/>
      <w:jc w:val="both"/>
      <w:outlineLvl w:val="0"/>
    </w:pPr>
    <w:rPr>
      <w:rFonts w:ascii="Arial" w:hAnsi="Arial" w:eastAsia="仿宋_GB2312" w:cs="Arial"/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2"/>
      </w:numPr>
      <w:spacing w:line="300" w:lineRule="auto"/>
      <w:outlineLvl w:val="1"/>
    </w:pPr>
    <w:rPr>
      <w:rFonts w:ascii="Arial" w:hAnsi="Arial" w:eastAsia="仿宋_GB2312" w:cs="Arial"/>
      <w:b/>
      <w:bCs/>
      <w:sz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1"/>
        <w:numId w:val="3"/>
      </w:numPr>
      <w:tabs>
        <w:tab w:val="left" w:pos="0"/>
        <w:tab w:val="left" w:pos="1200"/>
        <w:tab w:val="clear" w:pos="1740"/>
      </w:tabs>
      <w:spacing w:line="440" w:lineRule="atLeast"/>
      <w:ind w:left="1320" w:hanging="600"/>
      <w:jc w:val="both"/>
      <w:outlineLvl w:val="2"/>
    </w:pPr>
    <w:rPr>
      <w:rFonts w:ascii="仿宋_GB2312" w:hAnsi="Arial" w:eastAsia="仿宋_GB2312" w:cs="Arial"/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0"/>
        <w:numId w:val="4"/>
      </w:numPr>
      <w:tabs>
        <w:tab w:val="clear" w:pos="1605"/>
      </w:tabs>
      <w:spacing w:line="440" w:lineRule="atLeast"/>
      <w:ind w:right="-22"/>
      <w:outlineLvl w:val="3"/>
    </w:pPr>
    <w:rPr>
      <w:rFonts w:ascii="仿宋_GB2312" w:eastAsia="仿宋_GB2312"/>
      <w:sz w:val="28"/>
    </w:rPr>
  </w:style>
  <w:style w:type="paragraph" w:styleId="6">
    <w:name w:val="heading 5"/>
    <w:basedOn w:val="1"/>
    <w:next w:val="1"/>
    <w:qFormat/>
    <w:uiPriority w:val="0"/>
    <w:pPr>
      <w:keepNext/>
      <w:spacing w:line="500" w:lineRule="exact"/>
      <w:jc w:val="center"/>
      <w:outlineLvl w:val="4"/>
    </w:pPr>
    <w:rPr>
      <w:rFonts w:ascii="楷体_GB2312" w:eastAsia="楷体_GB2312"/>
      <w:color w:val="000000"/>
      <w:sz w:val="28"/>
    </w:rPr>
  </w:style>
  <w:style w:type="character" w:default="1" w:styleId="34">
    <w:name w:val="Default Paragraph Font"/>
    <w:semiHidden/>
    <w:uiPriority w:val="0"/>
  </w:style>
  <w:style w:type="table" w:default="1" w:styleId="32">
    <w:name w:val="Normal Table"/>
    <w:unhideWhenUsed/>
    <w:uiPriority w:val="99"/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semiHidden/>
    <w:uiPriority w:val="0"/>
    <w:pPr>
      <w:ind w:left="2520" w:leftChars="1200"/>
    </w:pPr>
  </w:style>
  <w:style w:type="paragraph" w:styleId="8">
    <w:name w:val="Normal Indent"/>
    <w:basedOn w:val="1"/>
    <w:semiHidden/>
    <w:uiPriority w:val="0"/>
    <w:pPr>
      <w:adjustRightInd/>
      <w:spacing w:line="240" w:lineRule="auto"/>
      <w:ind w:firstLine="560" w:firstLineChars="200"/>
      <w:jc w:val="both"/>
      <w:textAlignment w:val="auto"/>
    </w:pPr>
    <w:rPr>
      <w:rFonts w:eastAsia="GungsuhChe"/>
      <w:color w:val="FF0000"/>
      <w:kern w:val="2"/>
      <w:sz w:val="28"/>
      <w:szCs w:val="24"/>
    </w:rPr>
  </w:style>
  <w:style w:type="paragraph" w:styleId="9">
    <w:name w:val="Document Map"/>
    <w:basedOn w:val="1"/>
    <w:link w:val="55"/>
    <w:semiHidden/>
    <w:uiPriority w:val="0"/>
    <w:pPr>
      <w:shd w:val="clear" w:color="auto" w:fill="000080"/>
    </w:pPr>
  </w:style>
  <w:style w:type="paragraph" w:styleId="10">
    <w:name w:val="annotation text"/>
    <w:basedOn w:val="1"/>
    <w:semiHidden/>
    <w:uiPriority w:val="0"/>
  </w:style>
  <w:style w:type="paragraph" w:styleId="11">
    <w:name w:val="Body Text"/>
    <w:basedOn w:val="1"/>
    <w:semiHidden/>
    <w:uiPriority w:val="0"/>
    <w:rPr>
      <w:rFonts w:eastAsia="隶书"/>
      <w:sz w:val="52"/>
    </w:rPr>
  </w:style>
  <w:style w:type="paragraph" w:styleId="12">
    <w:name w:val="Body Text Indent"/>
    <w:basedOn w:val="1"/>
    <w:semiHidden/>
    <w:uiPriority w:val="0"/>
    <w:pPr>
      <w:spacing w:before="120" w:line="360" w:lineRule="auto"/>
      <w:ind w:left="1145"/>
    </w:pPr>
    <w:rPr>
      <w:rFonts w:ascii="楷体_GB2312" w:eastAsia="楷体_GB2312"/>
      <w:kern w:val="2"/>
      <w:sz w:val="28"/>
    </w:rPr>
  </w:style>
  <w:style w:type="paragraph" w:styleId="13">
    <w:name w:val="toc 5"/>
    <w:basedOn w:val="1"/>
    <w:next w:val="1"/>
    <w:semiHidden/>
    <w:uiPriority w:val="0"/>
    <w:pPr>
      <w:ind w:left="1680" w:leftChars="800"/>
    </w:pPr>
  </w:style>
  <w:style w:type="paragraph" w:styleId="14">
    <w:name w:val="toc 3"/>
    <w:basedOn w:val="1"/>
    <w:next w:val="1"/>
    <w:semiHidden/>
    <w:uiPriority w:val="0"/>
    <w:pPr>
      <w:ind w:left="840" w:leftChars="400"/>
    </w:pPr>
  </w:style>
  <w:style w:type="paragraph" w:styleId="15">
    <w:name w:val="Plain Text"/>
    <w:basedOn w:val="1"/>
    <w:semiHidden/>
    <w:uiPriority w:val="0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</w:rPr>
  </w:style>
  <w:style w:type="paragraph" w:styleId="16">
    <w:name w:val="toc 8"/>
    <w:basedOn w:val="1"/>
    <w:next w:val="1"/>
    <w:semiHidden/>
    <w:uiPriority w:val="0"/>
    <w:pPr>
      <w:ind w:left="2940" w:leftChars="1400"/>
    </w:pPr>
  </w:style>
  <w:style w:type="paragraph" w:styleId="17">
    <w:name w:val="Date"/>
    <w:basedOn w:val="1"/>
    <w:next w:val="1"/>
    <w:link w:val="50"/>
    <w:semiHidden/>
    <w:uiPriority w:val="0"/>
    <w:pPr>
      <w:jc w:val="both"/>
    </w:pPr>
    <w:rPr>
      <w:rFonts w:ascii="楷体_GB2312" w:eastAsia="楷体_GB2312"/>
      <w:b/>
      <w:sz w:val="28"/>
    </w:rPr>
  </w:style>
  <w:style w:type="paragraph" w:styleId="18">
    <w:name w:val="Body Text Indent 2"/>
    <w:basedOn w:val="1"/>
    <w:semiHidden/>
    <w:uiPriority w:val="0"/>
    <w:pPr>
      <w:spacing w:before="120" w:line="360" w:lineRule="auto"/>
      <w:ind w:left="600" w:firstLine="480"/>
    </w:pPr>
    <w:rPr>
      <w:rFonts w:ascii="楷体_GB2312" w:eastAsia="楷体_GB2312"/>
      <w:kern w:val="2"/>
      <w:sz w:val="28"/>
    </w:rPr>
  </w:style>
  <w:style w:type="paragraph" w:styleId="19">
    <w:name w:val="Balloon Text"/>
    <w:basedOn w:val="1"/>
    <w:semiHidden/>
    <w:uiPriority w:val="0"/>
    <w:rPr>
      <w:sz w:val="18"/>
      <w:szCs w:val="18"/>
    </w:rPr>
  </w:style>
  <w:style w:type="paragraph" w:styleId="20">
    <w:name w:val="footer"/>
    <w:basedOn w:val="1"/>
    <w:link w:val="53"/>
    <w:uiPriority w:val="99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21">
    <w:name w:val="header"/>
    <w:basedOn w:val="1"/>
    <w:link w:val="4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22">
    <w:name w:val="toc 1"/>
    <w:basedOn w:val="1"/>
    <w:next w:val="1"/>
    <w:semiHidden/>
    <w:uiPriority w:val="0"/>
    <w:pPr>
      <w:tabs>
        <w:tab w:val="right" w:leader="dot" w:pos="9017"/>
      </w:tabs>
      <w:spacing w:line="460" w:lineRule="exact"/>
    </w:pPr>
    <w:rPr>
      <w:rFonts w:ascii="楷体_GB2312" w:eastAsia="楷体_GB2312"/>
      <w:b/>
      <w:bCs/>
      <w:sz w:val="30"/>
      <w:szCs w:val="30"/>
      <w:lang/>
    </w:rPr>
  </w:style>
  <w:style w:type="paragraph" w:styleId="23">
    <w:name w:val="toc 4"/>
    <w:basedOn w:val="1"/>
    <w:next w:val="1"/>
    <w:semiHidden/>
    <w:uiPriority w:val="0"/>
    <w:pPr>
      <w:ind w:left="1260" w:leftChars="600"/>
    </w:pPr>
  </w:style>
  <w:style w:type="paragraph" w:styleId="24">
    <w:name w:val="toc 6"/>
    <w:basedOn w:val="1"/>
    <w:next w:val="1"/>
    <w:semiHidden/>
    <w:uiPriority w:val="0"/>
    <w:pPr>
      <w:ind w:left="2100" w:leftChars="1000"/>
    </w:pPr>
  </w:style>
  <w:style w:type="paragraph" w:styleId="25">
    <w:name w:val="Body Text Indent 3"/>
    <w:basedOn w:val="1"/>
    <w:semiHidden/>
    <w:uiPriority w:val="0"/>
    <w:pPr>
      <w:spacing w:line="360" w:lineRule="auto"/>
      <w:ind w:left="600" w:firstLine="555"/>
      <w:outlineLvl w:val="0"/>
    </w:pPr>
    <w:rPr>
      <w:rFonts w:ascii="楷体_GB2312" w:eastAsia="楷体_GB2312"/>
      <w:kern w:val="2"/>
      <w:sz w:val="28"/>
    </w:rPr>
  </w:style>
  <w:style w:type="paragraph" w:styleId="26">
    <w:name w:val="toc 2"/>
    <w:basedOn w:val="1"/>
    <w:next w:val="1"/>
    <w:semiHidden/>
    <w:uiPriority w:val="0"/>
    <w:pPr>
      <w:ind w:left="420" w:leftChars="200"/>
    </w:pPr>
  </w:style>
  <w:style w:type="paragraph" w:styleId="27">
    <w:name w:val="toc 9"/>
    <w:basedOn w:val="1"/>
    <w:next w:val="1"/>
    <w:semiHidden/>
    <w:uiPriority w:val="0"/>
    <w:pPr>
      <w:ind w:left="3360" w:leftChars="1600"/>
    </w:pPr>
  </w:style>
  <w:style w:type="paragraph" w:styleId="28">
    <w:name w:val="Body Text 2"/>
    <w:basedOn w:val="1"/>
    <w:semiHidden/>
    <w:uiPriority w:val="0"/>
    <w:pPr>
      <w:spacing w:line="360" w:lineRule="auto"/>
      <w:ind w:right="2"/>
    </w:pPr>
    <w:rPr>
      <w:rFonts w:eastAsia="仿宋_GB2312"/>
      <w:sz w:val="28"/>
    </w:rPr>
  </w:style>
  <w:style w:type="paragraph" w:styleId="29">
    <w:name w:val="Normal (Web)"/>
    <w:basedOn w:val="1"/>
    <w:semiHidden/>
    <w:uiPriority w:val="0"/>
    <w:pPr>
      <w:widowControl/>
      <w:adjustRightInd/>
      <w:spacing w:line="360" w:lineRule="auto"/>
      <w:textAlignment w:val="auto"/>
    </w:pPr>
    <w:rPr>
      <w:rFonts w:ascii="宋体" w:hAnsi="宋体"/>
      <w:sz w:val="18"/>
      <w:szCs w:val="18"/>
    </w:rPr>
  </w:style>
  <w:style w:type="paragraph" w:styleId="30">
    <w:name w:val="annotation subject"/>
    <w:basedOn w:val="10"/>
    <w:next w:val="10"/>
    <w:semiHidden/>
    <w:uiPriority w:val="0"/>
    <w:rPr>
      <w:b/>
      <w:bCs/>
    </w:rPr>
  </w:style>
  <w:style w:type="paragraph" w:styleId="31">
    <w:name w:val="Body Text First Indent"/>
    <w:basedOn w:val="11"/>
    <w:semiHidden/>
    <w:uiPriority w:val="0"/>
    <w:pPr>
      <w:adjustRightInd/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table" w:styleId="33">
    <w:name w:val="Table Grid"/>
    <w:basedOn w:val="32"/>
    <w:uiPriority w:val="59"/>
    <w:tblPr>
      <w:tblStyle w:val="3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semiHidden/>
    <w:uiPriority w:val="0"/>
  </w:style>
  <w:style w:type="character" w:styleId="37">
    <w:name w:val="FollowedHyperlink"/>
    <w:semiHidden/>
    <w:uiPriority w:val="0"/>
    <w:rPr>
      <w:color w:val="800080"/>
      <w:u w:val="single"/>
    </w:rPr>
  </w:style>
  <w:style w:type="character" w:styleId="38">
    <w:name w:val="Hyperlink"/>
    <w:semiHidden/>
    <w:uiPriority w:val="0"/>
    <w:rPr>
      <w:color w:val="0000FF"/>
      <w:u w:val="single"/>
    </w:rPr>
  </w:style>
  <w:style w:type="character" w:styleId="39">
    <w:name w:val="annotation reference"/>
    <w:semiHidden/>
    <w:uiPriority w:val="0"/>
    <w:rPr>
      <w:sz w:val="21"/>
      <w:szCs w:val="21"/>
    </w:rPr>
  </w:style>
  <w:style w:type="paragraph" w:customStyle="1" w:styleId="40">
    <w:name w:val="xl25"/>
    <w:basedOn w:val="1"/>
    <w:uiPriority w:val="0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宋体" w:hAnsi="宋体"/>
      <w:szCs w:val="24"/>
    </w:rPr>
  </w:style>
  <w:style w:type="paragraph" w:customStyle="1" w:styleId="41">
    <w:name w:val="xl2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eastAsia="Arial Unicode MS"/>
      <w:szCs w:val="24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paragraph" w:customStyle="1" w:styleId="43">
    <w:name w:val="font5"/>
    <w:basedOn w:val="1"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hint="eastAsia" w:ascii="宋体" w:hAnsi="宋体"/>
      <w:sz w:val="18"/>
      <w:szCs w:val="18"/>
    </w:rPr>
  </w:style>
  <w:style w:type="paragraph" w:customStyle="1" w:styleId="44">
    <w:name w:val="xl33"/>
    <w:basedOn w:val="1"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 Unicode MS" w:hAnsi="Arial Unicode MS"/>
      <w:b/>
      <w:bCs/>
      <w:szCs w:val="24"/>
    </w:rPr>
  </w:style>
  <w:style w:type="paragraph" w:customStyle="1" w:styleId="45">
    <w:name w:val="Normal"/>
    <w:uiPriority w:val="0"/>
    <w:pPr>
      <w:widowControl w:val="0"/>
      <w:adjustRightInd w:val="0"/>
      <w:spacing w:line="360" w:lineRule="atLeast"/>
      <w:textAlignment w:val="baseline"/>
    </w:pPr>
    <w:rPr>
      <w:rFonts w:ascii="宋体"/>
      <w:sz w:val="34"/>
      <w:lang w:val="en-US" w:eastAsia="zh-CN" w:bidi="ar-SA"/>
    </w:rPr>
  </w:style>
  <w:style w:type="paragraph" w:customStyle="1" w:styleId="46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Unicode MS" w:hAnsi="Arial Unicode MS"/>
      <w:sz w:val="20"/>
    </w:rPr>
  </w:style>
  <w:style w:type="paragraph" w:customStyle="1" w:styleId="47">
    <w:name w:val="Char Char1 Char"/>
    <w:basedOn w:val="1"/>
    <w:uiPriority w:val="0"/>
    <w:pPr>
      <w:adjustRightInd/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character" w:customStyle="1" w:styleId="48">
    <w:name w:val="标题 5 Char"/>
    <w:uiPriority w:val="0"/>
    <w:rPr>
      <w:rFonts w:ascii="楷体_GB2312" w:eastAsia="楷体_GB2312"/>
      <w:color w:val="000000"/>
      <w:sz w:val="28"/>
    </w:rPr>
  </w:style>
  <w:style w:type="character" w:customStyle="1" w:styleId="49">
    <w:name w:val="页眉 Char"/>
    <w:link w:val="21"/>
    <w:uiPriority w:val="99"/>
    <w:rPr>
      <w:sz w:val="18"/>
    </w:rPr>
  </w:style>
  <w:style w:type="character" w:customStyle="1" w:styleId="50">
    <w:name w:val="日期 Char"/>
    <w:link w:val="17"/>
    <w:semiHidden/>
    <w:uiPriority w:val="0"/>
    <w:rPr>
      <w:rFonts w:ascii="楷体_GB2312" w:eastAsia="楷体_GB2312"/>
      <w:b/>
      <w:sz w:val="28"/>
    </w:rPr>
  </w:style>
  <w:style w:type="character" w:customStyle="1" w:styleId="51">
    <w:name w:val="nr1"/>
    <w:uiPriority w:val="0"/>
    <w:rPr>
      <w:rFonts w:hint="eastAsia" w:ascii="楷体_GB2312" w:eastAsia="楷体_GB2312"/>
      <w:color w:val="000000"/>
      <w:sz w:val="24"/>
      <w:szCs w:val="24"/>
    </w:rPr>
  </w:style>
  <w:style w:type="character" w:customStyle="1" w:styleId="52">
    <w:name w:val="t12h291"/>
    <w:uiPriority w:val="0"/>
    <w:rPr>
      <w:color w:val="000000"/>
      <w:sz w:val="24"/>
      <w:szCs w:val="24"/>
    </w:rPr>
  </w:style>
  <w:style w:type="character" w:customStyle="1" w:styleId="53">
    <w:name w:val="页脚 Char"/>
    <w:link w:val="20"/>
    <w:uiPriority w:val="99"/>
    <w:rPr>
      <w:sz w:val="18"/>
    </w:rPr>
  </w:style>
  <w:style w:type="character" w:customStyle="1" w:styleId="54">
    <w:name w:val="text1"/>
    <w:uiPriority w:val="0"/>
    <w:rPr>
      <w:spacing w:val="10"/>
      <w:sz w:val="28"/>
      <w:szCs w:val="28"/>
    </w:rPr>
  </w:style>
  <w:style w:type="character" w:customStyle="1" w:styleId="55">
    <w:name w:val="文档结构图 Char"/>
    <w:link w:val="9"/>
    <w:semiHidden/>
    <w:uiPriority w:val="0"/>
    <w:rPr>
      <w:sz w:val="24"/>
      <w:shd w:val="clear" w:color="auto" w:fill="000080"/>
    </w:rPr>
  </w:style>
  <w:style w:type="character" w:customStyle="1" w:styleId="56">
    <w:name w:val="unnamed11"/>
    <w:uiPriority w:val="0"/>
    <w:rPr>
      <w:rFonts w:hint="eastAsia" w:ascii="宋体" w:hAnsi="宋体" w:eastAsia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\cl\&#38108;&#29275;&#38598;&#22242;&#223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铜牛集团地.dot</Template>
  <Company>sps</Company>
  <Pages>4</Pages>
  <Words>282</Words>
  <Characters>1608</Characters>
  <Lines>13</Lines>
  <Paragraphs>3</Paragraphs>
  <TotalTime>0</TotalTime>
  <ScaleCrop>false</ScaleCrop>
  <LinksUpToDate>false</LinksUpToDate>
  <CharactersWithSpaces>1887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2021-01-20T08:39:00Z</dcterms:created>
  <dc:creator>djg</dc:creator>
  <cp:lastModifiedBy>Administrator</cp:lastModifiedBy>
  <cp:lastPrinted>2013-05-02T10:22:00Z</cp:lastPrinted>
  <dcterms:modified xsi:type="dcterms:W3CDTF">2021-01-20T08:51:35Z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