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9B874" w14:textId="59D49722" w:rsidR="00452B7F" w:rsidRPr="00833278" w:rsidRDefault="00FB5409" w:rsidP="00FB5409">
      <w:pPr>
        <w:jc w:val="center"/>
        <w:rPr>
          <w:rFonts w:ascii="Arial" w:eastAsia="仿宋_GB2312" w:hAnsi="Arial" w:cs="Arial"/>
          <w:b/>
          <w:bCs/>
          <w:sz w:val="36"/>
          <w:szCs w:val="28"/>
        </w:rPr>
      </w:pPr>
      <w:r w:rsidRPr="00833278">
        <w:rPr>
          <w:rFonts w:ascii="Arial" w:eastAsia="仿宋_GB2312" w:hAnsi="Arial" w:cs="Arial" w:hint="eastAsia"/>
          <w:b/>
          <w:bCs/>
          <w:sz w:val="36"/>
          <w:szCs w:val="28"/>
        </w:rPr>
        <w:t>情况说明</w:t>
      </w:r>
    </w:p>
    <w:p w14:paraId="4BB6D296" w14:textId="3FB99929" w:rsidR="00FB5409" w:rsidRDefault="00FB5409"/>
    <w:p w14:paraId="4E359D79" w14:textId="5BA22FF2" w:rsidR="00FB5409" w:rsidRDefault="00FB5409" w:rsidP="00FB5409">
      <w:pPr>
        <w:spacing w:line="360" w:lineRule="auto"/>
        <w:ind w:firstLineChars="201" w:firstLine="563"/>
        <w:rPr>
          <w:rFonts w:ascii="Arial" w:eastAsia="仿宋_GB2312" w:hAnsi="Arial" w:cs="Arial"/>
          <w:sz w:val="28"/>
        </w:rPr>
      </w:pPr>
      <w:r w:rsidRPr="00FB5409">
        <w:rPr>
          <w:rFonts w:ascii="Arial" w:eastAsia="仿宋_GB2312" w:hAnsi="Arial" w:cs="Arial" w:hint="eastAsia"/>
          <w:sz w:val="28"/>
        </w:rPr>
        <w:t>我司于</w:t>
      </w:r>
      <w:r w:rsidRPr="00FB5409">
        <w:rPr>
          <w:rFonts w:ascii="Arial" w:eastAsia="仿宋_GB2312" w:hAnsi="Arial" w:cs="Arial" w:hint="eastAsia"/>
          <w:sz w:val="28"/>
        </w:rPr>
        <w:t>2</w:t>
      </w:r>
      <w:r w:rsidRPr="00FB5409">
        <w:rPr>
          <w:rFonts w:ascii="Arial" w:eastAsia="仿宋_GB2312" w:hAnsi="Arial" w:cs="Arial"/>
          <w:sz w:val="28"/>
        </w:rPr>
        <w:t>018</w:t>
      </w:r>
      <w:r w:rsidRPr="00FB5409">
        <w:rPr>
          <w:rFonts w:ascii="Arial" w:eastAsia="仿宋_GB2312" w:hAnsi="Arial" w:cs="Arial" w:hint="eastAsia"/>
          <w:sz w:val="28"/>
        </w:rPr>
        <w:t>年</w:t>
      </w:r>
      <w:r w:rsidRPr="00FB5409">
        <w:rPr>
          <w:rFonts w:ascii="Arial" w:eastAsia="仿宋_GB2312" w:hAnsi="Arial" w:cs="Arial" w:hint="eastAsia"/>
          <w:sz w:val="28"/>
        </w:rPr>
        <w:t>1</w:t>
      </w:r>
      <w:r w:rsidRPr="00FB5409">
        <w:rPr>
          <w:rFonts w:ascii="Arial" w:eastAsia="仿宋_GB2312" w:hAnsi="Arial" w:cs="Arial"/>
          <w:sz w:val="28"/>
        </w:rPr>
        <w:t>2</w:t>
      </w:r>
      <w:r w:rsidRPr="00FB5409">
        <w:rPr>
          <w:rFonts w:ascii="Arial" w:eastAsia="仿宋_GB2312" w:hAnsi="Arial" w:cs="Arial" w:hint="eastAsia"/>
          <w:sz w:val="28"/>
        </w:rPr>
        <w:t>月</w:t>
      </w:r>
      <w:r w:rsidRPr="00FB5409">
        <w:rPr>
          <w:rFonts w:ascii="Arial" w:eastAsia="仿宋_GB2312" w:hAnsi="Arial" w:cs="Arial" w:hint="eastAsia"/>
          <w:sz w:val="28"/>
        </w:rPr>
        <w:t>2</w:t>
      </w:r>
      <w:r w:rsidRPr="00FB5409">
        <w:rPr>
          <w:rFonts w:ascii="Arial" w:eastAsia="仿宋_GB2312" w:hAnsi="Arial" w:cs="Arial"/>
          <w:sz w:val="28"/>
        </w:rPr>
        <w:t>1</w:t>
      </w:r>
      <w:r w:rsidRPr="00FB5409">
        <w:rPr>
          <w:rFonts w:ascii="Arial" w:eastAsia="仿宋_GB2312" w:hAnsi="Arial" w:cs="Arial" w:hint="eastAsia"/>
          <w:sz w:val="28"/>
        </w:rPr>
        <w:t>日出具北京市海淀区西三旗北京五星青岛啤酒有限公司项目国有土地使用权收购补偿价格评估报告。</w:t>
      </w:r>
      <w:r w:rsidR="00903718">
        <w:rPr>
          <w:rFonts w:ascii="Arial" w:eastAsia="仿宋_GB2312" w:hAnsi="Arial" w:cs="Arial" w:hint="eastAsia"/>
          <w:sz w:val="28"/>
        </w:rPr>
        <w:t>估价结果</w:t>
      </w:r>
      <w:r w:rsidR="00903718">
        <w:rPr>
          <w:rFonts w:ascii="Arial" w:eastAsia="仿宋_GB2312" w:hAnsi="Arial" w:cs="Arial"/>
          <w:sz w:val="28"/>
        </w:rPr>
        <w:t>为</w:t>
      </w:r>
      <w:r w:rsidRPr="00FB5409">
        <w:rPr>
          <w:rFonts w:ascii="Arial" w:eastAsia="仿宋_GB2312" w:hAnsi="Arial" w:cs="Arial" w:hint="eastAsia"/>
          <w:sz w:val="28"/>
        </w:rPr>
        <w:t>于估价期日</w:t>
      </w:r>
      <w:r w:rsidRPr="00FB5409">
        <w:rPr>
          <w:rFonts w:ascii="Arial" w:eastAsia="仿宋_GB2312" w:hAnsi="Arial" w:cs="Arial" w:hint="eastAsia"/>
          <w:sz w:val="28"/>
        </w:rPr>
        <w:t>2</w:t>
      </w:r>
      <w:r w:rsidRPr="00FB5409">
        <w:rPr>
          <w:rFonts w:ascii="Arial" w:eastAsia="仿宋_GB2312" w:hAnsi="Arial" w:cs="Arial"/>
          <w:sz w:val="28"/>
        </w:rPr>
        <w:t>018</w:t>
      </w:r>
      <w:r w:rsidRPr="00FB5409">
        <w:rPr>
          <w:rFonts w:ascii="Arial" w:eastAsia="仿宋_GB2312" w:hAnsi="Arial" w:cs="Arial" w:hint="eastAsia"/>
          <w:sz w:val="28"/>
        </w:rPr>
        <w:t>年</w:t>
      </w:r>
      <w:r w:rsidRPr="00FB5409">
        <w:rPr>
          <w:rFonts w:ascii="Arial" w:eastAsia="仿宋_GB2312" w:hAnsi="Arial" w:cs="Arial" w:hint="eastAsia"/>
          <w:sz w:val="28"/>
        </w:rPr>
        <w:t>5</w:t>
      </w:r>
      <w:r w:rsidRPr="00FB5409">
        <w:rPr>
          <w:rFonts w:ascii="Arial" w:eastAsia="仿宋_GB2312" w:hAnsi="Arial" w:cs="Arial" w:hint="eastAsia"/>
          <w:sz w:val="28"/>
        </w:rPr>
        <w:t>月</w:t>
      </w:r>
      <w:r w:rsidRPr="00FB5409">
        <w:rPr>
          <w:rFonts w:ascii="Arial" w:eastAsia="仿宋_GB2312" w:hAnsi="Arial" w:cs="Arial" w:hint="eastAsia"/>
          <w:sz w:val="28"/>
        </w:rPr>
        <w:t>3</w:t>
      </w:r>
      <w:r w:rsidRPr="00FB5409">
        <w:rPr>
          <w:rFonts w:ascii="Arial" w:eastAsia="仿宋_GB2312" w:hAnsi="Arial" w:cs="Arial"/>
          <w:sz w:val="28"/>
        </w:rPr>
        <w:t>1</w:t>
      </w:r>
      <w:r w:rsidRPr="00FB5409">
        <w:rPr>
          <w:rFonts w:ascii="Arial" w:eastAsia="仿宋_GB2312" w:hAnsi="Arial" w:cs="Arial" w:hint="eastAsia"/>
          <w:sz w:val="28"/>
        </w:rPr>
        <w:t>日，估价对象土地取得费及相关税费单价为</w:t>
      </w:r>
      <w:r w:rsidRPr="00FB5409">
        <w:rPr>
          <w:rFonts w:ascii="Arial" w:eastAsia="仿宋_GB2312" w:hAnsi="Arial" w:cs="Arial" w:hint="eastAsia"/>
          <w:sz w:val="28"/>
        </w:rPr>
        <w:t>9</w:t>
      </w:r>
      <w:r w:rsidRPr="00FB5409">
        <w:rPr>
          <w:rFonts w:ascii="Arial" w:eastAsia="仿宋_GB2312" w:hAnsi="Arial" w:cs="Arial"/>
          <w:sz w:val="28"/>
        </w:rPr>
        <w:t>037</w:t>
      </w:r>
      <w:r w:rsidRPr="00FB5409">
        <w:rPr>
          <w:rFonts w:ascii="Arial" w:eastAsia="仿宋_GB2312" w:hAnsi="Arial" w:cs="Arial" w:hint="eastAsia"/>
          <w:sz w:val="28"/>
        </w:rPr>
        <w:t>元</w:t>
      </w:r>
      <w:r w:rsidRPr="00FB5409">
        <w:rPr>
          <w:rFonts w:ascii="Arial" w:eastAsia="仿宋_GB2312" w:hAnsi="Arial" w:cs="Arial" w:hint="eastAsia"/>
          <w:sz w:val="28"/>
        </w:rPr>
        <w:t>/</w:t>
      </w:r>
      <w:r w:rsidRPr="00FB5409">
        <w:rPr>
          <w:rFonts w:ascii="Arial" w:eastAsia="仿宋_GB2312" w:hAnsi="Arial" w:cs="Arial" w:hint="eastAsia"/>
          <w:sz w:val="28"/>
        </w:rPr>
        <w:t>平方米。</w:t>
      </w:r>
    </w:p>
    <w:p w14:paraId="78164714" w14:textId="07909A16" w:rsidR="0018219F" w:rsidRPr="00FB5409" w:rsidRDefault="0018219F" w:rsidP="00FB5409">
      <w:pPr>
        <w:spacing w:line="360" w:lineRule="auto"/>
        <w:ind w:firstLineChars="201" w:firstLine="563"/>
        <w:rPr>
          <w:rFonts w:ascii="Arial" w:eastAsia="仿宋_GB2312" w:hAnsi="Arial" w:cs="Arial" w:hint="eastAsia"/>
          <w:sz w:val="28"/>
        </w:rPr>
      </w:pPr>
      <w:r>
        <w:rPr>
          <w:rFonts w:ascii="Arial" w:eastAsia="仿宋_GB2312" w:hAnsi="Arial" w:cs="Arial" w:hint="eastAsia"/>
          <w:sz w:val="28"/>
        </w:rPr>
        <w:t>根据委托方</w:t>
      </w:r>
      <w:r>
        <w:rPr>
          <w:rFonts w:ascii="Arial" w:eastAsia="仿宋_GB2312" w:hAnsi="Arial" w:cs="Arial"/>
          <w:sz w:val="28"/>
        </w:rPr>
        <w:t>要求，现需要确认自报告出具日至今的</w:t>
      </w:r>
      <w:r w:rsidR="0054150B" w:rsidRPr="00FB5409">
        <w:rPr>
          <w:rFonts w:ascii="Arial" w:eastAsia="仿宋_GB2312" w:hAnsi="Arial" w:cs="Arial" w:hint="eastAsia"/>
          <w:sz w:val="28"/>
        </w:rPr>
        <w:t>土地取得费</w:t>
      </w:r>
      <w:r w:rsidR="0054150B">
        <w:rPr>
          <w:rFonts w:ascii="Arial" w:eastAsia="仿宋_GB2312" w:hAnsi="Arial" w:cs="Arial" w:hint="eastAsia"/>
          <w:sz w:val="28"/>
        </w:rPr>
        <w:t>水平</w:t>
      </w:r>
      <w:r>
        <w:rPr>
          <w:rFonts w:ascii="Arial" w:eastAsia="仿宋_GB2312" w:hAnsi="Arial" w:cs="Arial"/>
          <w:sz w:val="28"/>
        </w:rPr>
        <w:t>变动情况。</w:t>
      </w:r>
    </w:p>
    <w:p w14:paraId="197EA266" w14:textId="4ADC32C3" w:rsidR="00FB5409" w:rsidRDefault="00903718" w:rsidP="00FB5409">
      <w:pPr>
        <w:spacing w:line="360" w:lineRule="auto"/>
        <w:ind w:firstLineChars="201" w:firstLine="563"/>
        <w:rPr>
          <w:rFonts w:ascii="Arial" w:eastAsia="仿宋_GB2312" w:hAnsi="Arial" w:cs="Arial"/>
          <w:sz w:val="28"/>
        </w:rPr>
      </w:pPr>
      <w:r>
        <w:rPr>
          <w:rFonts w:ascii="Arial" w:eastAsia="仿宋_GB2312" w:hAnsi="Arial" w:cs="Arial" w:hint="eastAsia"/>
          <w:sz w:val="28"/>
        </w:rPr>
        <w:t>评估</w:t>
      </w:r>
      <w:r w:rsidR="0018219F">
        <w:rPr>
          <w:rFonts w:ascii="Arial" w:eastAsia="仿宋_GB2312" w:hAnsi="Arial" w:cs="Arial" w:hint="eastAsia"/>
          <w:sz w:val="28"/>
        </w:rPr>
        <w:t>专业</w:t>
      </w:r>
      <w:r>
        <w:rPr>
          <w:rFonts w:ascii="Arial" w:eastAsia="仿宋_GB2312" w:hAnsi="Arial" w:cs="Arial"/>
          <w:sz w:val="28"/>
        </w:rPr>
        <w:t>人员</w:t>
      </w:r>
      <w:r w:rsidR="00FB5409" w:rsidRPr="00C0738D">
        <w:rPr>
          <w:rFonts w:ascii="Arial" w:eastAsia="仿宋_GB2312" w:hAnsi="Arial" w:cs="Arial" w:hint="eastAsia"/>
          <w:sz w:val="28"/>
        </w:rPr>
        <w:t>收集到</w:t>
      </w:r>
      <w:r w:rsidR="0018219F">
        <w:rPr>
          <w:rFonts w:ascii="Arial" w:eastAsia="仿宋_GB2312" w:hAnsi="Arial" w:cs="Arial" w:hint="eastAsia"/>
          <w:sz w:val="28"/>
        </w:rPr>
        <w:t>2019</w:t>
      </w:r>
      <w:r w:rsidR="0018219F">
        <w:rPr>
          <w:rFonts w:ascii="Arial" w:eastAsia="仿宋_GB2312" w:hAnsi="Arial" w:cs="Arial" w:hint="eastAsia"/>
          <w:sz w:val="28"/>
        </w:rPr>
        <w:t>年</w:t>
      </w:r>
      <w:r w:rsidR="0018219F">
        <w:rPr>
          <w:rFonts w:ascii="Arial" w:eastAsia="仿宋_GB2312" w:hAnsi="Arial" w:cs="Arial"/>
          <w:sz w:val="28"/>
        </w:rPr>
        <w:t>至</w:t>
      </w:r>
      <w:r w:rsidR="0018219F">
        <w:rPr>
          <w:rFonts w:ascii="Arial" w:eastAsia="仿宋_GB2312" w:hAnsi="Arial" w:cs="Arial" w:hint="eastAsia"/>
          <w:sz w:val="28"/>
        </w:rPr>
        <w:t>2021</w:t>
      </w:r>
      <w:r w:rsidR="0018219F">
        <w:rPr>
          <w:rFonts w:ascii="Arial" w:eastAsia="仿宋_GB2312" w:hAnsi="Arial" w:cs="Arial" w:hint="eastAsia"/>
          <w:sz w:val="28"/>
        </w:rPr>
        <w:t>年</w:t>
      </w:r>
      <w:r w:rsidR="00FB5409" w:rsidRPr="00C0738D">
        <w:rPr>
          <w:rFonts w:ascii="Arial" w:eastAsia="仿宋_GB2312" w:hAnsi="Arial" w:cs="Arial" w:hint="eastAsia"/>
          <w:sz w:val="28"/>
        </w:rPr>
        <w:t>与估价对象相同或相邻区域的海淀</w:t>
      </w:r>
      <w:r w:rsidR="00FB5409">
        <w:rPr>
          <w:rFonts w:ascii="Arial" w:eastAsia="仿宋_GB2312" w:hAnsi="Arial" w:cs="Arial" w:hint="eastAsia"/>
          <w:sz w:val="28"/>
        </w:rPr>
        <w:t>区</w:t>
      </w:r>
      <w:r w:rsidR="00FB5409" w:rsidRPr="00C0738D">
        <w:rPr>
          <w:rFonts w:ascii="Arial" w:eastAsia="仿宋_GB2312" w:hAnsi="Arial" w:cs="Arial" w:hint="eastAsia"/>
          <w:sz w:val="28"/>
        </w:rPr>
        <w:t>、朝阳</w:t>
      </w:r>
      <w:r w:rsidR="00FB5409">
        <w:rPr>
          <w:rFonts w:ascii="Arial" w:eastAsia="仿宋_GB2312" w:hAnsi="Arial" w:cs="Arial" w:hint="eastAsia"/>
          <w:sz w:val="28"/>
        </w:rPr>
        <w:t>区</w:t>
      </w:r>
      <w:r w:rsidR="00FB5409" w:rsidRPr="00C0738D">
        <w:rPr>
          <w:rFonts w:ascii="Arial" w:eastAsia="仿宋_GB2312" w:hAnsi="Arial" w:cs="Arial" w:hint="eastAsia"/>
          <w:sz w:val="28"/>
        </w:rPr>
        <w:t>、石景山</w:t>
      </w:r>
      <w:r w:rsidR="00FB5409">
        <w:rPr>
          <w:rFonts w:ascii="Arial" w:eastAsia="仿宋_GB2312" w:hAnsi="Arial" w:cs="Arial" w:hint="eastAsia"/>
          <w:sz w:val="28"/>
        </w:rPr>
        <w:t>区</w:t>
      </w:r>
      <w:r w:rsidR="00FB5409" w:rsidRPr="00C0738D">
        <w:rPr>
          <w:rFonts w:ascii="Arial" w:eastAsia="仿宋_GB2312" w:hAnsi="Arial" w:cs="Arial" w:hint="eastAsia"/>
          <w:sz w:val="28"/>
        </w:rPr>
        <w:t>、丰台</w:t>
      </w:r>
      <w:r w:rsidR="00FB5409">
        <w:rPr>
          <w:rFonts w:ascii="Arial" w:eastAsia="仿宋_GB2312" w:hAnsi="Arial" w:cs="Arial" w:hint="eastAsia"/>
          <w:sz w:val="28"/>
        </w:rPr>
        <w:t>区</w:t>
      </w:r>
      <w:r w:rsidR="00833278">
        <w:rPr>
          <w:rFonts w:ascii="Arial" w:eastAsia="仿宋_GB2312" w:hAnsi="Arial" w:cs="Arial" w:hint="eastAsia"/>
          <w:sz w:val="28"/>
        </w:rPr>
        <w:t>，</w:t>
      </w:r>
      <w:r w:rsidR="00FB5409">
        <w:rPr>
          <w:rFonts w:ascii="Arial" w:eastAsia="仿宋_GB2312" w:hAnsi="Arial" w:cs="Arial" w:hint="eastAsia"/>
          <w:sz w:val="28"/>
        </w:rPr>
        <w:t>自报告出具日至今</w:t>
      </w:r>
      <w:r w:rsidR="00FB5409" w:rsidRPr="00C0738D">
        <w:rPr>
          <w:rFonts w:ascii="Arial" w:eastAsia="仿宋_GB2312" w:hAnsi="Arial" w:cs="Arial" w:hint="eastAsia"/>
          <w:sz w:val="28"/>
        </w:rPr>
        <w:t>的土地一级开发项目具体情况如下</w:t>
      </w:r>
      <w:r w:rsidR="00FB5409">
        <w:rPr>
          <w:rFonts w:ascii="Arial" w:eastAsia="仿宋_GB2312" w:hAnsi="Arial" w:cs="Arial" w:hint="eastAsia"/>
          <w:sz w:val="28"/>
        </w:rPr>
        <w:t>：</w:t>
      </w:r>
    </w:p>
    <w:tbl>
      <w:tblPr>
        <w:tblW w:w="5000" w:type="pct"/>
        <w:tblLook w:val="04A0" w:firstRow="1" w:lastRow="0" w:firstColumn="1" w:lastColumn="0" w:noHBand="0" w:noVBand="1"/>
      </w:tblPr>
      <w:tblGrid>
        <w:gridCol w:w="694"/>
        <w:gridCol w:w="908"/>
        <w:gridCol w:w="836"/>
        <w:gridCol w:w="961"/>
        <w:gridCol w:w="2409"/>
        <w:gridCol w:w="1254"/>
        <w:gridCol w:w="1234"/>
      </w:tblGrid>
      <w:tr w:rsidR="00833278" w:rsidRPr="00833278" w14:paraId="4CFD7E9F" w14:textId="77777777" w:rsidTr="00833278">
        <w:trPr>
          <w:trHeight w:val="885"/>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28251"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hint="eastAsia"/>
                <w:color w:val="000000"/>
                <w:kern w:val="0"/>
                <w:sz w:val="22"/>
              </w:rPr>
              <w:t>序号</w:t>
            </w:r>
          </w:p>
        </w:tc>
        <w:tc>
          <w:tcPr>
            <w:tcW w:w="5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6E1924"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hint="eastAsia"/>
                <w:color w:val="000000"/>
                <w:kern w:val="0"/>
                <w:sz w:val="22"/>
              </w:rPr>
              <w:t>年度</w:t>
            </w:r>
          </w:p>
        </w:tc>
        <w:tc>
          <w:tcPr>
            <w:tcW w:w="5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C7715E"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hint="eastAsia"/>
                <w:color w:val="000000"/>
                <w:kern w:val="0"/>
                <w:sz w:val="22"/>
              </w:rPr>
              <w:t>期次</w:t>
            </w:r>
          </w:p>
        </w:tc>
        <w:tc>
          <w:tcPr>
            <w:tcW w:w="5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54E8C2"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hint="eastAsia"/>
                <w:color w:val="000000"/>
                <w:kern w:val="0"/>
                <w:sz w:val="22"/>
              </w:rPr>
              <w:t>区县</w:t>
            </w:r>
          </w:p>
        </w:tc>
        <w:tc>
          <w:tcPr>
            <w:tcW w:w="14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722A80"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hint="eastAsia"/>
                <w:color w:val="000000"/>
                <w:kern w:val="0"/>
                <w:sz w:val="22"/>
              </w:rPr>
              <w:t>项目名称</w:t>
            </w:r>
          </w:p>
        </w:tc>
        <w:tc>
          <w:tcPr>
            <w:tcW w:w="75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D54A0A"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hint="eastAsia"/>
                <w:color w:val="000000"/>
                <w:kern w:val="0"/>
                <w:sz w:val="22"/>
              </w:rPr>
              <w:t>市政条件</w:t>
            </w:r>
          </w:p>
        </w:tc>
        <w:tc>
          <w:tcPr>
            <w:tcW w:w="7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863DCC"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hint="eastAsia"/>
                <w:color w:val="000000"/>
                <w:kern w:val="0"/>
                <w:sz w:val="22"/>
              </w:rPr>
              <w:t>单位面积成本（元</w:t>
            </w:r>
            <w:r w:rsidRPr="00833278">
              <w:rPr>
                <w:rFonts w:ascii="Arial" w:eastAsia="宋体" w:hAnsi="Arial" w:cs="Arial"/>
                <w:color w:val="000000"/>
                <w:kern w:val="0"/>
                <w:sz w:val="22"/>
              </w:rPr>
              <w:t>/</w:t>
            </w:r>
            <w:r w:rsidRPr="00833278">
              <w:rPr>
                <w:rFonts w:ascii="Arial" w:eastAsia="宋体" w:hAnsi="Arial" w:cs="Arial" w:hint="eastAsia"/>
                <w:color w:val="000000"/>
                <w:kern w:val="0"/>
                <w:sz w:val="22"/>
              </w:rPr>
              <w:t>㎡）</w:t>
            </w:r>
          </w:p>
        </w:tc>
      </w:tr>
      <w:tr w:rsidR="00833278" w:rsidRPr="00833278" w14:paraId="1D0E27D2" w14:textId="77777777" w:rsidTr="00833278">
        <w:trPr>
          <w:trHeight w:val="915"/>
        </w:trPr>
        <w:tc>
          <w:tcPr>
            <w:tcW w:w="418"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33EF667D"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1</w:t>
            </w:r>
          </w:p>
        </w:tc>
        <w:tc>
          <w:tcPr>
            <w:tcW w:w="547" w:type="pct"/>
            <w:tcBorders>
              <w:top w:val="single" w:sz="4" w:space="0" w:color="auto"/>
              <w:left w:val="nil"/>
              <w:bottom w:val="single" w:sz="8" w:space="0" w:color="auto"/>
              <w:right w:val="single" w:sz="8" w:space="0" w:color="auto"/>
            </w:tcBorders>
            <w:shd w:val="clear" w:color="000000" w:fill="FFFFFF"/>
            <w:vAlign w:val="center"/>
            <w:hideMark/>
          </w:tcPr>
          <w:p w14:paraId="023BA341"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2019</w:t>
            </w:r>
          </w:p>
        </w:tc>
        <w:tc>
          <w:tcPr>
            <w:tcW w:w="504" w:type="pct"/>
            <w:tcBorders>
              <w:top w:val="single" w:sz="4" w:space="0" w:color="auto"/>
              <w:left w:val="nil"/>
              <w:bottom w:val="single" w:sz="8" w:space="0" w:color="auto"/>
              <w:right w:val="single" w:sz="8" w:space="0" w:color="auto"/>
            </w:tcBorders>
            <w:shd w:val="clear" w:color="000000" w:fill="FFFFFF"/>
            <w:vAlign w:val="center"/>
            <w:hideMark/>
          </w:tcPr>
          <w:p w14:paraId="44F29FEC"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5</w:t>
            </w:r>
          </w:p>
        </w:tc>
        <w:tc>
          <w:tcPr>
            <w:tcW w:w="579" w:type="pct"/>
            <w:tcBorders>
              <w:top w:val="single" w:sz="4" w:space="0" w:color="auto"/>
              <w:left w:val="nil"/>
              <w:bottom w:val="single" w:sz="8" w:space="0" w:color="auto"/>
              <w:right w:val="single" w:sz="8" w:space="0" w:color="auto"/>
            </w:tcBorders>
            <w:shd w:val="clear" w:color="000000" w:fill="FFFFFF"/>
            <w:vAlign w:val="center"/>
            <w:hideMark/>
          </w:tcPr>
          <w:p w14:paraId="2AEDFA21"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海淀区</w:t>
            </w:r>
          </w:p>
        </w:tc>
        <w:tc>
          <w:tcPr>
            <w:tcW w:w="1452" w:type="pct"/>
            <w:tcBorders>
              <w:top w:val="single" w:sz="4" w:space="0" w:color="auto"/>
              <w:left w:val="nil"/>
              <w:bottom w:val="single" w:sz="8" w:space="0" w:color="auto"/>
              <w:right w:val="single" w:sz="8" w:space="0" w:color="auto"/>
            </w:tcBorders>
            <w:shd w:val="clear" w:color="000000" w:fill="FFFFFF"/>
            <w:vAlign w:val="center"/>
            <w:hideMark/>
          </w:tcPr>
          <w:p w14:paraId="06A182DB"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四季青镇中坞重点村资金平衡用地土地一级开发项目</w:t>
            </w:r>
          </w:p>
        </w:tc>
        <w:tc>
          <w:tcPr>
            <w:tcW w:w="756" w:type="pct"/>
            <w:tcBorders>
              <w:top w:val="single" w:sz="4" w:space="0" w:color="auto"/>
              <w:left w:val="nil"/>
              <w:bottom w:val="single" w:sz="8" w:space="0" w:color="auto"/>
              <w:right w:val="single" w:sz="8" w:space="0" w:color="auto"/>
            </w:tcBorders>
            <w:shd w:val="clear" w:color="000000" w:fill="FFFFFF"/>
            <w:vAlign w:val="center"/>
            <w:hideMark/>
          </w:tcPr>
          <w:p w14:paraId="7D25CE3E"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五通一平</w:t>
            </w:r>
          </w:p>
        </w:tc>
        <w:tc>
          <w:tcPr>
            <w:tcW w:w="744" w:type="pct"/>
            <w:tcBorders>
              <w:top w:val="single" w:sz="4" w:space="0" w:color="auto"/>
              <w:left w:val="nil"/>
              <w:bottom w:val="single" w:sz="8" w:space="0" w:color="auto"/>
              <w:right w:val="single" w:sz="8" w:space="0" w:color="auto"/>
            </w:tcBorders>
            <w:shd w:val="clear" w:color="000000" w:fill="FFFFFF"/>
            <w:vAlign w:val="center"/>
            <w:hideMark/>
          </w:tcPr>
          <w:p w14:paraId="2E6613B1"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8147</w:t>
            </w:r>
          </w:p>
        </w:tc>
      </w:tr>
      <w:tr w:rsidR="00833278" w:rsidRPr="00833278" w14:paraId="132CFAC7" w14:textId="77777777" w:rsidTr="00833278">
        <w:trPr>
          <w:trHeight w:val="615"/>
        </w:trPr>
        <w:tc>
          <w:tcPr>
            <w:tcW w:w="418" w:type="pct"/>
            <w:tcBorders>
              <w:top w:val="nil"/>
              <w:left w:val="single" w:sz="8" w:space="0" w:color="auto"/>
              <w:bottom w:val="single" w:sz="8" w:space="0" w:color="auto"/>
              <w:right w:val="single" w:sz="8" w:space="0" w:color="auto"/>
            </w:tcBorders>
            <w:shd w:val="clear" w:color="000000" w:fill="FFFFFF"/>
            <w:vAlign w:val="center"/>
            <w:hideMark/>
          </w:tcPr>
          <w:p w14:paraId="431A77CF"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2</w:t>
            </w:r>
          </w:p>
        </w:tc>
        <w:tc>
          <w:tcPr>
            <w:tcW w:w="547" w:type="pct"/>
            <w:tcBorders>
              <w:top w:val="nil"/>
              <w:left w:val="nil"/>
              <w:bottom w:val="single" w:sz="8" w:space="0" w:color="auto"/>
              <w:right w:val="single" w:sz="8" w:space="0" w:color="auto"/>
            </w:tcBorders>
            <w:shd w:val="clear" w:color="000000" w:fill="FFFFFF"/>
            <w:vAlign w:val="center"/>
            <w:hideMark/>
          </w:tcPr>
          <w:p w14:paraId="697315D7"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2020</w:t>
            </w:r>
          </w:p>
        </w:tc>
        <w:tc>
          <w:tcPr>
            <w:tcW w:w="504" w:type="pct"/>
            <w:tcBorders>
              <w:top w:val="nil"/>
              <w:left w:val="nil"/>
              <w:bottom w:val="single" w:sz="8" w:space="0" w:color="auto"/>
              <w:right w:val="single" w:sz="8" w:space="0" w:color="auto"/>
            </w:tcBorders>
            <w:shd w:val="clear" w:color="000000" w:fill="FFFFFF"/>
            <w:vAlign w:val="center"/>
            <w:hideMark/>
          </w:tcPr>
          <w:p w14:paraId="7F19CA8B"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2</w:t>
            </w:r>
          </w:p>
        </w:tc>
        <w:tc>
          <w:tcPr>
            <w:tcW w:w="579" w:type="pct"/>
            <w:tcBorders>
              <w:top w:val="nil"/>
              <w:left w:val="nil"/>
              <w:bottom w:val="single" w:sz="8" w:space="0" w:color="auto"/>
              <w:right w:val="single" w:sz="8" w:space="0" w:color="auto"/>
            </w:tcBorders>
            <w:shd w:val="clear" w:color="000000" w:fill="FFFFFF"/>
            <w:vAlign w:val="center"/>
            <w:hideMark/>
          </w:tcPr>
          <w:p w14:paraId="1B7C36DA"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石景山区</w:t>
            </w:r>
          </w:p>
        </w:tc>
        <w:tc>
          <w:tcPr>
            <w:tcW w:w="1452" w:type="pct"/>
            <w:tcBorders>
              <w:top w:val="nil"/>
              <w:left w:val="nil"/>
              <w:bottom w:val="single" w:sz="8" w:space="0" w:color="auto"/>
              <w:right w:val="single" w:sz="8" w:space="0" w:color="auto"/>
            </w:tcBorders>
            <w:shd w:val="clear" w:color="000000" w:fill="FFFFFF"/>
            <w:vAlign w:val="center"/>
            <w:hideMark/>
          </w:tcPr>
          <w:p w14:paraId="07510285"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刘娘府综合改造项目</w:t>
            </w:r>
            <w:r w:rsidRPr="00833278">
              <w:rPr>
                <w:rFonts w:ascii="Arial" w:eastAsia="宋体" w:hAnsi="Arial" w:cs="Arial"/>
                <w:color w:val="000000"/>
                <w:kern w:val="0"/>
                <w:sz w:val="22"/>
              </w:rPr>
              <w:t>1604-663</w:t>
            </w:r>
            <w:r w:rsidRPr="00833278">
              <w:rPr>
                <w:rFonts w:ascii="Arial" w:eastAsia="宋体" w:hAnsi="Arial" w:cs="Arial"/>
                <w:color w:val="000000"/>
                <w:kern w:val="0"/>
                <w:sz w:val="22"/>
              </w:rPr>
              <w:t>等地块</w:t>
            </w:r>
          </w:p>
        </w:tc>
        <w:tc>
          <w:tcPr>
            <w:tcW w:w="756" w:type="pct"/>
            <w:tcBorders>
              <w:top w:val="nil"/>
              <w:left w:val="nil"/>
              <w:bottom w:val="single" w:sz="8" w:space="0" w:color="auto"/>
              <w:right w:val="single" w:sz="8" w:space="0" w:color="auto"/>
            </w:tcBorders>
            <w:shd w:val="clear" w:color="000000" w:fill="FFFFFF"/>
            <w:vAlign w:val="center"/>
            <w:hideMark/>
          </w:tcPr>
          <w:p w14:paraId="49DA5A12"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六通一平</w:t>
            </w:r>
          </w:p>
        </w:tc>
        <w:tc>
          <w:tcPr>
            <w:tcW w:w="744" w:type="pct"/>
            <w:tcBorders>
              <w:top w:val="nil"/>
              <w:left w:val="nil"/>
              <w:bottom w:val="single" w:sz="8" w:space="0" w:color="auto"/>
              <w:right w:val="single" w:sz="8" w:space="0" w:color="auto"/>
            </w:tcBorders>
            <w:shd w:val="clear" w:color="000000" w:fill="FFFFFF"/>
            <w:vAlign w:val="center"/>
            <w:hideMark/>
          </w:tcPr>
          <w:p w14:paraId="58BE2F64"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7487</w:t>
            </w:r>
          </w:p>
        </w:tc>
      </w:tr>
      <w:tr w:rsidR="00833278" w:rsidRPr="00833278" w14:paraId="043FA309" w14:textId="77777777" w:rsidTr="00833278">
        <w:trPr>
          <w:trHeight w:val="1215"/>
        </w:trPr>
        <w:tc>
          <w:tcPr>
            <w:tcW w:w="418" w:type="pct"/>
            <w:tcBorders>
              <w:top w:val="nil"/>
              <w:left w:val="single" w:sz="8" w:space="0" w:color="auto"/>
              <w:bottom w:val="single" w:sz="8" w:space="0" w:color="auto"/>
              <w:right w:val="single" w:sz="8" w:space="0" w:color="auto"/>
            </w:tcBorders>
            <w:shd w:val="clear" w:color="000000" w:fill="FFFFFF"/>
            <w:vAlign w:val="center"/>
            <w:hideMark/>
          </w:tcPr>
          <w:p w14:paraId="3F9D69E7"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3</w:t>
            </w:r>
          </w:p>
        </w:tc>
        <w:tc>
          <w:tcPr>
            <w:tcW w:w="547" w:type="pct"/>
            <w:tcBorders>
              <w:top w:val="nil"/>
              <w:left w:val="nil"/>
              <w:bottom w:val="single" w:sz="8" w:space="0" w:color="auto"/>
              <w:right w:val="single" w:sz="8" w:space="0" w:color="auto"/>
            </w:tcBorders>
            <w:shd w:val="clear" w:color="000000" w:fill="FFFFFF"/>
            <w:vAlign w:val="center"/>
            <w:hideMark/>
          </w:tcPr>
          <w:p w14:paraId="14F492F2"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2020</w:t>
            </w:r>
          </w:p>
        </w:tc>
        <w:tc>
          <w:tcPr>
            <w:tcW w:w="504" w:type="pct"/>
            <w:tcBorders>
              <w:top w:val="nil"/>
              <w:left w:val="nil"/>
              <w:bottom w:val="single" w:sz="8" w:space="0" w:color="auto"/>
              <w:right w:val="single" w:sz="8" w:space="0" w:color="auto"/>
            </w:tcBorders>
            <w:shd w:val="clear" w:color="000000" w:fill="FFFFFF"/>
            <w:vAlign w:val="center"/>
            <w:hideMark/>
          </w:tcPr>
          <w:p w14:paraId="05B60118"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3</w:t>
            </w:r>
          </w:p>
        </w:tc>
        <w:tc>
          <w:tcPr>
            <w:tcW w:w="579" w:type="pct"/>
            <w:tcBorders>
              <w:top w:val="nil"/>
              <w:left w:val="nil"/>
              <w:bottom w:val="single" w:sz="8" w:space="0" w:color="auto"/>
              <w:right w:val="single" w:sz="8" w:space="0" w:color="auto"/>
            </w:tcBorders>
            <w:shd w:val="clear" w:color="000000" w:fill="FFFFFF"/>
            <w:vAlign w:val="center"/>
            <w:hideMark/>
          </w:tcPr>
          <w:p w14:paraId="3254AB85"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石景山区</w:t>
            </w:r>
          </w:p>
        </w:tc>
        <w:tc>
          <w:tcPr>
            <w:tcW w:w="1452" w:type="pct"/>
            <w:tcBorders>
              <w:top w:val="nil"/>
              <w:left w:val="nil"/>
              <w:bottom w:val="single" w:sz="8" w:space="0" w:color="auto"/>
              <w:right w:val="single" w:sz="8" w:space="0" w:color="auto"/>
            </w:tcBorders>
            <w:shd w:val="clear" w:color="000000" w:fill="FFFFFF"/>
            <w:vAlign w:val="center"/>
            <w:hideMark/>
          </w:tcPr>
          <w:p w14:paraId="7544D0D3"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中关村科技园石景山园北</w:t>
            </w:r>
            <w:r w:rsidRPr="00833278">
              <w:rPr>
                <w:rFonts w:ascii="宋体" w:eastAsia="宋体" w:hAnsi="宋体" w:cs="宋体"/>
                <w:color w:val="000000"/>
                <w:kern w:val="0"/>
                <w:sz w:val="22"/>
              </w:rPr>
              <w:t>Ⅱ</w:t>
            </w:r>
            <w:r w:rsidRPr="00833278">
              <w:rPr>
                <w:rFonts w:ascii="Arial" w:eastAsia="宋体" w:hAnsi="Arial" w:cs="Arial"/>
                <w:color w:val="000000"/>
                <w:kern w:val="0"/>
                <w:sz w:val="22"/>
              </w:rPr>
              <w:t>区西井地块土地一级开发项目</w:t>
            </w:r>
            <w:r w:rsidRPr="00833278">
              <w:rPr>
                <w:rFonts w:ascii="Arial" w:eastAsia="宋体" w:hAnsi="Arial" w:cs="Arial"/>
                <w:color w:val="000000"/>
                <w:kern w:val="0"/>
                <w:sz w:val="22"/>
              </w:rPr>
              <w:t>1606-605</w:t>
            </w:r>
            <w:r w:rsidRPr="00833278">
              <w:rPr>
                <w:rFonts w:ascii="Arial" w:eastAsia="宋体" w:hAnsi="Arial" w:cs="Arial"/>
                <w:color w:val="000000"/>
                <w:kern w:val="0"/>
                <w:sz w:val="22"/>
              </w:rPr>
              <w:t>、</w:t>
            </w:r>
            <w:r w:rsidRPr="00833278">
              <w:rPr>
                <w:rFonts w:ascii="Arial" w:eastAsia="宋体" w:hAnsi="Arial" w:cs="Arial"/>
                <w:color w:val="000000"/>
                <w:kern w:val="0"/>
                <w:sz w:val="22"/>
              </w:rPr>
              <w:t>1606-034</w:t>
            </w:r>
            <w:r w:rsidRPr="00833278">
              <w:rPr>
                <w:rFonts w:ascii="Arial" w:eastAsia="宋体" w:hAnsi="Arial" w:cs="Arial"/>
                <w:color w:val="000000"/>
                <w:kern w:val="0"/>
                <w:sz w:val="22"/>
              </w:rPr>
              <w:t>地块</w:t>
            </w:r>
          </w:p>
        </w:tc>
        <w:tc>
          <w:tcPr>
            <w:tcW w:w="756" w:type="pct"/>
            <w:tcBorders>
              <w:top w:val="nil"/>
              <w:left w:val="nil"/>
              <w:bottom w:val="single" w:sz="8" w:space="0" w:color="auto"/>
              <w:right w:val="single" w:sz="8" w:space="0" w:color="auto"/>
            </w:tcBorders>
            <w:shd w:val="clear" w:color="000000" w:fill="FFFFFF"/>
            <w:vAlign w:val="center"/>
            <w:hideMark/>
          </w:tcPr>
          <w:p w14:paraId="6C0C21BD"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七通一平</w:t>
            </w:r>
          </w:p>
        </w:tc>
        <w:tc>
          <w:tcPr>
            <w:tcW w:w="744" w:type="pct"/>
            <w:tcBorders>
              <w:top w:val="nil"/>
              <w:left w:val="nil"/>
              <w:bottom w:val="single" w:sz="8" w:space="0" w:color="auto"/>
              <w:right w:val="single" w:sz="8" w:space="0" w:color="auto"/>
            </w:tcBorders>
            <w:shd w:val="clear" w:color="000000" w:fill="FFFFFF"/>
            <w:vAlign w:val="center"/>
            <w:hideMark/>
          </w:tcPr>
          <w:p w14:paraId="28774FDD"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16688</w:t>
            </w:r>
          </w:p>
        </w:tc>
      </w:tr>
      <w:tr w:rsidR="00833278" w:rsidRPr="00833278" w14:paraId="696A5141" w14:textId="77777777" w:rsidTr="00833278">
        <w:trPr>
          <w:trHeight w:val="915"/>
        </w:trPr>
        <w:tc>
          <w:tcPr>
            <w:tcW w:w="418" w:type="pct"/>
            <w:tcBorders>
              <w:top w:val="nil"/>
              <w:left w:val="single" w:sz="8" w:space="0" w:color="auto"/>
              <w:bottom w:val="single" w:sz="8" w:space="0" w:color="auto"/>
              <w:right w:val="single" w:sz="8" w:space="0" w:color="auto"/>
            </w:tcBorders>
            <w:shd w:val="clear" w:color="000000" w:fill="FFFFFF"/>
            <w:vAlign w:val="center"/>
            <w:hideMark/>
          </w:tcPr>
          <w:p w14:paraId="185E4A44"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4</w:t>
            </w:r>
          </w:p>
        </w:tc>
        <w:tc>
          <w:tcPr>
            <w:tcW w:w="547" w:type="pct"/>
            <w:tcBorders>
              <w:top w:val="nil"/>
              <w:left w:val="nil"/>
              <w:bottom w:val="single" w:sz="8" w:space="0" w:color="auto"/>
              <w:right w:val="single" w:sz="8" w:space="0" w:color="auto"/>
            </w:tcBorders>
            <w:shd w:val="clear" w:color="000000" w:fill="FFFFFF"/>
            <w:vAlign w:val="center"/>
            <w:hideMark/>
          </w:tcPr>
          <w:p w14:paraId="7453DCCE"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2020</w:t>
            </w:r>
          </w:p>
        </w:tc>
        <w:tc>
          <w:tcPr>
            <w:tcW w:w="504" w:type="pct"/>
            <w:tcBorders>
              <w:top w:val="nil"/>
              <w:left w:val="nil"/>
              <w:bottom w:val="single" w:sz="8" w:space="0" w:color="auto"/>
              <w:right w:val="single" w:sz="8" w:space="0" w:color="auto"/>
            </w:tcBorders>
            <w:shd w:val="clear" w:color="000000" w:fill="FFFFFF"/>
            <w:vAlign w:val="center"/>
            <w:hideMark/>
          </w:tcPr>
          <w:p w14:paraId="504ABD53"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5</w:t>
            </w:r>
          </w:p>
        </w:tc>
        <w:tc>
          <w:tcPr>
            <w:tcW w:w="579" w:type="pct"/>
            <w:tcBorders>
              <w:top w:val="nil"/>
              <w:left w:val="nil"/>
              <w:bottom w:val="single" w:sz="8" w:space="0" w:color="auto"/>
              <w:right w:val="single" w:sz="8" w:space="0" w:color="auto"/>
            </w:tcBorders>
            <w:shd w:val="clear" w:color="000000" w:fill="FFFFFF"/>
            <w:vAlign w:val="center"/>
            <w:hideMark/>
          </w:tcPr>
          <w:p w14:paraId="5E4E07F8"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朝阳区</w:t>
            </w:r>
          </w:p>
        </w:tc>
        <w:tc>
          <w:tcPr>
            <w:tcW w:w="1452" w:type="pct"/>
            <w:tcBorders>
              <w:top w:val="nil"/>
              <w:left w:val="nil"/>
              <w:bottom w:val="single" w:sz="8" w:space="0" w:color="auto"/>
              <w:right w:val="single" w:sz="8" w:space="0" w:color="auto"/>
            </w:tcBorders>
            <w:shd w:val="clear" w:color="000000" w:fill="FFFFFF"/>
            <w:vAlign w:val="center"/>
            <w:hideMark/>
          </w:tcPr>
          <w:p w14:paraId="7294A7BB"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豆各庄乡剩余土地储备项目</w:t>
            </w:r>
            <w:r w:rsidRPr="00833278">
              <w:rPr>
                <w:rFonts w:ascii="Arial" w:eastAsia="宋体" w:hAnsi="Arial" w:cs="Arial"/>
                <w:color w:val="000000"/>
                <w:kern w:val="0"/>
                <w:sz w:val="22"/>
              </w:rPr>
              <w:t>1306-638</w:t>
            </w:r>
            <w:r w:rsidRPr="00833278">
              <w:rPr>
                <w:rFonts w:ascii="Arial" w:eastAsia="宋体" w:hAnsi="Arial" w:cs="Arial"/>
                <w:color w:val="000000"/>
                <w:kern w:val="0"/>
                <w:sz w:val="22"/>
              </w:rPr>
              <w:t>等地块（</w:t>
            </w:r>
            <w:r w:rsidRPr="00833278">
              <w:rPr>
                <w:rFonts w:ascii="Arial" w:eastAsia="宋体" w:hAnsi="Arial" w:cs="Arial"/>
                <w:color w:val="000000"/>
                <w:kern w:val="0"/>
                <w:sz w:val="22"/>
              </w:rPr>
              <w:t>DE</w:t>
            </w:r>
            <w:r w:rsidRPr="00833278">
              <w:rPr>
                <w:rFonts w:ascii="Arial" w:eastAsia="宋体" w:hAnsi="Arial" w:cs="Arial"/>
                <w:color w:val="000000"/>
                <w:kern w:val="0"/>
                <w:sz w:val="22"/>
              </w:rPr>
              <w:t>、</w:t>
            </w:r>
            <w:r w:rsidRPr="00833278">
              <w:rPr>
                <w:rFonts w:ascii="Arial" w:eastAsia="宋体" w:hAnsi="Arial" w:cs="Arial"/>
                <w:color w:val="000000"/>
                <w:kern w:val="0"/>
                <w:sz w:val="22"/>
              </w:rPr>
              <w:t>A</w:t>
            </w:r>
            <w:r w:rsidRPr="00833278">
              <w:rPr>
                <w:rFonts w:ascii="Arial" w:eastAsia="宋体" w:hAnsi="Arial" w:cs="Arial"/>
                <w:color w:val="000000"/>
                <w:kern w:val="0"/>
                <w:sz w:val="22"/>
              </w:rPr>
              <w:t>及</w:t>
            </w:r>
            <w:r w:rsidRPr="00833278">
              <w:rPr>
                <w:rFonts w:ascii="Arial" w:eastAsia="宋体" w:hAnsi="Arial" w:cs="Arial"/>
                <w:color w:val="000000"/>
                <w:kern w:val="0"/>
                <w:sz w:val="22"/>
              </w:rPr>
              <w:t>H</w:t>
            </w:r>
            <w:r w:rsidRPr="00833278">
              <w:rPr>
                <w:rFonts w:ascii="Arial" w:eastAsia="宋体" w:hAnsi="Arial" w:cs="Arial"/>
                <w:color w:val="000000"/>
                <w:kern w:val="0"/>
                <w:sz w:val="22"/>
              </w:rPr>
              <w:t>地块）</w:t>
            </w:r>
            <w:r w:rsidRPr="00833278">
              <w:rPr>
                <w:rFonts w:ascii="Arial" w:eastAsia="宋体" w:hAnsi="Arial" w:cs="Arial"/>
                <w:color w:val="000000"/>
                <w:kern w:val="0"/>
                <w:sz w:val="22"/>
              </w:rPr>
              <w:t xml:space="preserve"> </w:t>
            </w:r>
          </w:p>
        </w:tc>
        <w:tc>
          <w:tcPr>
            <w:tcW w:w="756" w:type="pct"/>
            <w:tcBorders>
              <w:top w:val="nil"/>
              <w:left w:val="nil"/>
              <w:bottom w:val="single" w:sz="8" w:space="0" w:color="auto"/>
              <w:right w:val="single" w:sz="8" w:space="0" w:color="auto"/>
            </w:tcBorders>
            <w:shd w:val="clear" w:color="000000" w:fill="FFFFFF"/>
            <w:vAlign w:val="center"/>
            <w:hideMark/>
          </w:tcPr>
          <w:p w14:paraId="4BF3ADB0"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六通一平</w:t>
            </w:r>
          </w:p>
        </w:tc>
        <w:tc>
          <w:tcPr>
            <w:tcW w:w="744" w:type="pct"/>
            <w:tcBorders>
              <w:top w:val="nil"/>
              <w:left w:val="nil"/>
              <w:bottom w:val="single" w:sz="8" w:space="0" w:color="auto"/>
              <w:right w:val="single" w:sz="8" w:space="0" w:color="auto"/>
            </w:tcBorders>
            <w:shd w:val="clear" w:color="000000" w:fill="FFFFFF"/>
            <w:vAlign w:val="center"/>
            <w:hideMark/>
          </w:tcPr>
          <w:p w14:paraId="5E5B2369"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6942</w:t>
            </w:r>
          </w:p>
        </w:tc>
      </w:tr>
      <w:tr w:rsidR="00833278" w:rsidRPr="00833278" w14:paraId="29122109" w14:textId="77777777" w:rsidTr="00833278">
        <w:trPr>
          <w:trHeight w:val="615"/>
        </w:trPr>
        <w:tc>
          <w:tcPr>
            <w:tcW w:w="418" w:type="pct"/>
            <w:tcBorders>
              <w:top w:val="nil"/>
              <w:left w:val="single" w:sz="8" w:space="0" w:color="auto"/>
              <w:bottom w:val="single" w:sz="8" w:space="0" w:color="auto"/>
              <w:right w:val="single" w:sz="8" w:space="0" w:color="auto"/>
            </w:tcBorders>
            <w:shd w:val="clear" w:color="000000" w:fill="FFFFFF"/>
            <w:vAlign w:val="center"/>
            <w:hideMark/>
          </w:tcPr>
          <w:p w14:paraId="2EBC09D9"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5</w:t>
            </w:r>
          </w:p>
        </w:tc>
        <w:tc>
          <w:tcPr>
            <w:tcW w:w="547" w:type="pct"/>
            <w:tcBorders>
              <w:top w:val="nil"/>
              <w:left w:val="nil"/>
              <w:bottom w:val="single" w:sz="8" w:space="0" w:color="auto"/>
              <w:right w:val="single" w:sz="8" w:space="0" w:color="auto"/>
            </w:tcBorders>
            <w:shd w:val="clear" w:color="000000" w:fill="FFFFFF"/>
            <w:vAlign w:val="center"/>
            <w:hideMark/>
          </w:tcPr>
          <w:p w14:paraId="7ED29E7F"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2021</w:t>
            </w:r>
          </w:p>
        </w:tc>
        <w:tc>
          <w:tcPr>
            <w:tcW w:w="504" w:type="pct"/>
            <w:tcBorders>
              <w:top w:val="nil"/>
              <w:left w:val="nil"/>
              <w:bottom w:val="single" w:sz="8" w:space="0" w:color="auto"/>
              <w:right w:val="single" w:sz="8" w:space="0" w:color="auto"/>
            </w:tcBorders>
            <w:shd w:val="clear" w:color="000000" w:fill="FFFFFF"/>
            <w:vAlign w:val="center"/>
            <w:hideMark/>
          </w:tcPr>
          <w:p w14:paraId="71177814"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4</w:t>
            </w:r>
          </w:p>
        </w:tc>
        <w:tc>
          <w:tcPr>
            <w:tcW w:w="579" w:type="pct"/>
            <w:tcBorders>
              <w:top w:val="nil"/>
              <w:left w:val="nil"/>
              <w:bottom w:val="single" w:sz="8" w:space="0" w:color="auto"/>
              <w:right w:val="single" w:sz="8" w:space="0" w:color="auto"/>
            </w:tcBorders>
            <w:shd w:val="clear" w:color="000000" w:fill="FFFFFF"/>
            <w:vAlign w:val="center"/>
            <w:hideMark/>
          </w:tcPr>
          <w:p w14:paraId="2C66808B"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丰台区</w:t>
            </w:r>
          </w:p>
        </w:tc>
        <w:tc>
          <w:tcPr>
            <w:tcW w:w="1452" w:type="pct"/>
            <w:tcBorders>
              <w:top w:val="nil"/>
              <w:left w:val="nil"/>
              <w:bottom w:val="single" w:sz="8" w:space="0" w:color="auto"/>
              <w:right w:val="single" w:sz="8" w:space="0" w:color="auto"/>
            </w:tcBorders>
            <w:shd w:val="clear" w:color="000000" w:fill="FFFFFF"/>
            <w:vAlign w:val="center"/>
            <w:hideMark/>
          </w:tcPr>
          <w:p w14:paraId="735E0FE9"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万泉寺住宅小区土地一级开发项目</w:t>
            </w:r>
            <w:r w:rsidRPr="00833278">
              <w:rPr>
                <w:rFonts w:ascii="Arial" w:eastAsia="宋体" w:hAnsi="Arial" w:cs="Arial"/>
                <w:color w:val="000000"/>
                <w:kern w:val="0"/>
                <w:sz w:val="22"/>
              </w:rPr>
              <w:t>A</w:t>
            </w:r>
            <w:r w:rsidRPr="00833278">
              <w:rPr>
                <w:rFonts w:ascii="Arial" w:eastAsia="宋体" w:hAnsi="Arial" w:cs="Arial"/>
                <w:color w:val="000000"/>
                <w:kern w:val="0"/>
                <w:sz w:val="22"/>
              </w:rPr>
              <w:t>地块</w:t>
            </w:r>
          </w:p>
        </w:tc>
        <w:tc>
          <w:tcPr>
            <w:tcW w:w="756" w:type="pct"/>
            <w:tcBorders>
              <w:top w:val="nil"/>
              <w:left w:val="nil"/>
              <w:bottom w:val="single" w:sz="8" w:space="0" w:color="auto"/>
              <w:right w:val="single" w:sz="8" w:space="0" w:color="auto"/>
            </w:tcBorders>
            <w:shd w:val="clear" w:color="000000" w:fill="FFFFFF"/>
            <w:vAlign w:val="center"/>
            <w:hideMark/>
          </w:tcPr>
          <w:p w14:paraId="7A955F6B"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七通一平</w:t>
            </w:r>
          </w:p>
        </w:tc>
        <w:tc>
          <w:tcPr>
            <w:tcW w:w="744" w:type="pct"/>
            <w:tcBorders>
              <w:top w:val="nil"/>
              <w:left w:val="nil"/>
              <w:bottom w:val="single" w:sz="8" w:space="0" w:color="auto"/>
              <w:right w:val="single" w:sz="8" w:space="0" w:color="auto"/>
            </w:tcBorders>
            <w:shd w:val="clear" w:color="000000" w:fill="FFFFFF"/>
            <w:vAlign w:val="center"/>
            <w:hideMark/>
          </w:tcPr>
          <w:p w14:paraId="4F7A7CCA"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9640</w:t>
            </w:r>
          </w:p>
        </w:tc>
      </w:tr>
      <w:tr w:rsidR="00833278" w:rsidRPr="00833278" w14:paraId="1366F6C5" w14:textId="77777777" w:rsidTr="00833278">
        <w:trPr>
          <w:trHeight w:val="915"/>
        </w:trPr>
        <w:tc>
          <w:tcPr>
            <w:tcW w:w="418" w:type="pct"/>
            <w:tcBorders>
              <w:top w:val="nil"/>
              <w:left w:val="single" w:sz="8" w:space="0" w:color="auto"/>
              <w:bottom w:val="single" w:sz="8" w:space="0" w:color="auto"/>
              <w:right w:val="single" w:sz="8" w:space="0" w:color="auto"/>
            </w:tcBorders>
            <w:shd w:val="clear" w:color="000000" w:fill="FFFFFF"/>
            <w:vAlign w:val="center"/>
            <w:hideMark/>
          </w:tcPr>
          <w:p w14:paraId="378A0CF8"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6</w:t>
            </w:r>
          </w:p>
        </w:tc>
        <w:tc>
          <w:tcPr>
            <w:tcW w:w="547" w:type="pct"/>
            <w:tcBorders>
              <w:top w:val="nil"/>
              <w:left w:val="nil"/>
              <w:bottom w:val="single" w:sz="8" w:space="0" w:color="auto"/>
              <w:right w:val="single" w:sz="8" w:space="0" w:color="auto"/>
            </w:tcBorders>
            <w:shd w:val="clear" w:color="000000" w:fill="FFFFFF"/>
            <w:vAlign w:val="center"/>
            <w:hideMark/>
          </w:tcPr>
          <w:p w14:paraId="4620507F"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2021</w:t>
            </w:r>
          </w:p>
        </w:tc>
        <w:tc>
          <w:tcPr>
            <w:tcW w:w="504" w:type="pct"/>
            <w:tcBorders>
              <w:top w:val="nil"/>
              <w:left w:val="nil"/>
              <w:bottom w:val="single" w:sz="8" w:space="0" w:color="auto"/>
              <w:right w:val="single" w:sz="8" w:space="0" w:color="auto"/>
            </w:tcBorders>
            <w:shd w:val="clear" w:color="000000" w:fill="FFFFFF"/>
            <w:vAlign w:val="center"/>
            <w:hideMark/>
          </w:tcPr>
          <w:p w14:paraId="60BD0023"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5</w:t>
            </w:r>
          </w:p>
        </w:tc>
        <w:tc>
          <w:tcPr>
            <w:tcW w:w="579" w:type="pct"/>
            <w:tcBorders>
              <w:top w:val="nil"/>
              <w:left w:val="nil"/>
              <w:bottom w:val="single" w:sz="8" w:space="0" w:color="auto"/>
              <w:right w:val="single" w:sz="8" w:space="0" w:color="auto"/>
            </w:tcBorders>
            <w:shd w:val="clear" w:color="000000" w:fill="FFFFFF"/>
            <w:vAlign w:val="center"/>
            <w:hideMark/>
          </w:tcPr>
          <w:p w14:paraId="4DBB1D0D"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丰台区</w:t>
            </w:r>
          </w:p>
        </w:tc>
        <w:tc>
          <w:tcPr>
            <w:tcW w:w="1452" w:type="pct"/>
            <w:tcBorders>
              <w:top w:val="nil"/>
              <w:left w:val="nil"/>
              <w:bottom w:val="single" w:sz="8" w:space="0" w:color="auto"/>
              <w:right w:val="single" w:sz="8" w:space="0" w:color="auto"/>
            </w:tcBorders>
            <w:shd w:val="clear" w:color="000000" w:fill="FFFFFF"/>
            <w:vAlign w:val="center"/>
            <w:hideMark/>
          </w:tcPr>
          <w:p w14:paraId="1E564980"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城乡一体化周庄子村旧村改造项目二期（</w:t>
            </w:r>
            <w:r w:rsidRPr="00833278">
              <w:rPr>
                <w:rFonts w:ascii="Arial" w:eastAsia="宋体" w:hAnsi="Arial" w:cs="Arial"/>
                <w:color w:val="000000"/>
                <w:kern w:val="0"/>
                <w:sz w:val="22"/>
              </w:rPr>
              <w:t>ZZZ-06</w:t>
            </w:r>
            <w:r w:rsidRPr="00833278">
              <w:rPr>
                <w:rFonts w:ascii="Arial" w:eastAsia="宋体" w:hAnsi="Arial" w:cs="Arial"/>
                <w:color w:val="000000"/>
                <w:kern w:val="0"/>
                <w:sz w:val="22"/>
              </w:rPr>
              <w:t>等地块）</w:t>
            </w:r>
            <w:r w:rsidRPr="00833278">
              <w:rPr>
                <w:rFonts w:ascii="Arial" w:eastAsia="宋体" w:hAnsi="Arial" w:cs="Arial"/>
                <w:color w:val="000000"/>
                <w:kern w:val="0"/>
                <w:sz w:val="22"/>
              </w:rPr>
              <w:t xml:space="preserve"> </w:t>
            </w:r>
          </w:p>
        </w:tc>
        <w:tc>
          <w:tcPr>
            <w:tcW w:w="756" w:type="pct"/>
            <w:tcBorders>
              <w:top w:val="nil"/>
              <w:left w:val="nil"/>
              <w:bottom w:val="single" w:sz="8" w:space="0" w:color="auto"/>
              <w:right w:val="single" w:sz="8" w:space="0" w:color="auto"/>
            </w:tcBorders>
            <w:shd w:val="clear" w:color="000000" w:fill="FFFFFF"/>
            <w:vAlign w:val="center"/>
            <w:hideMark/>
          </w:tcPr>
          <w:p w14:paraId="6F4E7BCE"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七通一平</w:t>
            </w:r>
          </w:p>
        </w:tc>
        <w:tc>
          <w:tcPr>
            <w:tcW w:w="744" w:type="pct"/>
            <w:tcBorders>
              <w:top w:val="nil"/>
              <w:left w:val="nil"/>
              <w:bottom w:val="single" w:sz="8" w:space="0" w:color="auto"/>
              <w:right w:val="single" w:sz="8" w:space="0" w:color="auto"/>
            </w:tcBorders>
            <w:shd w:val="clear" w:color="000000" w:fill="FFFFFF"/>
            <w:vAlign w:val="center"/>
            <w:hideMark/>
          </w:tcPr>
          <w:p w14:paraId="30F0728A"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5510</w:t>
            </w:r>
          </w:p>
        </w:tc>
      </w:tr>
      <w:tr w:rsidR="00833278" w:rsidRPr="00833278" w14:paraId="13898A85" w14:textId="77777777" w:rsidTr="00833278">
        <w:trPr>
          <w:trHeight w:val="615"/>
        </w:trPr>
        <w:tc>
          <w:tcPr>
            <w:tcW w:w="4256" w:type="pct"/>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7015A6D9"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平均价格</w:t>
            </w:r>
          </w:p>
        </w:tc>
        <w:tc>
          <w:tcPr>
            <w:tcW w:w="744" w:type="pct"/>
            <w:tcBorders>
              <w:top w:val="nil"/>
              <w:left w:val="nil"/>
              <w:bottom w:val="single" w:sz="8" w:space="0" w:color="auto"/>
              <w:right w:val="single" w:sz="8" w:space="0" w:color="auto"/>
            </w:tcBorders>
            <w:shd w:val="clear" w:color="000000" w:fill="FFFFFF"/>
            <w:vAlign w:val="center"/>
            <w:hideMark/>
          </w:tcPr>
          <w:p w14:paraId="09AED762" w14:textId="77777777" w:rsidR="00833278" w:rsidRPr="00833278" w:rsidRDefault="00833278" w:rsidP="00833278">
            <w:pPr>
              <w:widowControl/>
              <w:jc w:val="center"/>
              <w:rPr>
                <w:rFonts w:ascii="Arial" w:eastAsia="宋体" w:hAnsi="Arial" w:cs="Arial"/>
                <w:color w:val="000000"/>
                <w:kern w:val="0"/>
                <w:sz w:val="22"/>
              </w:rPr>
            </w:pPr>
            <w:r w:rsidRPr="00833278">
              <w:rPr>
                <w:rFonts w:ascii="Arial" w:eastAsia="宋体" w:hAnsi="Arial" w:cs="Arial"/>
                <w:color w:val="000000"/>
                <w:kern w:val="0"/>
                <w:sz w:val="22"/>
              </w:rPr>
              <w:t>9069</w:t>
            </w:r>
          </w:p>
        </w:tc>
      </w:tr>
    </w:tbl>
    <w:p w14:paraId="10BA1882" w14:textId="5E7CE497" w:rsidR="00833278" w:rsidRDefault="00833278">
      <w:pPr>
        <w:widowControl/>
        <w:jc w:val="left"/>
        <w:rPr>
          <w:rFonts w:ascii="Arial" w:eastAsia="仿宋_GB2312" w:hAnsi="Arial" w:cs="Arial"/>
          <w:sz w:val="28"/>
        </w:rPr>
      </w:pPr>
    </w:p>
    <w:p w14:paraId="64927731" w14:textId="09294EA0" w:rsidR="00833278" w:rsidRDefault="00833278" w:rsidP="00FB5409">
      <w:pPr>
        <w:spacing w:line="360" w:lineRule="auto"/>
        <w:ind w:firstLineChars="201" w:firstLine="563"/>
        <w:rPr>
          <w:rFonts w:ascii="Arial" w:eastAsia="仿宋_GB2312" w:hAnsi="Arial" w:cs="Arial"/>
          <w:sz w:val="28"/>
        </w:rPr>
      </w:pPr>
      <w:r>
        <w:rPr>
          <w:rFonts w:ascii="Arial" w:eastAsia="仿宋_GB2312" w:hAnsi="Arial" w:cs="Arial" w:hint="eastAsia"/>
          <w:sz w:val="28"/>
        </w:rPr>
        <w:t>估价对象及上述项目位置图</w:t>
      </w:r>
    </w:p>
    <w:p w14:paraId="2C160C02" w14:textId="59D969DE" w:rsidR="00833278" w:rsidRPr="00833278" w:rsidRDefault="00833278" w:rsidP="001A1085">
      <w:pPr>
        <w:spacing w:line="360" w:lineRule="auto"/>
        <w:jc w:val="center"/>
        <w:rPr>
          <w:rFonts w:ascii="Arial" w:eastAsia="仿宋_GB2312" w:hAnsi="Arial" w:cs="Arial"/>
          <w:sz w:val="28"/>
        </w:rPr>
      </w:pPr>
      <w:r>
        <w:rPr>
          <w:noProof/>
        </w:rPr>
        <w:drawing>
          <wp:inline distT="0" distB="0" distL="0" distR="0" wp14:anchorId="04BF5F84" wp14:editId="0597E939">
            <wp:extent cx="5274310" cy="38690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869055"/>
                    </a:xfrm>
                    <a:prstGeom prst="rect">
                      <a:avLst/>
                    </a:prstGeom>
                  </pic:spPr>
                </pic:pic>
              </a:graphicData>
            </a:graphic>
          </wp:inline>
        </w:drawing>
      </w:r>
    </w:p>
    <w:p w14:paraId="64BFF532" w14:textId="77777777" w:rsidR="00833278" w:rsidRDefault="00FB5409" w:rsidP="00FB5409">
      <w:pPr>
        <w:spacing w:line="360" w:lineRule="auto"/>
        <w:ind w:firstLineChars="201" w:firstLine="563"/>
        <w:rPr>
          <w:rFonts w:ascii="Arial" w:eastAsia="仿宋_GB2312" w:hAnsi="Arial" w:cs="Arial"/>
          <w:sz w:val="28"/>
        </w:rPr>
      </w:pPr>
      <w:r w:rsidRPr="002B7B24">
        <w:rPr>
          <w:rFonts w:ascii="Arial" w:eastAsia="仿宋_GB2312" w:hAnsi="Arial" w:cs="Arial"/>
          <w:sz w:val="28"/>
        </w:rPr>
        <w:t>经过评估专业人员收集整理</w:t>
      </w:r>
      <w:r>
        <w:rPr>
          <w:rFonts w:ascii="Arial" w:eastAsia="仿宋_GB2312" w:hAnsi="Arial" w:cs="Arial" w:hint="eastAsia"/>
          <w:sz w:val="28"/>
        </w:rPr>
        <w:t>数据</w:t>
      </w:r>
      <w:r w:rsidRPr="002B7B24">
        <w:rPr>
          <w:rFonts w:ascii="Arial" w:eastAsia="仿宋_GB2312" w:hAnsi="Arial" w:cs="Arial"/>
          <w:sz w:val="28"/>
        </w:rPr>
        <w:t>、比较分析认为，估价对象与</w:t>
      </w:r>
      <w:r w:rsidR="00833278">
        <w:rPr>
          <w:rFonts w:ascii="Arial" w:eastAsia="仿宋_GB2312" w:hAnsi="Arial" w:cs="Arial" w:hint="eastAsia"/>
          <w:sz w:val="28"/>
        </w:rPr>
        <w:t>以上</w:t>
      </w:r>
      <w:r w:rsidRPr="002B7B24">
        <w:rPr>
          <w:rFonts w:ascii="Arial" w:eastAsia="仿宋_GB2312" w:hAnsi="Arial" w:cs="Arial"/>
          <w:sz w:val="28"/>
        </w:rPr>
        <w:t>土地一级开发项目的区域现状经济发展状况接近，区域周边均在城市化进程中经过近年的大力开发建设已逐步趋近成熟，估价对象宗地和各项目间交通便捷程度接近，基础设施状况均比较完善（区域均达到</w:t>
      </w:r>
      <w:r w:rsidRPr="002B7B24">
        <w:rPr>
          <w:rFonts w:ascii="Arial" w:eastAsia="仿宋_GB2312" w:hAnsi="Arial" w:cs="Arial"/>
          <w:sz w:val="28"/>
        </w:rPr>
        <w:t>“</w:t>
      </w:r>
      <w:r w:rsidRPr="002B7B24">
        <w:rPr>
          <w:rFonts w:ascii="Arial" w:eastAsia="仿宋_GB2312" w:hAnsi="Arial" w:cs="Arial"/>
          <w:sz w:val="28"/>
        </w:rPr>
        <w:t>七通</w:t>
      </w:r>
      <w:r w:rsidRPr="002B7B24">
        <w:rPr>
          <w:rFonts w:ascii="Arial" w:eastAsia="仿宋_GB2312" w:hAnsi="Arial" w:cs="Arial"/>
          <w:sz w:val="28"/>
        </w:rPr>
        <w:t>”</w:t>
      </w:r>
      <w:r w:rsidRPr="002B7B24">
        <w:rPr>
          <w:rFonts w:ascii="Arial" w:eastAsia="仿宋_GB2312" w:hAnsi="Arial" w:cs="Arial"/>
          <w:sz w:val="28"/>
        </w:rPr>
        <w:t>），周边公共服务设施均有配套（包括学校、医院、超市等）</w:t>
      </w:r>
      <w:r w:rsidR="00833278">
        <w:rPr>
          <w:rFonts w:ascii="Arial" w:eastAsia="仿宋_GB2312" w:hAnsi="Arial" w:cs="Arial" w:hint="eastAsia"/>
          <w:sz w:val="28"/>
        </w:rPr>
        <w:t>。</w:t>
      </w:r>
    </w:p>
    <w:p w14:paraId="52F79D6B" w14:textId="59A29EA6" w:rsidR="00FB5409" w:rsidRDefault="00833278" w:rsidP="00FB5409">
      <w:pPr>
        <w:spacing w:line="360" w:lineRule="auto"/>
        <w:ind w:firstLineChars="201" w:firstLine="563"/>
        <w:rPr>
          <w:rFonts w:ascii="Arial" w:eastAsia="仿宋_GB2312" w:hAnsi="Arial" w:cs="Arial"/>
          <w:sz w:val="28"/>
        </w:rPr>
      </w:pPr>
      <w:r w:rsidRPr="002B7B24">
        <w:rPr>
          <w:rFonts w:ascii="Arial" w:eastAsia="仿宋_GB2312" w:hAnsi="Arial" w:cs="Arial"/>
          <w:sz w:val="28"/>
        </w:rPr>
        <w:t>综上所述，我们认为</w:t>
      </w:r>
      <w:r>
        <w:rPr>
          <w:rFonts w:ascii="Arial" w:eastAsia="仿宋_GB2312" w:hAnsi="Arial" w:cs="Arial" w:hint="eastAsia"/>
          <w:sz w:val="28"/>
        </w:rPr>
        <w:t>报告出具日至今</w:t>
      </w:r>
      <w:r w:rsidR="0054150B" w:rsidRPr="00FB5409">
        <w:rPr>
          <w:rFonts w:ascii="Arial" w:eastAsia="仿宋_GB2312" w:hAnsi="Arial" w:cs="Arial" w:hint="eastAsia"/>
          <w:sz w:val="28"/>
        </w:rPr>
        <w:t>土地取得费</w:t>
      </w:r>
      <w:bookmarkStart w:id="0" w:name="_GoBack"/>
      <w:bookmarkEnd w:id="0"/>
      <w:r w:rsidR="00FB5409" w:rsidRPr="002B7B24">
        <w:rPr>
          <w:rFonts w:ascii="Arial" w:eastAsia="仿宋_GB2312" w:hAnsi="Arial" w:cs="Arial"/>
          <w:sz w:val="28"/>
        </w:rPr>
        <w:t>走势平稳。</w:t>
      </w:r>
      <w:r w:rsidR="00FB5409" w:rsidRPr="002B7B24">
        <w:rPr>
          <w:rFonts w:ascii="Arial" w:eastAsia="仿宋_GB2312" w:hAnsi="Arial" w:cs="Arial"/>
          <w:sz w:val="28"/>
        </w:rPr>
        <w:t xml:space="preserve"> </w:t>
      </w:r>
    </w:p>
    <w:p w14:paraId="7FDCC17C" w14:textId="77777777" w:rsidR="00FB5409" w:rsidRPr="00FB5409" w:rsidRDefault="00FB5409"/>
    <w:sectPr w:rsidR="00FB5409" w:rsidRPr="00FB54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FE996" w14:textId="77777777" w:rsidR="00756A91" w:rsidRDefault="00756A91" w:rsidP="00FB5409">
      <w:r>
        <w:separator/>
      </w:r>
    </w:p>
  </w:endnote>
  <w:endnote w:type="continuationSeparator" w:id="0">
    <w:p w14:paraId="57D744C9" w14:textId="77777777" w:rsidR="00756A91" w:rsidRDefault="00756A91" w:rsidP="00FB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F0109" w14:textId="77777777" w:rsidR="00756A91" w:rsidRDefault="00756A91" w:rsidP="00FB5409">
      <w:r>
        <w:separator/>
      </w:r>
    </w:p>
  </w:footnote>
  <w:footnote w:type="continuationSeparator" w:id="0">
    <w:p w14:paraId="36283CEA" w14:textId="77777777" w:rsidR="00756A91" w:rsidRDefault="00756A91" w:rsidP="00FB5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7F"/>
    <w:rsid w:val="0018219F"/>
    <w:rsid w:val="001A1085"/>
    <w:rsid w:val="00452B7F"/>
    <w:rsid w:val="0054150B"/>
    <w:rsid w:val="0069314C"/>
    <w:rsid w:val="00756A91"/>
    <w:rsid w:val="00833278"/>
    <w:rsid w:val="00903718"/>
    <w:rsid w:val="00FB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435FB"/>
  <w15:chartTrackingRefBased/>
  <w15:docId w15:val="{728351F4-7254-47B7-A821-671DF4E4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4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5409"/>
    <w:rPr>
      <w:sz w:val="18"/>
      <w:szCs w:val="18"/>
    </w:rPr>
  </w:style>
  <w:style w:type="paragraph" w:styleId="a5">
    <w:name w:val="footer"/>
    <w:basedOn w:val="a"/>
    <w:link w:val="a6"/>
    <w:uiPriority w:val="99"/>
    <w:unhideWhenUsed/>
    <w:rsid w:val="00FB5409"/>
    <w:pPr>
      <w:tabs>
        <w:tab w:val="center" w:pos="4153"/>
        <w:tab w:val="right" w:pos="8306"/>
      </w:tabs>
      <w:snapToGrid w:val="0"/>
      <w:jc w:val="left"/>
    </w:pPr>
    <w:rPr>
      <w:sz w:val="18"/>
      <w:szCs w:val="18"/>
    </w:rPr>
  </w:style>
  <w:style w:type="character" w:customStyle="1" w:styleId="a6">
    <w:name w:val="页脚 字符"/>
    <w:basedOn w:val="a0"/>
    <w:link w:val="a5"/>
    <w:uiPriority w:val="99"/>
    <w:rsid w:val="00FB54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04429">
      <w:bodyDiv w:val="1"/>
      <w:marLeft w:val="0"/>
      <w:marRight w:val="0"/>
      <w:marTop w:val="0"/>
      <w:marBottom w:val="0"/>
      <w:divBdr>
        <w:top w:val="none" w:sz="0" w:space="0" w:color="auto"/>
        <w:left w:val="none" w:sz="0" w:space="0" w:color="auto"/>
        <w:bottom w:val="none" w:sz="0" w:space="0" w:color="auto"/>
        <w:right w:val="none" w:sz="0" w:space="0" w:color="auto"/>
      </w:divBdr>
    </w:div>
    <w:div w:id="175184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KG</cp:lastModifiedBy>
  <cp:revision>6</cp:revision>
  <dcterms:created xsi:type="dcterms:W3CDTF">2021-12-17T05:18:00Z</dcterms:created>
  <dcterms:modified xsi:type="dcterms:W3CDTF">2021-12-17T06:06:00Z</dcterms:modified>
</cp:coreProperties>
</file>