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EF24C9">
      <w:pPr>
        <w:spacing w:line="300" w:lineRule="exact"/>
        <w:rPr>
          <w:rFonts w:ascii="Arial" w:hAnsi="Arial"/>
        </w:rPr>
      </w:pPr>
    </w:p>
    <w:p w14:paraId="17632B22">
      <w:pPr>
        <w:spacing w:line="300" w:lineRule="exact"/>
        <w:rPr>
          <w:rFonts w:ascii="Arial" w:hAnsi="Arial"/>
        </w:rPr>
      </w:pPr>
    </w:p>
    <w:p w14:paraId="527A7158">
      <w:pPr>
        <w:spacing w:line="300" w:lineRule="exact"/>
        <w:rPr>
          <w:rFonts w:ascii="Arial" w:hAnsi="Arial"/>
        </w:rPr>
      </w:pPr>
    </w:p>
    <w:p w14:paraId="3E5B2D70">
      <w:pPr>
        <w:spacing w:line="300" w:lineRule="exact"/>
        <w:rPr>
          <w:rFonts w:ascii="Arial" w:hAnsi="Arial"/>
        </w:rPr>
      </w:pPr>
    </w:p>
    <w:p w14:paraId="4AEAEDD0">
      <w:pPr>
        <w:spacing w:line="300" w:lineRule="exact"/>
        <w:rPr>
          <w:rFonts w:ascii="Arial" w:hAnsi="Arial"/>
        </w:rPr>
      </w:pPr>
    </w:p>
    <w:p w14:paraId="31B23362">
      <w:pPr>
        <w:spacing w:line="300" w:lineRule="exact"/>
        <w:rPr>
          <w:rFonts w:ascii="Arial" w:hAnsi="Arial"/>
        </w:rPr>
      </w:pPr>
    </w:p>
    <w:p w14:paraId="1C6A02E2">
      <w:pPr>
        <w:spacing w:line="300" w:lineRule="exact"/>
        <w:rPr>
          <w:rFonts w:ascii="Arial" w:hAnsi="Arial"/>
        </w:rPr>
      </w:pPr>
    </w:p>
    <w:p w14:paraId="29FD4822">
      <w:pPr>
        <w:spacing w:line="300" w:lineRule="exact"/>
        <w:rPr>
          <w:rFonts w:ascii="Arial" w:hAnsi="Arial"/>
        </w:rPr>
      </w:pPr>
    </w:p>
    <w:p w14:paraId="74C50462">
      <w:pPr>
        <w:spacing w:line="300" w:lineRule="exact"/>
        <w:rPr>
          <w:rFonts w:ascii="Arial" w:hAnsi="Arial"/>
        </w:rPr>
      </w:pPr>
    </w:p>
    <w:p w14:paraId="4546211B">
      <w:pPr>
        <w:spacing w:line="300" w:lineRule="exact"/>
        <w:rPr>
          <w:rFonts w:ascii="Arial" w:hAnsi="Arial"/>
        </w:rPr>
      </w:pPr>
    </w:p>
    <w:p w14:paraId="2E70EC3D">
      <w:pPr>
        <w:spacing w:line="300" w:lineRule="exact"/>
        <w:rPr>
          <w:rFonts w:ascii="Arial" w:hAnsi="Arial"/>
        </w:rPr>
      </w:pPr>
    </w:p>
    <w:p w14:paraId="3D23BB6C">
      <w:pPr>
        <w:spacing w:line="300" w:lineRule="exact"/>
        <w:rPr>
          <w:rFonts w:ascii="Arial" w:hAnsi="Arial"/>
        </w:rPr>
      </w:pPr>
    </w:p>
    <w:p w14:paraId="1EDA0138">
      <w:pPr>
        <w:spacing w:line="300" w:lineRule="exact"/>
        <w:rPr>
          <w:rFonts w:ascii="Arial" w:hAnsi="Arial"/>
        </w:rPr>
      </w:pPr>
      <w:r>
        <w:rPr>
          <w:rFonts w:hint="eastAsia" w:ascii="Arial" w:hAnsi="Arial"/>
        </w:rPr>
        <w:t xml:space="preserve">   </w:t>
      </w:r>
    </w:p>
    <w:p w14:paraId="2C6D72CC">
      <w:pPr>
        <w:spacing w:line="300" w:lineRule="exact"/>
        <w:rPr>
          <w:rFonts w:ascii="Arial" w:hAnsi="Arial"/>
        </w:rPr>
      </w:pPr>
    </w:p>
    <w:p w14:paraId="7DD9D173">
      <w:pPr>
        <w:spacing w:line="300" w:lineRule="exact"/>
        <w:rPr>
          <w:rFonts w:ascii="Arial" w:hAnsi="Arial"/>
        </w:rPr>
      </w:pPr>
    </w:p>
    <w:p w14:paraId="284524B6">
      <w:pPr>
        <w:spacing w:line="300" w:lineRule="exact"/>
        <w:rPr>
          <w:rFonts w:ascii="Arial" w:hAnsi="Arial"/>
        </w:rPr>
      </w:pPr>
    </w:p>
    <w:p w14:paraId="7F9E1E60">
      <w:pPr>
        <w:spacing w:line="300" w:lineRule="exact"/>
        <w:rPr>
          <w:rFonts w:ascii="Arial" w:hAnsi="Arial"/>
        </w:rPr>
      </w:pPr>
    </w:p>
    <w:p w14:paraId="700034EB">
      <w:pPr>
        <w:spacing w:line="300" w:lineRule="exact"/>
        <w:rPr>
          <w:rFonts w:ascii="Arial" w:hAnsi="Arial"/>
        </w:rPr>
      </w:pPr>
    </w:p>
    <w:p w14:paraId="52FB18E0">
      <w:pPr>
        <w:spacing w:line="300" w:lineRule="exact"/>
        <w:rPr>
          <w:rFonts w:ascii="Arial" w:hAnsi="Arial"/>
        </w:rPr>
      </w:pPr>
    </w:p>
    <w:p w14:paraId="05F62CCF">
      <w:pPr>
        <w:spacing w:line="300" w:lineRule="exact"/>
        <w:rPr>
          <w:rFonts w:ascii="Arial" w:hAnsi="Arial"/>
        </w:rPr>
      </w:pPr>
    </w:p>
    <w:p w14:paraId="5021B619">
      <w:pPr>
        <w:spacing w:line="300" w:lineRule="exact"/>
        <w:rPr>
          <w:rFonts w:ascii="Arial" w:hAnsi="Arial"/>
        </w:rPr>
      </w:pPr>
    </w:p>
    <w:p w14:paraId="3853C010">
      <w:pPr>
        <w:spacing w:line="300" w:lineRule="exact"/>
        <w:rPr>
          <w:rFonts w:ascii="Arial" w:hAnsi="Arial"/>
        </w:rPr>
      </w:pPr>
    </w:p>
    <w:p w14:paraId="7FFBFDA0">
      <w:pPr>
        <w:spacing w:line="300" w:lineRule="exact"/>
        <w:rPr>
          <w:rFonts w:ascii="Arial" w:hAnsi="Arial"/>
        </w:rPr>
      </w:pPr>
    </w:p>
    <w:p w14:paraId="013DDED6">
      <w:pPr>
        <w:spacing w:line="300" w:lineRule="exact"/>
        <w:rPr>
          <w:rFonts w:ascii="Arial" w:hAnsi="Arial"/>
        </w:rPr>
      </w:pPr>
    </w:p>
    <w:p w14:paraId="3D9A6706">
      <w:pPr>
        <w:spacing w:line="300" w:lineRule="exact"/>
        <w:rPr>
          <w:rFonts w:ascii="Arial" w:hAnsi="Arial"/>
        </w:rPr>
      </w:pPr>
    </w:p>
    <w:p w14:paraId="676F1C42">
      <w:pPr>
        <w:numPr>
          <w:ilvl w:val="0"/>
          <w:numId w:val="4"/>
        </w:numPr>
        <w:spacing w:line="300" w:lineRule="exact"/>
        <w:ind w:right="-93"/>
        <w:jc w:val="both"/>
        <w:outlineLvl w:val="0"/>
        <w:rPr>
          <w:rFonts w:ascii="Arial" w:hAnsi="Arial" w:eastAsia="方正黑体简体" w:cs="Arial"/>
          <w:b/>
          <w:bCs/>
          <w:sz w:val="21"/>
          <w:szCs w:val="21"/>
        </w:rPr>
      </w:pPr>
      <w:r>
        <w:rPr>
          <w:rFonts w:hint="eastAsia" w:ascii="Arial" w:hAnsi="Arial" w:eastAsia="方正黑体简体" w:cs="Arial"/>
          <w:b/>
          <w:bCs/>
          <w:sz w:val="21"/>
          <w:szCs w:val="21"/>
        </w:rPr>
        <w:t xml:space="preserve">估价项目名称： </w:t>
      </w:r>
    </w:p>
    <w:p w14:paraId="2C9BF56E">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北京市大兴区义和庄南街25号院1号楼9层一单元903等275套（埝坛华庭）保障性租赁住房（住宅型）项目同地段、同品质市场租赁住房租金评估</w:t>
      </w:r>
    </w:p>
    <w:p w14:paraId="7623548D">
      <w:pPr>
        <w:spacing w:line="300" w:lineRule="exact"/>
        <w:rPr>
          <w:rFonts w:ascii="Arial" w:hAnsi="Arial" w:eastAsia="方正黑体简体" w:cs="Arial"/>
          <w:b/>
          <w:bCs/>
          <w:sz w:val="21"/>
          <w:szCs w:val="21"/>
        </w:rPr>
      </w:pPr>
    </w:p>
    <w:p w14:paraId="446F8C06">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估价委托人：</w:t>
      </w:r>
    </w:p>
    <w:p w14:paraId="065BA41D">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北京市燕兴保障性住房建设投资有限公司</w:t>
      </w:r>
    </w:p>
    <w:p w14:paraId="04B3AF86">
      <w:pPr>
        <w:spacing w:line="300" w:lineRule="exact"/>
        <w:ind w:left="360"/>
        <w:jc w:val="both"/>
        <w:rPr>
          <w:rFonts w:ascii="Arial" w:hAnsi="Arial" w:eastAsia="方正黑体简体" w:cs="Arial"/>
          <w:sz w:val="21"/>
          <w:szCs w:val="21"/>
        </w:rPr>
      </w:pPr>
    </w:p>
    <w:p w14:paraId="7C6169FD">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房地产估价机构：</w:t>
      </w:r>
    </w:p>
    <w:p w14:paraId="402C0599">
      <w:pPr>
        <w:spacing w:line="300" w:lineRule="exact"/>
        <w:ind w:left="360"/>
        <w:jc w:val="both"/>
        <w:rPr>
          <w:rFonts w:ascii="Arial" w:hAnsi="Arial" w:eastAsia="方正黑体简体" w:cs="Arial"/>
          <w:sz w:val="21"/>
          <w:szCs w:val="21"/>
        </w:rPr>
      </w:pPr>
      <w:r>
        <w:rPr>
          <w:rFonts w:hint="eastAsia" w:ascii="Arial" w:hAnsi="Arial" w:eastAsia="方正黑体简体" w:cs="Arial"/>
          <w:sz w:val="21"/>
          <w:szCs w:val="21"/>
        </w:rPr>
        <w:t>北京康正宏基房地产评估有限公司</w:t>
      </w:r>
    </w:p>
    <w:p w14:paraId="73DF8DA1">
      <w:pPr>
        <w:spacing w:line="300" w:lineRule="exact"/>
        <w:jc w:val="both"/>
        <w:rPr>
          <w:rFonts w:ascii="Arial" w:hAnsi="Arial" w:eastAsia="方正黑体简体" w:cs="Arial"/>
          <w:b/>
          <w:sz w:val="21"/>
          <w:szCs w:val="21"/>
        </w:rPr>
      </w:pPr>
    </w:p>
    <w:p w14:paraId="62494B87">
      <w:pPr>
        <w:numPr>
          <w:ilvl w:val="0"/>
          <w:numId w:val="4"/>
        </w:numPr>
        <w:spacing w:line="300" w:lineRule="exact"/>
        <w:jc w:val="both"/>
        <w:outlineLvl w:val="0"/>
        <w:rPr>
          <w:rFonts w:ascii="Arial" w:hAnsi="Arial" w:eastAsia="方正黑体简体" w:cs="Arial"/>
          <w:b/>
          <w:sz w:val="21"/>
          <w:szCs w:val="21"/>
        </w:rPr>
      </w:pPr>
      <w:r>
        <w:rPr>
          <w:rFonts w:hint="eastAsia" w:ascii="Arial" w:hAnsi="Arial" w:eastAsia="方正黑体简体" w:cs="Arial"/>
          <w:b/>
          <w:sz w:val="21"/>
          <w:szCs w:val="21"/>
        </w:rPr>
        <w:t>注册房地产估价师：</w:t>
      </w:r>
    </w:p>
    <w:p w14:paraId="30E36591">
      <w:pPr>
        <w:spacing w:line="300" w:lineRule="exact"/>
        <w:ind w:left="360"/>
        <w:jc w:val="both"/>
        <w:rPr>
          <w:rFonts w:ascii="Arial" w:hAnsi="Arial" w:eastAsia="方正黑体简体" w:cs="Arial"/>
          <w:sz w:val="21"/>
          <w:szCs w:val="21"/>
        </w:rPr>
      </w:pPr>
      <w:bookmarkStart w:id="0" w:name="_Hlk124349677"/>
      <w:r>
        <w:rPr>
          <w:rFonts w:hint="eastAsia" w:ascii="Arial" w:hAnsi="Arial" w:eastAsia="方正黑体简体"/>
          <w:sz w:val="21"/>
          <w:szCs w:val="21"/>
        </w:rPr>
        <w:t>常  畅（注册号：1120250061）</w:t>
      </w:r>
      <w:r>
        <w:rPr>
          <w:rFonts w:ascii="Arial" w:hAnsi="Arial" w:eastAsia="方正黑体简体"/>
          <w:sz w:val="21"/>
          <w:szCs w:val="21"/>
        </w:rPr>
        <w:t xml:space="preserve">  </w:t>
      </w:r>
      <w:r>
        <w:rPr>
          <w:rFonts w:hint="eastAsia" w:ascii="Arial" w:hAnsi="Arial" w:eastAsia="方正黑体简体"/>
          <w:sz w:val="21"/>
          <w:szCs w:val="21"/>
        </w:rPr>
        <w:t>许皓源</w:t>
      </w:r>
      <w:r>
        <w:rPr>
          <w:rFonts w:hint="eastAsia" w:ascii="Arial" w:hAnsi="Arial" w:eastAsia="方正黑体简体" w:cs="Arial"/>
          <w:sz w:val="21"/>
          <w:szCs w:val="21"/>
        </w:rPr>
        <w:t>（注册号：</w:t>
      </w:r>
      <w:r>
        <w:rPr>
          <w:rFonts w:hint="eastAsia" w:ascii="Arial" w:hAnsi="Arial" w:eastAsia="方正黑体简体"/>
          <w:sz w:val="21"/>
          <w:szCs w:val="21"/>
        </w:rPr>
        <w:t>1119980019</w:t>
      </w:r>
      <w:r>
        <w:rPr>
          <w:rFonts w:hint="eastAsia" w:ascii="Arial" w:hAnsi="Arial" w:eastAsia="方正黑体简体" w:cs="Arial"/>
          <w:sz w:val="21"/>
          <w:szCs w:val="21"/>
        </w:rPr>
        <w:t>）</w:t>
      </w:r>
      <w:bookmarkEnd w:id="0"/>
    </w:p>
    <w:p w14:paraId="1EBC3841">
      <w:pPr>
        <w:spacing w:line="300" w:lineRule="exact"/>
        <w:jc w:val="both"/>
        <w:rPr>
          <w:rFonts w:ascii="Arial" w:hAnsi="Arial" w:eastAsia="方正黑体简体" w:cs="Arial"/>
          <w:b/>
          <w:sz w:val="21"/>
          <w:szCs w:val="21"/>
        </w:rPr>
      </w:pPr>
    </w:p>
    <w:p w14:paraId="35C6E184">
      <w:pPr>
        <w:numPr>
          <w:ilvl w:val="0"/>
          <w:numId w:val="4"/>
        </w:numPr>
        <w:spacing w:line="300" w:lineRule="exact"/>
        <w:jc w:val="both"/>
        <w:outlineLvl w:val="0"/>
        <w:rPr>
          <w:rFonts w:ascii="Arial" w:hAnsi="Arial" w:eastAsia="方正黑体简体" w:cs="Arial"/>
          <w:b/>
          <w:sz w:val="21"/>
          <w:szCs w:val="21"/>
        </w:rPr>
      </w:pPr>
      <w:r>
        <w:rPr>
          <w:rFonts w:ascii="Arial" w:hAnsi="Arial" w:eastAsia="方正黑体简体" w:cs="Arial"/>
          <w:b/>
          <w:sz w:val="21"/>
          <w:szCs w:val="21"/>
        </w:rPr>
        <w:t>估价报告出具日期：</w:t>
      </w:r>
    </w:p>
    <w:p w14:paraId="29C65EDE">
      <w:pPr>
        <w:spacing w:line="300" w:lineRule="exact"/>
        <w:ind w:left="360"/>
        <w:jc w:val="both"/>
        <w:rPr>
          <w:rFonts w:ascii="Arial" w:hAnsi="Arial" w:eastAsia="方正黑体简体" w:cs="Arial"/>
          <w:sz w:val="21"/>
          <w:szCs w:val="21"/>
        </w:rPr>
      </w:pPr>
      <w:r>
        <w:rPr>
          <w:rFonts w:ascii="Arial" w:hAnsi="Arial" w:eastAsia="方正黑体简体" w:cs="Arial"/>
          <w:sz w:val="21"/>
          <w:szCs w:val="21"/>
        </w:rPr>
        <w:t>202</w:t>
      </w:r>
      <w:r>
        <w:rPr>
          <w:rFonts w:hint="eastAsia" w:ascii="Arial" w:hAnsi="Arial" w:eastAsia="方正黑体简体" w:cs="Arial"/>
          <w:sz w:val="21"/>
          <w:szCs w:val="21"/>
        </w:rPr>
        <w:t>6</w:t>
      </w:r>
      <w:r>
        <w:rPr>
          <w:rFonts w:ascii="Arial" w:hAnsi="Arial" w:eastAsia="方正黑体简体" w:cs="Arial"/>
          <w:sz w:val="21"/>
          <w:szCs w:val="21"/>
        </w:rPr>
        <w:t>年</w:t>
      </w:r>
      <w:r>
        <w:rPr>
          <w:rFonts w:hint="eastAsia" w:ascii="Arial" w:hAnsi="Arial" w:eastAsia="方正黑体简体" w:cs="Arial"/>
          <w:sz w:val="21"/>
          <w:szCs w:val="21"/>
        </w:rPr>
        <w:t>4</w:t>
      </w:r>
      <w:r>
        <w:rPr>
          <w:rFonts w:ascii="Arial" w:hAnsi="Arial" w:eastAsia="方正黑体简体" w:cs="Arial"/>
          <w:sz w:val="21"/>
          <w:szCs w:val="21"/>
        </w:rPr>
        <w:t>月</w:t>
      </w:r>
      <w:r>
        <w:rPr>
          <w:rFonts w:hint="eastAsia" w:ascii="Arial" w:hAnsi="Arial" w:eastAsia="方正黑体简体" w:cs="Arial"/>
          <w:sz w:val="21"/>
          <w:szCs w:val="21"/>
        </w:rPr>
        <w:t>16</w:t>
      </w:r>
      <w:r>
        <w:rPr>
          <w:rFonts w:ascii="Arial" w:hAnsi="Arial" w:eastAsia="方正黑体简体" w:cs="Arial"/>
          <w:sz w:val="21"/>
          <w:szCs w:val="21"/>
        </w:rPr>
        <w:t>日</w:t>
      </w:r>
    </w:p>
    <w:p w14:paraId="3A32434A">
      <w:pPr>
        <w:spacing w:line="300" w:lineRule="exact"/>
        <w:jc w:val="both"/>
        <w:rPr>
          <w:rFonts w:ascii="Arial" w:hAnsi="Arial" w:eastAsia="方正黑体简体" w:cs="Arial"/>
          <w:b/>
          <w:sz w:val="21"/>
          <w:szCs w:val="21"/>
        </w:rPr>
      </w:pPr>
    </w:p>
    <w:p w14:paraId="354C4327">
      <w:pPr>
        <w:numPr>
          <w:ilvl w:val="0"/>
          <w:numId w:val="4"/>
        </w:numPr>
        <w:spacing w:line="300" w:lineRule="exact"/>
        <w:jc w:val="both"/>
        <w:outlineLvl w:val="0"/>
        <w:rPr>
          <w:rFonts w:ascii="Arial" w:hAnsi="Arial" w:eastAsia="方正黑体简体" w:cs="Arial"/>
          <w:sz w:val="21"/>
          <w:szCs w:val="21"/>
        </w:rPr>
      </w:pPr>
      <w:r>
        <w:rPr>
          <w:rFonts w:hint="eastAsia" w:ascii="Arial" w:hAnsi="Arial" w:eastAsia="方正黑体简体" w:cs="Arial"/>
          <w:b/>
          <w:sz w:val="21"/>
          <w:szCs w:val="21"/>
        </w:rPr>
        <w:t>估价报告编号：</w:t>
      </w:r>
    </w:p>
    <w:p w14:paraId="49B8FDC4">
      <w:pPr>
        <w:spacing w:line="300" w:lineRule="exact"/>
        <w:ind w:left="360"/>
        <w:jc w:val="both"/>
        <w:rPr>
          <w:rFonts w:ascii="Arial" w:hAnsi="Arial" w:eastAsia="方正黑体简体" w:cs="Arial"/>
          <w:sz w:val="21"/>
          <w:szCs w:val="21"/>
        </w:rPr>
        <w:sectPr>
          <w:headerReference r:id="rId8" w:type="first"/>
          <w:footerReference r:id="rId11" w:type="first"/>
          <w:headerReference r:id="rId7" w:type="default"/>
          <w:footerReference r:id="rId9" w:type="default"/>
          <w:footerReference r:id="rId10" w:type="even"/>
          <w:pgSz w:w="11907" w:h="16840"/>
          <w:pgMar w:top="1843" w:right="1134" w:bottom="1134" w:left="1134" w:header="850" w:footer="1134" w:gutter="340"/>
          <w:cols w:space="720" w:num="1"/>
          <w:titlePg/>
          <w:docGrid w:linePitch="326" w:charSpace="0"/>
        </w:sectPr>
      </w:pPr>
      <w:r>
        <w:rPr>
          <w:rFonts w:hint="eastAsia" w:ascii="Arial" w:hAnsi="Arial" w:eastAsia="方正黑体简体" w:cs="Arial"/>
          <w:sz w:val="21"/>
          <w:szCs w:val="21"/>
        </w:rPr>
        <w:t>康正评字2026-1-0181-F01ZLGJ6号</w:t>
      </w:r>
    </w:p>
    <w:p w14:paraId="58EC36CC">
      <w:pPr>
        <w:pStyle w:val="2"/>
        <w:spacing w:line="480" w:lineRule="auto"/>
        <w:jc w:val="center"/>
        <w:rPr>
          <w:rFonts w:eastAsia="方正黑体简体"/>
          <w:b w:val="0"/>
          <w:kern w:val="2"/>
          <w:sz w:val="32"/>
          <w:szCs w:val="32"/>
        </w:rPr>
      </w:pPr>
      <w:bookmarkStart w:id="1" w:name="_Toc155267082"/>
      <w:bookmarkStart w:id="2" w:name="_Toc379795040"/>
      <w:bookmarkStart w:id="3" w:name="_Toc477252437"/>
      <w:r>
        <w:rPr>
          <w:rFonts w:eastAsia="方正黑体简体"/>
          <w:b w:val="0"/>
          <w:kern w:val="2"/>
          <w:sz w:val="32"/>
          <w:szCs w:val="32"/>
        </w:rPr>
        <w:t>致估价委托人函</w:t>
      </w:r>
      <w:bookmarkEnd w:id="1"/>
      <w:bookmarkEnd w:id="2"/>
      <w:bookmarkEnd w:id="3"/>
    </w:p>
    <w:p w14:paraId="78FF0DD7">
      <w:pPr>
        <w:overflowPunct w:val="0"/>
        <w:spacing w:before="120" w:beforeLines="50" w:line="480" w:lineRule="auto"/>
        <w:jc w:val="both"/>
        <w:textAlignment w:val="auto"/>
        <w:rPr>
          <w:rFonts w:ascii="Arial" w:hAnsi="Arial" w:cs="Arial"/>
          <w:b/>
          <w:bCs/>
          <w:sz w:val="21"/>
          <w:szCs w:val="21"/>
        </w:rPr>
      </w:pPr>
      <w:r>
        <w:rPr>
          <w:rFonts w:hint="eastAsia" w:ascii="Arial" w:hAnsi="Arial" w:cs="Arial"/>
          <w:b/>
          <w:bCs/>
          <w:sz w:val="21"/>
          <w:szCs w:val="21"/>
        </w:rPr>
        <w:t>北京市燕兴保障性住房建设投资有限公司</w:t>
      </w:r>
      <w:r>
        <w:rPr>
          <w:rFonts w:ascii="Arial" w:hAnsi="Arial" w:cs="Arial"/>
          <w:b/>
          <w:bCs/>
          <w:sz w:val="21"/>
          <w:szCs w:val="21"/>
        </w:rPr>
        <w:t>：</w:t>
      </w:r>
    </w:p>
    <w:p w14:paraId="6BC2FA39">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受贵单位委托，我公司对</w:t>
      </w:r>
      <w:r>
        <w:rPr>
          <w:rFonts w:hint="eastAsia" w:ascii="Arial" w:hAnsi="Arial" w:cs="Arial"/>
          <w:kern w:val="2"/>
          <w:sz w:val="21"/>
          <w:szCs w:val="21"/>
        </w:rPr>
        <w:t>北京市大兴区义和庄南街25号院1号楼9层一单元903等275套（埝坛华庭）保障性租赁住房（住宅型）项目同地段、同品质市场租赁住房租金进行了评估。</w:t>
      </w:r>
    </w:p>
    <w:p w14:paraId="32064622">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估价目的：</w:t>
      </w:r>
      <w:r>
        <w:rPr>
          <w:rFonts w:hint="eastAsia" w:ascii="Arial" w:hAnsi="Arial" w:cs="Arial"/>
          <w:sz w:val="21"/>
          <w:szCs w:val="21"/>
        </w:rPr>
        <w:t>评估保障性租赁住房项目同地段同品质市场租赁住房租金，为有关单位合理确定保障性租赁住房项目租金提供参考依据</w:t>
      </w:r>
      <w:r>
        <w:rPr>
          <w:rFonts w:ascii="Arial" w:hAnsi="Arial" w:cs="Arial"/>
          <w:sz w:val="21"/>
          <w:szCs w:val="21"/>
        </w:rPr>
        <w:t>。</w:t>
      </w:r>
    </w:p>
    <w:p w14:paraId="35BD4FB5">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估价对象：</w:t>
      </w:r>
      <w:r>
        <w:rPr>
          <w:rFonts w:hint="eastAsia" w:ascii="Arial" w:hAnsi="Arial" w:cs="Arial"/>
          <w:sz w:val="21"/>
          <w:szCs w:val="21"/>
        </w:rPr>
        <w:t>根据《北京市大兴区住房和城乡建设委员会 关于向燕兴公司出售我区安置房剩余房源资产的请示》[京兴建文（2026）20号]及其附件、《北京市燕兴保障性住房建设投资有限公司 关于保留原房屋产权性质的请示》[燕兴建投文（2026）08号]、《北京市规划和自然资源委员会 大兴分局关于燕兴保障房公司保留原房屋产权性质有关意见的报告》[京规自兴文（2026）91号]、《北京市保障性住房收购合同》及其附件、《不动产权证书》[京（2026）大不动产权第0006767、0006768、0006769、0003772、0006911、0006930号]部分、《估价委托书》，估价对象为北京市</w:t>
      </w:r>
      <w:r>
        <w:rPr>
          <w:rFonts w:hint="eastAsia" w:ascii="Arial" w:hAnsi="Arial" w:cs="Arial"/>
          <w:kern w:val="2"/>
          <w:sz w:val="21"/>
          <w:szCs w:val="21"/>
        </w:rPr>
        <w:t>大兴区义和庄南街25、27号院</w:t>
      </w:r>
      <w:r>
        <w:rPr>
          <w:rFonts w:hint="eastAsia" w:ascii="Arial" w:hAnsi="Arial" w:cs="Arial"/>
          <w:sz w:val="21"/>
          <w:szCs w:val="21"/>
        </w:rPr>
        <w:t>（埝坛华庭）共计275套保障性租赁住房（住宅型），总建筑</w:t>
      </w:r>
      <w:r>
        <w:rPr>
          <w:rFonts w:hint="eastAsia" w:ascii="Arial" w:hAnsi="Arial" w:cs="Arial"/>
          <w:kern w:val="2"/>
          <w:sz w:val="21"/>
          <w:szCs w:val="21"/>
        </w:rPr>
        <w:t>面积25172.36平方米，其中，北京市大兴区义和庄南街25号院1号楼9层一单元903等85套，建筑面积7362平方米；大兴区义和庄南街25号院2号楼1层一单元103等64套，建筑面积5511.53平方米；大兴区义和庄南街25号院3号楼3层一单元301等41套，建筑面积4287.82平方米；大兴区义锦南街27号院1号楼1层一单元103等24套，建筑面积2069.45平方米；大兴区义锦南街27号院2号楼2层一单元203等20套，建筑面积1712.2平方米；大兴区义锦南街27号院3号楼4层一单元401等22套，建筑面积2235.22平方米；大兴区义锦南街27号院4号楼4层一单元401等19套，建筑面积1994.14平方米；权利人为北京市燕兴保障性住房建设投资有限公司，并由其负责房源出租及运营管理。</w:t>
      </w:r>
      <w:r>
        <w:rPr>
          <w:rFonts w:hint="eastAsia" w:ascii="Arial" w:hAnsi="Arial" w:cs="Arial"/>
          <w:sz w:val="21"/>
          <w:szCs w:val="21"/>
        </w:rPr>
        <w:t>估价对象具体情况如下：</w:t>
      </w:r>
    </w:p>
    <w:p w14:paraId="3AA7A5E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（转下页）</w:t>
      </w:r>
    </w:p>
    <w:p w14:paraId="4C954066">
      <w:pPr>
        <w:rPr>
          <w:rFonts w:ascii="Arial" w:hAnsi="Arial" w:cs="Arial"/>
          <w:b/>
          <w:bCs/>
          <w:sz w:val="21"/>
          <w:szCs w:val="21"/>
        </w:rPr>
      </w:pPr>
      <w:r>
        <w:rPr>
          <w:rFonts w:hint="eastAsia" w:ascii="Arial" w:hAnsi="Arial" w:cs="Arial"/>
          <w:b/>
          <w:bCs/>
          <w:sz w:val="21"/>
          <w:szCs w:val="21"/>
        </w:rPr>
        <w:br w:type="page"/>
      </w:r>
    </w:p>
    <w:p w14:paraId="14D477F4">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290"/>
        <w:gridCol w:w="1040"/>
        <w:gridCol w:w="1700"/>
        <w:gridCol w:w="1242"/>
        <w:gridCol w:w="1010"/>
        <w:gridCol w:w="2222"/>
      </w:tblGrid>
      <w:tr w14:paraId="1D95C4BC">
        <w:tblPrEx>
          <w:shd w:val="clear" w:color="auto" w:fill="FFFFFF" w:themeFill="background1"/>
          <w:tblCellMar>
            <w:top w:w="0" w:type="dxa"/>
            <w:left w:w="108" w:type="dxa"/>
            <w:bottom w:w="0" w:type="dxa"/>
            <w:right w:w="108" w:type="dxa"/>
          </w:tblCellMar>
        </w:tblPrEx>
        <w:trPr>
          <w:trHeight w:val="570"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0A788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BE7EF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191B0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2F9558">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811FB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16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AAC0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18169100">
        <w:tblPrEx>
          <w:shd w:val="clear" w:color="auto" w:fill="FFFFFF" w:themeFill="background1"/>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A92B6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义和庄南街25号院1、2、3号楼（埝坛华庭西区）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F1DBD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8C8CE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5FE5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FB1EA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D3DEC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188.19</w:t>
            </w:r>
          </w:p>
        </w:tc>
      </w:tr>
      <w:tr w14:paraId="3A7D22AE">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C56785">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212DD7">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E8406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FAE10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983CF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686F2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376.38</w:t>
            </w:r>
          </w:p>
        </w:tc>
      </w:tr>
      <w:tr w14:paraId="309D897D">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A83C2F">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6A19C22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39F50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79395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98F8B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89B2D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564.57</w:t>
            </w:r>
          </w:p>
        </w:tc>
      </w:tr>
      <w:tr w14:paraId="55848ED7">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B05588">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CE031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589A0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19421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08BCB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3C0B2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5428.84</w:t>
            </w:r>
          </w:p>
        </w:tc>
      </w:tr>
      <w:tr w14:paraId="6A9B0BC9">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68A672">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C6432D">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70BCE1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84.11-88.92</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ED4F4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D06F5E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13EDE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7444.69</w:t>
            </w:r>
          </w:p>
        </w:tc>
      </w:tr>
      <w:tr w14:paraId="2BE9CF36">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201FDE">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40737F8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F0763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43F2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149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286C5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D18BB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12873.53</w:t>
            </w:r>
          </w:p>
        </w:tc>
      </w:tr>
      <w:tr w14:paraId="1A8C2D3A">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BF1B64">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8A9DD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D580F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C1715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26599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4718B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1047.83</w:t>
            </w:r>
          </w:p>
        </w:tc>
      </w:tr>
      <w:tr w14:paraId="123C3213">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AFD082">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DEB4D1">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CB622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8092A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863A5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3795EF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2675.42</w:t>
            </w:r>
          </w:p>
        </w:tc>
      </w:tr>
      <w:tr w14:paraId="03EBA18B">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59B362">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437E1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48D06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700B6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71942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4C948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3723.25</w:t>
            </w:r>
          </w:p>
        </w:tc>
      </w:tr>
      <w:tr w14:paraId="6F81F215">
        <w:tblPrEx>
          <w:shd w:val="clear" w:color="auto" w:fill="FFFFFF" w:themeFill="background1"/>
          <w:tblCellMar>
            <w:top w:w="0" w:type="dxa"/>
            <w:left w:w="108" w:type="dxa"/>
            <w:bottom w:w="0" w:type="dxa"/>
            <w:right w:w="108" w:type="dxa"/>
          </w:tblCellMar>
        </w:tblPrEx>
        <w:trPr>
          <w:trHeight w:val="264" w:hRule="atLeast"/>
        </w:trPr>
        <w:tc>
          <w:tcPr>
            <w:tcW w:w="1204" w:type="pct"/>
            <w:tcBorders>
              <w:top w:val="nil"/>
              <w:left w:val="single" w:color="000000" w:sz="4" w:space="0"/>
              <w:bottom w:val="nil"/>
              <w:right w:val="single" w:color="000000" w:sz="4" w:space="0"/>
            </w:tcBorders>
            <w:shd w:val="clear" w:color="auto" w:fill="FFFFFF" w:themeFill="background1"/>
            <w:vAlign w:val="center"/>
          </w:tcPr>
          <w:p w14:paraId="01A10D7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8D678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C9070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1F4EE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190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021D9D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AFE21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17161.35</w:t>
            </w:r>
          </w:p>
        </w:tc>
      </w:tr>
      <w:tr w14:paraId="3CCF5FD9">
        <w:tblPrEx>
          <w:shd w:val="clear" w:color="auto" w:fill="FFFFFF" w:themeFill="background1"/>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310C6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义锦南街27号院1、2、3、4号楼（埝坛华庭东区）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B4F61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51150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9FF35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468BD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6EDAD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187.92</w:t>
            </w:r>
          </w:p>
        </w:tc>
      </w:tr>
      <w:tr w14:paraId="4063D2D6">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9CE291">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ACD39A">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3EAFC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E9863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CE8C3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E55E6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438.48</w:t>
            </w:r>
          </w:p>
        </w:tc>
      </w:tr>
      <w:tr w14:paraId="30CE62A0">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9C3CC6">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14D45A6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9C555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83C2F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DBC3C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F212F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r>
      <w:tr w14:paraId="646AFCD3">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AA663E">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215BB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C8A42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4DF46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A6393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EE8B8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1306.91</w:t>
            </w:r>
          </w:p>
        </w:tc>
      </w:tr>
      <w:tr w14:paraId="5AE16F8A">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721B7E">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959FBD">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1E165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4AD04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243B9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0F9C0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2474.74</w:t>
            </w:r>
          </w:p>
        </w:tc>
      </w:tr>
      <w:tr w14:paraId="6C4DD482">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80E790">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0D403E6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A6CD0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13AC8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44</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CE98F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CF71C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3781.65</w:t>
            </w:r>
          </w:p>
        </w:tc>
      </w:tr>
      <w:tr w14:paraId="1554C8A9">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DE75FE">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61410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0791E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74A4A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DC954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58522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697.62</w:t>
            </w:r>
          </w:p>
        </w:tc>
      </w:tr>
      <w:tr w14:paraId="72C6FBE7">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A2C618">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968A98">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4FB71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62EFCD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A5982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CAA27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2905.34</w:t>
            </w:r>
          </w:p>
        </w:tc>
      </w:tr>
      <w:tr w14:paraId="6C0AE491">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BABCDC">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EC2C2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667AA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7D4CF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31</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FF4F5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9396B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3602.96</w:t>
            </w:r>
          </w:p>
        </w:tc>
      </w:tr>
      <w:tr w14:paraId="4CE94396">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EF7DF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BF7CB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203D3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D849E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99141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A48E0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8011.01</w:t>
            </w:r>
          </w:p>
        </w:tc>
      </w:tr>
      <w:tr w14:paraId="590F9BBB">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D2AF4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9C06B2">
            <w:pPr>
              <w:widowControl/>
              <w:adjustRightInd/>
              <w:spacing w:line="240" w:lineRule="auto"/>
              <w:jc w:val="center"/>
              <w:textAlignment w:val="auto"/>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B9BFD2">
            <w:pPr>
              <w:widowControl/>
              <w:adjustRightInd/>
              <w:spacing w:line="240" w:lineRule="auto"/>
              <w:jc w:val="center"/>
              <w:textAlignment w:val="auto"/>
              <w:rPr>
                <w:rFonts w:ascii="华文细黑" w:hAnsi="华文细黑" w:eastAsia="华文细黑" w:cs="Arial"/>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00970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275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ADF8A7">
            <w:pPr>
              <w:widowControl/>
              <w:adjustRightInd/>
              <w:spacing w:line="240" w:lineRule="auto"/>
              <w:jc w:val="center"/>
              <w:textAlignment w:val="auto"/>
              <w:rPr>
                <w:rFonts w:ascii="华文细黑" w:hAnsi="华文细黑" w:eastAsia="华文细黑" w:cs="Arial"/>
                <w:sz w:val="18"/>
                <w:szCs w:val="18"/>
              </w:rPr>
            </w:pP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28D8B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25172.36</w:t>
            </w:r>
          </w:p>
        </w:tc>
      </w:tr>
    </w:tbl>
    <w:p w14:paraId="46D6434E">
      <w:pPr>
        <w:overflowPunct w:val="0"/>
        <w:spacing w:after="120" w:afterLines="50" w:line="240" w:lineRule="auto"/>
        <w:jc w:val="center"/>
        <w:textAlignment w:val="auto"/>
        <w:rPr>
          <w:rFonts w:ascii="Arial" w:hAnsi="Arial" w:cs="Arial"/>
          <w:b/>
          <w:bCs/>
          <w:sz w:val="21"/>
          <w:szCs w:val="21"/>
        </w:rPr>
      </w:pPr>
    </w:p>
    <w:p w14:paraId="24E0D02B">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价值时点：</w:t>
      </w:r>
      <w:r>
        <w:rPr>
          <w:rFonts w:hint="eastAsia" w:ascii="Arial" w:hAnsi="Arial" w:cs="Arial"/>
          <w:sz w:val="21"/>
          <w:szCs w:val="21"/>
        </w:rPr>
        <w:t>2026年4月7日（依据《估价委托书》确定）</w:t>
      </w:r>
    </w:p>
    <w:p w14:paraId="5F9ECA60">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价值类型：</w:t>
      </w:r>
      <w:r>
        <w:rPr>
          <w:rFonts w:hint="eastAsia" w:ascii="Arial" w:hAnsi="Arial" w:cs="Arial"/>
          <w:sz w:val="21"/>
          <w:szCs w:val="21"/>
        </w:rPr>
        <w:t>根据房地产评估的技术规程和本次估价目的，本次估价采用的是市场价值标准。</w:t>
      </w:r>
      <w:bookmarkStart w:id="4" w:name="_Hlk118454962"/>
      <w:r>
        <w:rPr>
          <w:rFonts w:hint="eastAsia" w:ascii="Arial" w:hAnsi="Arial" w:cs="Arial"/>
          <w:sz w:val="21"/>
          <w:szCs w:val="21"/>
        </w:rPr>
        <w:t>市场租赁住房租金是指市场租赁住房于价值时点在公开市场上的平均租金，</w:t>
      </w:r>
      <w:bookmarkEnd w:id="4"/>
      <w:r>
        <w:rPr>
          <w:rFonts w:hint="eastAsia" w:ascii="Arial" w:hAnsi="Arial" w:cs="Arial"/>
          <w:sz w:val="21"/>
          <w:szCs w:val="21"/>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69C6AD06">
      <w:pPr>
        <w:overflowPunct w:val="0"/>
        <w:spacing w:line="480" w:lineRule="auto"/>
        <w:ind w:firstLine="422" w:firstLineChars="200"/>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本次评估采用的估价方法为比较法</w:t>
      </w:r>
      <w:r>
        <w:rPr>
          <w:rFonts w:ascii="Arial" w:hAnsi="Arial" w:cs="Arial"/>
          <w:sz w:val="21"/>
          <w:szCs w:val="21"/>
        </w:rPr>
        <w:t>。</w:t>
      </w:r>
    </w:p>
    <w:p w14:paraId="05E8AB74">
      <w:pPr>
        <w:overflowPunct w:val="0"/>
        <w:spacing w:line="480" w:lineRule="auto"/>
        <w:ind w:firstLine="422" w:firstLineChars="200"/>
        <w:jc w:val="both"/>
        <w:textAlignment w:val="auto"/>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（埝坛华庭）保障性租赁住房（住宅型）项目于价值时点2026年4月7日同地段、同品质市场租赁住房租金为：</w:t>
      </w:r>
    </w:p>
    <w:p w14:paraId="4A0646AC">
      <w:pPr>
        <w:tabs>
          <w:tab w:val="left" w:pos="3360"/>
        </w:tabs>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一居室（62.64-62.73</w:t>
      </w:r>
      <w:r>
        <w:rPr>
          <w:rFonts w:ascii="Arial" w:hAnsi="Arial" w:cs="Arial"/>
          <w:b/>
          <w:bCs/>
          <w:sz w:val="21"/>
          <w:szCs w:val="21"/>
        </w:rPr>
        <w:t>平方米）</w:t>
      </w:r>
      <w:r>
        <w:rPr>
          <w:rFonts w:hint="eastAsia" w:ascii="Arial" w:hAnsi="Arial" w:cs="Arial"/>
          <w:b/>
          <w:bCs/>
          <w:sz w:val="21"/>
          <w:szCs w:val="21"/>
        </w:rPr>
        <w:t>：49.73元/平方米·月</w:t>
      </w:r>
    </w:p>
    <w:p w14:paraId="6DD223E6">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两居室（84.11-88.94</w:t>
      </w:r>
      <w:r>
        <w:rPr>
          <w:rFonts w:ascii="Arial" w:hAnsi="Arial" w:cs="Arial"/>
          <w:b/>
          <w:bCs/>
          <w:sz w:val="21"/>
          <w:szCs w:val="21"/>
        </w:rPr>
        <w:t>平方米）</w:t>
      </w:r>
      <w:r>
        <w:rPr>
          <w:rFonts w:hint="eastAsia" w:ascii="Arial" w:hAnsi="Arial" w:cs="Arial"/>
          <w:b/>
          <w:bCs/>
          <w:sz w:val="21"/>
          <w:szCs w:val="21"/>
        </w:rPr>
        <w:t>：41.74元/平方米·月</w:t>
      </w:r>
    </w:p>
    <w:p w14:paraId="31B83294">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三居室（115.8-116.74</w:t>
      </w:r>
      <w:r>
        <w:rPr>
          <w:rFonts w:ascii="Arial" w:hAnsi="Arial" w:cs="Arial"/>
          <w:b/>
          <w:bCs/>
          <w:sz w:val="21"/>
          <w:szCs w:val="21"/>
        </w:rPr>
        <w:t>平方米</w:t>
      </w:r>
      <w:r>
        <w:rPr>
          <w:rFonts w:hint="eastAsia" w:ascii="Arial" w:hAnsi="Arial" w:cs="Arial"/>
          <w:b/>
          <w:bCs/>
          <w:sz w:val="21"/>
          <w:szCs w:val="21"/>
        </w:rPr>
        <w:t>）：40.76元/平方米·月</w:t>
      </w:r>
    </w:p>
    <w:p w14:paraId="027933B5">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综合租金：41.83元/平方米·月</w:t>
      </w:r>
    </w:p>
    <w:p w14:paraId="7EC1555B">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59F48383">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14662850">
      <w:pPr>
        <w:rPr>
          <w:rFonts w:ascii="华文楷体" w:hAnsi="华文楷体" w:eastAsia="华文楷体" w:cs="华文楷体"/>
          <w:sz w:val="21"/>
          <w:szCs w:val="21"/>
        </w:rPr>
      </w:pPr>
    </w:p>
    <w:p w14:paraId="2E2531DF">
      <w:pPr>
        <w:overflowPunct w:val="0"/>
        <w:spacing w:line="480" w:lineRule="auto"/>
        <w:jc w:val="both"/>
        <w:textAlignment w:val="auto"/>
        <w:rPr>
          <w:rFonts w:ascii="华文楷体" w:hAnsi="华文楷体" w:eastAsia="华文楷体" w:cs="华文楷体"/>
          <w:sz w:val="21"/>
          <w:szCs w:val="21"/>
        </w:rPr>
      </w:pPr>
    </w:p>
    <w:p w14:paraId="63F70350">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顺致</w:t>
      </w:r>
    </w:p>
    <w:p w14:paraId="164702F6">
      <w:pPr>
        <w:overflowPunct w:val="0"/>
        <w:spacing w:line="480" w:lineRule="auto"/>
        <w:ind w:firstLine="420" w:firstLineChars="200"/>
        <w:jc w:val="both"/>
        <w:textAlignment w:val="auto"/>
        <w:rPr>
          <w:rFonts w:ascii="Arial" w:hAnsi="Arial" w:cs="Arial"/>
          <w:sz w:val="21"/>
          <w:szCs w:val="21"/>
        </w:rPr>
      </w:pPr>
    </w:p>
    <w:p w14:paraId="3D494440">
      <w:pPr>
        <w:spacing w:line="480" w:lineRule="auto"/>
        <w:ind w:firstLine="1260" w:firstLineChars="600"/>
        <w:jc w:val="both"/>
        <w:rPr>
          <w:rFonts w:ascii="Arial" w:hAnsi="Arial" w:cs="Arial"/>
          <w:sz w:val="21"/>
          <w:szCs w:val="21"/>
        </w:rPr>
      </w:pPr>
      <w:r>
        <w:rPr>
          <w:rFonts w:ascii="Arial" w:hAnsi="Arial" w:cs="Arial"/>
          <w:sz w:val="21"/>
          <w:szCs w:val="21"/>
        </w:rPr>
        <w:t>商祺</w:t>
      </w:r>
    </w:p>
    <w:tbl>
      <w:tblPr>
        <w:tblStyle w:val="33"/>
        <w:tblpPr w:leftFromText="180" w:rightFromText="180" w:vertAnchor="text" w:horzAnchor="margin" w:tblpXSpec="right" w:tblpY="1117"/>
        <w:tblW w:w="0" w:type="auto"/>
        <w:tblInd w:w="0" w:type="dxa"/>
        <w:tblLayout w:type="autofit"/>
        <w:tblCellMar>
          <w:top w:w="0" w:type="dxa"/>
          <w:left w:w="108" w:type="dxa"/>
          <w:bottom w:w="0" w:type="dxa"/>
          <w:right w:w="108" w:type="dxa"/>
        </w:tblCellMar>
      </w:tblPr>
      <w:tblGrid>
        <w:gridCol w:w="3402"/>
      </w:tblGrid>
      <w:tr w14:paraId="37956217">
        <w:tblPrEx>
          <w:tblCellMar>
            <w:top w:w="0" w:type="dxa"/>
            <w:left w:w="108" w:type="dxa"/>
            <w:bottom w:w="0" w:type="dxa"/>
            <w:right w:w="108" w:type="dxa"/>
          </w:tblCellMar>
        </w:tblPrEx>
        <w:tc>
          <w:tcPr>
            <w:tcW w:w="3402" w:type="dxa"/>
          </w:tcPr>
          <w:p w14:paraId="3ECC1D86">
            <w:pPr>
              <w:spacing w:line="480" w:lineRule="auto"/>
              <w:rPr>
                <w:rFonts w:ascii="Arial" w:hAnsi="Arial" w:cs="Arial"/>
                <w:sz w:val="21"/>
                <w:szCs w:val="21"/>
              </w:rPr>
            </w:pPr>
            <w:r>
              <w:rPr>
                <w:rFonts w:ascii="Arial" w:hAnsi="Arial" w:cs="Arial"/>
                <w:sz w:val="21"/>
                <w:szCs w:val="21"/>
              </w:rPr>
              <w:t>北京康正宏基房地产评估有限公司</w:t>
            </w:r>
          </w:p>
        </w:tc>
      </w:tr>
      <w:tr w14:paraId="65FD4891">
        <w:tblPrEx>
          <w:tblCellMar>
            <w:top w:w="0" w:type="dxa"/>
            <w:left w:w="108" w:type="dxa"/>
            <w:bottom w:w="0" w:type="dxa"/>
            <w:right w:w="108" w:type="dxa"/>
          </w:tblCellMar>
        </w:tblPrEx>
        <w:trPr>
          <w:trHeight w:val="1298" w:hRule="atLeast"/>
        </w:trPr>
        <w:tc>
          <w:tcPr>
            <w:tcW w:w="3402" w:type="dxa"/>
          </w:tcPr>
          <w:p w14:paraId="78E0DFF9">
            <w:pPr>
              <w:spacing w:line="480" w:lineRule="auto"/>
              <w:rPr>
                <w:rFonts w:ascii="Arial" w:hAnsi="Arial" w:cs="Arial"/>
                <w:sz w:val="21"/>
                <w:szCs w:val="21"/>
              </w:rPr>
            </w:pPr>
            <w:r>
              <w:rPr>
                <w:rFonts w:ascii="Arial" w:hAnsi="Arial" w:cs="Arial"/>
                <w:sz w:val="21"/>
                <w:szCs w:val="21"/>
              </w:rPr>
              <w:t>法定代表人：</w:t>
            </w:r>
          </w:p>
        </w:tc>
      </w:tr>
      <w:tr w14:paraId="67E3A99E">
        <w:tblPrEx>
          <w:tblCellMar>
            <w:top w:w="0" w:type="dxa"/>
            <w:left w:w="108" w:type="dxa"/>
            <w:bottom w:w="0" w:type="dxa"/>
            <w:right w:w="108" w:type="dxa"/>
          </w:tblCellMar>
        </w:tblPrEx>
        <w:tc>
          <w:tcPr>
            <w:tcW w:w="3402" w:type="dxa"/>
          </w:tcPr>
          <w:p w14:paraId="40D5DF48">
            <w:pPr>
              <w:spacing w:line="480" w:lineRule="auto"/>
              <w:jc w:val="right"/>
              <w:rPr>
                <w:rFonts w:ascii="Arial" w:hAnsi="Arial" w:cs="Arial"/>
                <w:sz w:val="21"/>
                <w:szCs w:val="21"/>
              </w:rPr>
            </w:pPr>
            <w:r>
              <w:rPr>
                <w:rFonts w:ascii="Arial" w:hAnsi="Arial" w:cs="Arial"/>
                <w:sz w:val="21"/>
                <w:szCs w:val="21"/>
              </w:rPr>
              <w:t>二〇二</w:t>
            </w:r>
            <w:r>
              <w:rPr>
                <w:rFonts w:hint="eastAsia" w:ascii="Arial" w:hAnsi="Arial" w:cs="Arial"/>
                <w:sz w:val="21"/>
                <w:szCs w:val="21"/>
              </w:rPr>
              <w:t>六</w:t>
            </w:r>
            <w:r>
              <w:rPr>
                <w:rFonts w:ascii="Arial" w:hAnsi="Arial" w:cs="Arial"/>
                <w:sz w:val="21"/>
                <w:szCs w:val="21"/>
              </w:rPr>
              <w:t>年</w:t>
            </w:r>
            <w:r>
              <w:rPr>
                <w:rFonts w:hint="eastAsia" w:ascii="Arial" w:hAnsi="Arial" w:cs="Arial"/>
                <w:sz w:val="21"/>
                <w:szCs w:val="21"/>
              </w:rPr>
              <w:t>四</w:t>
            </w:r>
            <w:r>
              <w:rPr>
                <w:rFonts w:ascii="Arial" w:hAnsi="Arial" w:cs="Arial"/>
                <w:sz w:val="21"/>
                <w:szCs w:val="21"/>
              </w:rPr>
              <w:t>月</w:t>
            </w:r>
            <w:r>
              <w:rPr>
                <w:rFonts w:hint="eastAsia" w:ascii="Arial" w:hAnsi="Arial" w:cs="Arial"/>
                <w:sz w:val="21"/>
                <w:szCs w:val="21"/>
              </w:rPr>
              <w:t>十六</w:t>
            </w:r>
            <w:r>
              <w:rPr>
                <w:rFonts w:ascii="Arial" w:hAnsi="Arial" w:cs="Arial"/>
                <w:sz w:val="21"/>
                <w:szCs w:val="21"/>
              </w:rPr>
              <w:t>日</w:t>
            </w:r>
          </w:p>
        </w:tc>
      </w:tr>
    </w:tbl>
    <w:p w14:paraId="23EEF1C9">
      <w:pPr>
        <w:spacing w:line="480" w:lineRule="auto"/>
        <w:rPr>
          <w:rFonts w:ascii="Arial" w:hAnsi="Arial" w:cs="Arial"/>
          <w:sz w:val="21"/>
          <w:szCs w:val="21"/>
        </w:rPr>
      </w:pPr>
    </w:p>
    <w:p w14:paraId="20BE6844">
      <w:pPr>
        <w:rPr>
          <w:rFonts w:ascii="Arial" w:hAnsi="Arial" w:cs="Arial"/>
          <w:sz w:val="21"/>
          <w:szCs w:val="21"/>
        </w:rPr>
      </w:pPr>
    </w:p>
    <w:p w14:paraId="43B2ADAD">
      <w:pPr>
        <w:rPr>
          <w:rFonts w:ascii="Arial" w:hAnsi="Arial" w:cs="Arial"/>
          <w:sz w:val="21"/>
          <w:szCs w:val="21"/>
        </w:rPr>
      </w:pPr>
    </w:p>
    <w:p w14:paraId="38BDAFCC">
      <w:pPr>
        <w:rPr>
          <w:rFonts w:ascii="Arial" w:hAnsi="Arial" w:cs="Arial"/>
          <w:sz w:val="21"/>
          <w:szCs w:val="21"/>
        </w:rPr>
      </w:pPr>
    </w:p>
    <w:p w14:paraId="600DF8CD">
      <w:pPr>
        <w:rPr>
          <w:rFonts w:ascii="Arial" w:hAnsi="Arial" w:cs="Arial"/>
          <w:sz w:val="21"/>
          <w:szCs w:val="21"/>
        </w:rPr>
      </w:pPr>
    </w:p>
    <w:p w14:paraId="130ECC8F">
      <w:pPr>
        <w:rPr>
          <w:rFonts w:ascii="Arial" w:hAnsi="Arial" w:cs="Arial"/>
          <w:sz w:val="21"/>
          <w:szCs w:val="21"/>
        </w:rPr>
      </w:pPr>
    </w:p>
    <w:p w14:paraId="39CA35A2">
      <w:pPr>
        <w:rPr>
          <w:rFonts w:ascii="Arial" w:hAnsi="Arial" w:cs="Arial"/>
          <w:sz w:val="21"/>
          <w:szCs w:val="21"/>
        </w:rPr>
      </w:pPr>
    </w:p>
    <w:p w14:paraId="1D785DB9">
      <w:pPr>
        <w:rPr>
          <w:rFonts w:ascii="Arial" w:hAnsi="Arial" w:cs="Arial"/>
          <w:sz w:val="21"/>
          <w:szCs w:val="21"/>
        </w:rPr>
      </w:pPr>
    </w:p>
    <w:p w14:paraId="2DB03BD4">
      <w:pPr>
        <w:rPr>
          <w:rFonts w:ascii="Arial" w:hAnsi="Arial" w:cs="Arial"/>
          <w:sz w:val="21"/>
          <w:szCs w:val="21"/>
        </w:rPr>
      </w:pPr>
    </w:p>
    <w:p w14:paraId="5CF401A4">
      <w:pPr>
        <w:rPr>
          <w:rFonts w:ascii="Arial" w:hAnsi="Arial" w:eastAsia="方正黑体简体" w:cs="Arial"/>
          <w:sz w:val="32"/>
          <w:szCs w:val="32"/>
        </w:rPr>
      </w:pPr>
      <w:r>
        <w:rPr>
          <w:rFonts w:hint="eastAsia" w:ascii="Arial" w:hAnsi="Arial" w:eastAsia="方正黑体简体" w:cs="Arial"/>
          <w:sz w:val="32"/>
          <w:szCs w:val="32"/>
        </w:rPr>
        <w:br w:type="page"/>
      </w:r>
    </w:p>
    <w:p w14:paraId="17EFD150">
      <w:pPr>
        <w:spacing w:line="480" w:lineRule="auto"/>
        <w:jc w:val="center"/>
        <w:outlineLvl w:val="0"/>
        <w:rPr>
          <w:rFonts w:ascii="Arial" w:hAnsi="Arial" w:eastAsia="方正黑体简体" w:cs="Arial"/>
          <w:sz w:val="32"/>
          <w:szCs w:val="32"/>
        </w:rPr>
      </w:pPr>
      <w:r>
        <w:rPr>
          <w:rFonts w:hint="eastAsia" w:ascii="Arial" w:hAnsi="Arial" w:eastAsia="方正黑体简体" w:cs="Arial"/>
          <w:sz w:val="32"/>
          <w:szCs w:val="32"/>
        </w:rPr>
        <w:t>目   录</w:t>
      </w:r>
    </w:p>
    <w:p w14:paraId="663DB0A5">
      <w:pPr>
        <w:pStyle w:val="23"/>
        <w:rPr>
          <w:rFonts w:ascii="等线" w:hAnsi="等线" w:eastAsia="等线"/>
          <w:b w:val="0"/>
          <w:bCs w:val="0"/>
          <w:kern w:val="2"/>
          <w:sz w:val="24"/>
          <w:szCs w:val="24"/>
        </w:rPr>
      </w:pPr>
      <w:r>
        <w:rPr>
          <w:rFonts w:ascii="宋体" w:hAnsi="宋体" w:eastAsia="宋体" w:cs="Arial"/>
          <w:sz w:val="24"/>
          <w:szCs w:val="24"/>
        </w:rPr>
        <w:fldChar w:fldCharType="begin"/>
      </w:r>
      <w:r>
        <w:rPr>
          <w:rFonts w:ascii="宋体" w:hAnsi="宋体" w:eastAsia="宋体" w:cs="Arial"/>
          <w:sz w:val="24"/>
          <w:szCs w:val="24"/>
        </w:rPr>
        <w:instrText xml:space="preserve"> TOC \o "1-3" \h \z </w:instrText>
      </w:r>
      <w:r>
        <w:rPr>
          <w:rFonts w:ascii="宋体" w:hAnsi="宋体" w:eastAsia="宋体" w:cs="Arial"/>
          <w:sz w:val="24"/>
          <w:szCs w:val="24"/>
        </w:rPr>
        <w:fldChar w:fldCharType="separate"/>
      </w:r>
      <w:r>
        <w:fldChar w:fldCharType="begin"/>
      </w:r>
      <w:r>
        <w:instrText xml:space="preserve"> HYPERLINK \l "_Toc155267082" </w:instrText>
      </w:r>
      <w:r>
        <w:fldChar w:fldCharType="separate"/>
      </w:r>
      <w:r>
        <w:rPr>
          <w:rStyle w:val="39"/>
          <w:rFonts w:eastAsia="方正黑体简体"/>
          <w:sz w:val="24"/>
          <w:szCs w:val="24"/>
        </w:rPr>
        <w:t>致估价委托人函</w:t>
      </w:r>
      <w:r>
        <w:rPr>
          <w:sz w:val="24"/>
          <w:szCs w:val="24"/>
        </w:rPr>
        <w:tab/>
      </w:r>
      <w:r>
        <w:rPr>
          <w:sz w:val="24"/>
          <w:szCs w:val="24"/>
        </w:rPr>
        <w:fldChar w:fldCharType="begin"/>
      </w:r>
      <w:r>
        <w:rPr>
          <w:sz w:val="24"/>
          <w:szCs w:val="24"/>
        </w:rPr>
        <w:instrText xml:space="preserve"> PAGEREF _Toc155267082 \h </w:instrText>
      </w:r>
      <w:r>
        <w:rPr>
          <w:sz w:val="24"/>
          <w:szCs w:val="24"/>
        </w:rPr>
        <w:fldChar w:fldCharType="separate"/>
      </w:r>
      <w:r>
        <w:rPr>
          <w:sz w:val="24"/>
          <w:szCs w:val="24"/>
        </w:rPr>
        <w:t>2</w:t>
      </w:r>
      <w:r>
        <w:rPr>
          <w:sz w:val="24"/>
          <w:szCs w:val="24"/>
        </w:rPr>
        <w:fldChar w:fldCharType="end"/>
      </w:r>
      <w:r>
        <w:rPr>
          <w:sz w:val="24"/>
          <w:szCs w:val="24"/>
        </w:rPr>
        <w:fldChar w:fldCharType="end"/>
      </w:r>
    </w:p>
    <w:p w14:paraId="67AE87D3">
      <w:pPr>
        <w:pStyle w:val="23"/>
        <w:rPr>
          <w:rFonts w:ascii="等线" w:hAnsi="等线" w:eastAsia="等线"/>
          <w:b w:val="0"/>
          <w:bCs w:val="0"/>
          <w:kern w:val="2"/>
          <w:sz w:val="24"/>
          <w:szCs w:val="24"/>
        </w:rPr>
      </w:pPr>
      <w:r>
        <w:fldChar w:fldCharType="begin"/>
      </w:r>
      <w:r>
        <w:instrText xml:space="preserve"> HYPERLINK \l "_Toc155267083" </w:instrText>
      </w:r>
      <w:r>
        <w:fldChar w:fldCharType="separate"/>
      </w:r>
      <w:r>
        <w:rPr>
          <w:rStyle w:val="39"/>
          <w:rFonts w:eastAsia="方正黑体简体"/>
          <w:sz w:val="24"/>
          <w:szCs w:val="24"/>
        </w:rPr>
        <w:t>估价师声明</w:t>
      </w:r>
      <w:r>
        <w:rPr>
          <w:sz w:val="24"/>
          <w:szCs w:val="24"/>
        </w:rPr>
        <w:tab/>
      </w:r>
      <w:r>
        <w:rPr>
          <w:sz w:val="24"/>
          <w:szCs w:val="24"/>
        </w:rPr>
        <w:fldChar w:fldCharType="begin"/>
      </w:r>
      <w:r>
        <w:rPr>
          <w:sz w:val="24"/>
          <w:szCs w:val="24"/>
        </w:rPr>
        <w:instrText xml:space="preserve"> PAGEREF _Toc155267083 \h </w:instrText>
      </w:r>
      <w:r>
        <w:rPr>
          <w:sz w:val="24"/>
          <w:szCs w:val="24"/>
        </w:rPr>
        <w:fldChar w:fldCharType="separate"/>
      </w:r>
      <w:r>
        <w:rPr>
          <w:sz w:val="24"/>
          <w:szCs w:val="24"/>
        </w:rPr>
        <w:t>7</w:t>
      </w:r>
      <w:r>
        <w:rPr>
          <w:sz w:val="24"/>
          <w:szCs w:val="24"/>
        </w:rPr>
        <w:fldChar w:fldCharType="end"/>
      </w:r>
      <w:r>
        <w:rPr>
          <w:sz w:val="24"/>
          <w:szCs w:val="24"/>
        </w:rPr>
        <w:fldChar w:fldCharType="end"/>
      </w:r>
    </w:p>
    <w:p w14:paraId="2D9D9A59">
      <w:pPr>
        <w:pStyle w:val="23"/>
        <w:rPr>
          <w:rFonts w:ascii="等线" w:hAnsi="等线" w:eastAsia="等线"/>
          <w:b w:val="0"/>
          <w:bCs w:val="0"/>
          <w:kern w:val="2"/>
          <w:sz w:val="24"/>
          <w:szCs w:val="24"/>
        </w:rPr>
      </w:pPr>
      <w:r>
        <w:fldChar w:fldCharType="begin"/>
      </w:r>
      <w:r>
        <w:instrText xml:space="preserve"> HYPERLINK \l "_Toc155267084" </w:instrText>
      </w:r>
      <w:r>
        <w:fldChar w:fldCharType="separate"/>
      </w:r>
      <w:r>
        <w:rPr>
          <w:rStyle w:val="39"/>
          <w:rFonts w:eastAsia="方正黑体简体"/>
          <w:sz w:val="24"/>
          <w:szCs w:val="24"/>
        </w:rPr>
        <w:t>估价假设和限制条件</w:t>
      </w:r>
      <w:r>
        <w:rPr>
          <w:sz w:val="24"/>
          <w:szCs w:val="24"/>
        </w:rPr>
        <w:tab/>
      </w:r>
      <w:r>
        <w:rPr>
          <w:sz w:val="24"/>
          <w:szCs w:val="24"/>
        </w:rPr>
        <w:fldChar w:fldCharType="begin"/>
      </w:r>
      <w:r>
        <w:rPr>
          <w:sz w:val="24"/>
          <w:szCs w:val="24"/>
        </w:rPr>
        <w:instrText xml:space="preserve"> PAGEREF _Toc155267084 \h </w:instrText>
      </w:r>
      <w:r>
        <w:rPr>
          <w:sz w:val="24"/>
          <w:szCs w:val="24"/>
        </w:rPr>
        <w:fldChar w:fldCharType="separate"/>
      </w:r>
      <w:r>
        <w:rPr>
          <w:sz w:val="24"/>
          <w:szCs w:val="24"/>
        </w:rPr>
        <w:t>8</w:t>
      </w:r>
      <w:r>
        <w:rPr>
          <w:sz w:val="24"/>
          <w:szCs w:val="24"/>
        </w:rPr>
        <w:fldChar w:fldCharType="end"/>
      </w:r>
      <w:r>
        <w:rPr>
          <w:sz w:val="24"/>
          <w:szCs w:val="24"/>
        </w:rPr>
        <w:fldChar w:fldCharType="end"/>
      </w:r>
    </w:p>
    <w:p w14:paraId="12370301">
      <w:pPr>
        <w:pStyle w:val="23"/>
        <w:rPr>
          <w:rFonts w:ascii="等线" w:hAnsi="等线" w:eastAsia="等线"/>
          <w:b w:val="0"/>
          <w:bCs w:val="0"/>
          <w:kern w:val="2"/>
          <w:sz w:val="24"/>
          <w:szCs w:val="24"/>
        </w:rPr>
      </w:pPr>
      <w:r>
        <w:fldChar w:fldCharType="begin"/>
      </w:r>
      <w:r>
        <w:instrText xml:space="preserve"> HYPERLINK \l "_Toc155267085" </w:instrText>
      </w:r>
      <w:r>
        <w:fldChar w:fldCharType="separate"/>
      </w:r>
      <w:r>
        <w:rPr>
          <w:rStyle w:val="39"/>
          <w:rFonts w:eastAsia="方正黑体简体"/>
          <w:sz w:val="24"/>
          <w:szCs w:val="24"/>
        </w:rPr>
        <w:t>估价结果报告</w:t>
      </w:r>
      <w:r>
        <w:rPr>
          <w:sz w:val="24"/>
          <w:szCs w:val="24"/>
        </w:rPr>
        <w:tab/>
      </w:r>
      <w:r>
        <w:rPr>
          <w:sz w:val="24"/>
          <w:szCs w:val="24"/>
        </w:rPr>
        <w:fldChar w:fldCharType="begin"/>
      </w:r>
      <w:r>
        <w:rPr>
          <w:sz w:val="24"/>
          <w:szCs w:val="24"/>
        </w:rPr>
        <w:instrText xml:space="preserve"> PAGEREF _Toc155267085 \h </w:instrText>
      </w:r>
      <w:r>
        <w:rPr>
          <w:sz w:val="24"/>
          <w:szCs w:val="24"/>
        </w:rPr>
        <w:fldChar w:fldCharType="separate"/>
      </w:r>
      <w:r>
        <w:rPr>
          <w:sz w:val="24"/>
          <w:szCs w:val="24"/>
        </w:rPr>
        <w:t>11</w:t>
      </w:r>
      <w:r>
        <w:rPr>
          <w:sz w:val="24"/>
          <w:szCs w:val="24"/>
        </w:rPr>
        <w:fldChar w:fldCharType="end"/>
      </w:r>
      <w:r>
        <w:rPr>
          <w:sz w:val="24"/>
          <w:szCs w:val="24"/>
        </w:rPr>
        <w:fldChar w:fldCharType="end"/>
      </w:r>
    </w:p>
    <w:p w14:paraId="637AF974">
      <w:pPr>
        <w:pStyle w:val="27"/>
        <w:rPr>
          <w:rFonts w:ascii="等线" w:hAnsi="等线" w:eastAsia="等线"/>
          <w:kern w:val="2"/>
          <w:sz w:val="21"/>
          <w:szCs w:val="21"/>
        </w:rPr>
      </w:pPr>
      <w:r>
        <w:fldChar w:fldCharType="begin"/>
      </w:r>
      <w:r>
        <w:instrText xml:space="preserve"> HYPERLINK \l "_Toc155267086" </w:instrText>
      </w:r>
      <w:r>
        <w:fldChar w:fldCharType="separate"/>
      </w:r>
      <w:r>
        <w:rPr>
          <w:rStyle w:val="39"/>
          <w:rFonts w:eastAsia="宋体"/>
          <w:sz w:val="21"/>
          <w:szCs w:val="21"/>
        </w:rPr>
        <w:t>一、估价委托人</w:t>
      </w:r>
      <w:r>
        <w:rPr>
          <w:sz w:val="21"/>
          <w:szCs w:val="21"/>
        </w:rPr>
        <w:tab/>
      </w:r>
      <w:r>
        <w:rPr>
          <w:sz w:val="21"/>
          <w:szCs w:val="21"/>
        </w:rPr>
        <w:fldChar w:fldCharType="begin"/>
      </w:r>
      <w:r>
        <w:rPr>
          <w:sz w:val="21"/>
          <w:szCs w:val="21"/>
        </w:rPr>
        <w:instrText xml:space="preserve"> PAGEREF _Toc155267086 \h </w:instrText>
      </w:r>
      <w:r>
        <w:rPr>
          <w:sz w:val="21"/>
          <w:szCs w:val="21"/>
        </w:rPr>
        <w:fldChar w:fldCharType="separate"/>
      </w:r>
      <w:r>
        <w:rPr>
          <w:sz w:val="21"/>
          <w:szCs w:val="21"/>
        </w:rPr>
        <w:t>11</w:t>
      </w:r>
      <w:r>
        <w:rPr>
          <w:sz w:val="21"/>
          <w:szCs w:val="21"/>
        </w:rPr>
        <w:fldChar w:fldCharType="end"/>
      </w:r>
      <w:r>
        <w:rPr>
          <w:sz w:val="21"/>
          <w:szCs w:val="21"/>
        </w:rPr>
        <w:fldChar w:fldCharType="end"/>
      </w:r>
    </w:p>
    <w:p w14:paraId="7FC0CAE7">
      <w:pPr>
        <w:pStyle w:val="27"/>
        <w:rPr>
          <w:rFonts w:ascii="等线" w:hAnsi="等线" w:eastAsia="等线"/>
          <w:kern w:val="2"/>
          <w:sz w:val="21"/>
          <w:szCs w:val="21"/>
        </w:rPr>
      </w:pPr>
      <w:r>
        <w:fldChar w:fldCharType="begin"/>
      </w:r>
      <w:r>
        <w:instrText xml:space="preserve"> HYPERLINK \l "_Toc155267087" </w:instrText>
      </w:r>
      <w:r>
        <w:fldChar w:fldCharType="separate"/>
      </w:r>
      <w:r>
        <w:rPr>
          <w:rStyle w:val="39"/>
          <w:rFonts w:eastAsia="宋体"/>
          <w:sz w:val="21"/>
          <w:szCs w:val="21"/>
        </w:rPr>
        <w:t>二、房地产估价机构</w:t>
      </w:r>
      <w:r>
        <w:rPr>
          <w:sz w:val="21"/>
          <w:szCs w:val="21"/>
        </w:rPr>
        <w:tab/>
      </w:r>
      <w:r>
        <w:rPr>
          <w:sz w:val="21"/>
          <w:szCs w:val="21"/>
        </w:rPr>
        <w:fldChar w:fldCharType="begin"/>
      </w:r>
      <w:r>
        <w:rPr>
          <w:sz w:val="21"/>
          <w:szCs w:val="21"/>
        </w:rPr>
        <w:instrText xml:space="preserve"> PAGEREF _Toc155267087 \h </w:instrText>
      </w:r>
      <w:r>
        <w:rPr>
          <w:sz w:val="21"/>
          <w:szCs w:val="21"/>
        </w:rPr>
        <w:fldChar w:fldCharType="separate"/>
      </w:r>
      <w:r>
        <w:rPr>
          <w:sz w:val="21"/>
          <w:szCs w:val="21"/>
        </w:rPr>
        <w:t>11</w:t>
      </w:r>
      <w:r>
        <w:rPr>
          <w:sz w:val="21"/>
          <w:szCs w:val="21"/>
        </w:rPr>
        <w:fldChar w:fldCharType="end"/>
      </w:r>
      <w:r>
        <w:rPr>
          <w:sz w:val="21"/>
          <w:szCs w:val="21"/>
        </w:rPr>
        <w:fldChar w:fldCharType="end"/>
      </w:r>
    </w:p>
    <w:p w14:paraId="2234F21C">
      <w:pPr>
        <w:pStyle w:val="27"/>
        <w:rPr>
          <w:rFonts w:ascii="等线" w:hAnsi="等线" w:eastAsia="等线"/>
          <w:kern w:val="2"/>
          <w:sz w:val="21"/>
          <w:szCs w:val="21"/>
        </w:rPr>
      </w:pPr>
      <w:r>
        <w:fldChar w:fldCharType="begin"/>
      </w:r>
      <w:r>
        <w:instrText xml:space="preserve"> HYPERLINK \l "_Toc155267088" </w:instrText>
      </w:r>
      <w:r>
        <w:fldChar w:fldCharType="separate"/>
      </w:r>
      <w:r>
        <w:rPr>
          <w:rStyle w:val="39"/>
          <w:rFonts w:eastAsia="宋体"/>
          <w:sz w:val="21"/>
          <w:szCs w:val="21"/>
        </w:rPr>
        <w:t>三、估价目的</w:t>
      </w:r>
      <w:r>
        <w:rPr>
          <w:sz w:val="21"/>
          <w:szCs w:val="21"/>
        </w:rPr>
        <w:tab/>
      </w:r>
      <w:r>
        <w:rPr>
          <w:sz w:val="21"/>
          <w:szCs w:val="21"/>
        </w:rPr>
        <w:fldChar w:fldCharType="begin"/>
      </w:r>
      <w:r>
        <w:rPr>
          <w:sz w:val="21"/>
          <w:szCs w:val="21"/>
        </w:rPr>
        <w:instrText xml:space="preserve"> PAGEREF _Toc155267088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6438EF1E">
      <w:pPr>
        <w:pStyle w:val="27"/>
        <w:rPr>
          <w:rFonts w:ascii="等线" w:hAnsi="等线" w:eastAsia="等线"/>
          <w:kern w:val="2"/>
          <w:sz w:val="21"/>
          <w:szCs w:val="21"/>
        </w:rPr>
      </w:pPr>
      <w:r>
        <w:fldChar w:fldCharType="begin"/>
      </w:r>
      <w:r>
        <w:instrText xml:space="preserve"> HYPERLINK \l "_Toc155267089" </w:instrText>
      </w:r>
      <w:r>
        <w:fldChar w:fldCharType="separate"/>
      </w:r>
      <w:r>
        <w:rPr>
          <w:rStyle w:val="39"/>
          <w:rFonts w:eastAsia="宋体"/>
          <w:sz w:val="21"/>
          <w:szCs w:val="21"/>
        </w:rPr>
        <w:t>四、估价对象</w:t>
      </w:r>
      <w:r>
        <w:rPr>
          <w:sz w:val="21"/>
          <w:szCs w:val="21"/>
        </w:rPr>
        <w:tab/>
      </w:r>
      <w:r>
        <w:rPr>
          <w:sz w:val="21"/>
          <w:szCs w:val="21"/>
        </w:rPr>
        <w:fldChar w:fldCharType="begin"/>
      </w:r>
      <w:r>
        <w:rPr>
          <w:sz w:val="21"/>
          <w:szCs w:val="21"/>
        </w:rPr>
        <w:instrText xml:space="preserve"> PAGEREF _Toc155267089 \h </w:instrText>
      </w:r>
      <w:r>
        <w:rPr>
          <w:sz w:val="21"/>
          <w:szCs w:val="21"/>
        </w:rPr>
        <w:fldChar w:fldCharType="separate"/>
      </w:r>
      <w:r>
        <w:rPr>
          <w:sz w:val="21"/>
          <w:szCs w:val="21"/>
        </w:rPr>
        <w:t>12</w:t>
      </w:r>
      <w:r>
        <w:rPr>
          <w:sz w:val="21"/>
          <w:szCs w:val="21"/>
        </w:rPr>
        <w:fldChar w:fldCharType="end"/>
      </w:r>
      <w:r>
        <w:rPr>
          <w:sz w:val="21"/>
          <w:szCs w:val="21"/>
        </w:rPr>
        <w:fldChar w:fldCharType="end"/>
      </w:r>
    </w:p>
    <w:p w14:paraId="773A2EA8">
      <w:pPr>
        <w:pStyle w:val="27"/>
        <w:rPr>
          <w:rFonts w:ascii="等线" w:hAnsi="等线" w:eastAsia="等线"/>
          <w:kern w:val="2"/>
          <w:sz w:val="21"/>
          <w:szCs w:val="21"/>
        </w:rPr>
      </w:pPr>
      <w:r>
        <w:fldChar w:fldCharType="begin"/>
      </w:r>
      <w:r>
        <w:instrText xml:space="preserve"> HYPERLINK \l "_Toc155267090" </w:instrText>
      </w:r>
      <w:r>
        <w:fldChar w:fldCharType="separate"/>
      </w:r>
      <w:r>
        <w:rPr>
          <w:rStyle w:val="39"/>
          <w:rFonts w:eastAsia="宋体"/>
          <w:sz w:val="21"/>
          <w:szCs w:val="21"/>
        </w:rPr>
        <w:t>五、价值时点</w:t>
      </w:r>
      <w:r>
        <w:rPr>
          <w:sz w:val="21"/>
          <w:szCs w:val="21"/>
        </w:rPr>
        <w:tab/>
      </w:r>
      <w:r>
        <w:rPr>
          <w:sz w:val="21"/>
          <w:szCs w:val="21"/>
        </w:rPr>
        <w:fldChar w:fldCharType="begin"/>
      </w:r>
      <w:r>
        <w:rPr>
          <w:sz w:val="21"/>
          <w:szCs w:val="21"/>
        </w:rPr>
        <w:instrText xml:space="preserve"> PAGEREF _Toc155267090 \h </w:instrText>
      </w:r>
      <w:r>
        <w:rPr>
          <w:sz w:val="21"/>
          <w:szCs w:val="21"/>
        </w:rPr>
        <w:fldChar w:fldCharType="separate"/>
      </w:r>
      <w:r>
        <w:rPr>
          <w:sz w:val="21"/>
          <w:szCs w:val="21"/>
        </w:rPr>
        <w:t>16</w:t>
      </w:r>
      <w:r>
        <w:rPr>
          <w:sz w:val="21"/>
          <w:szCs w:val="21"/>
        </w:rPr>
        <w:fldChar w:fldCharType="end"/>
      </w:r>
      <w:r>
        <w:rPr>
          <w:sz w:val="21"/>
          <w:szCs w:val="21"/>
        </w:rPr>
        <w:fldChar w:fldCharType="end"/>
      </w:r>
    </w:p>
    <w:p w14:paraId="0E1CDE4B">
      <w:pPr>
        <w:pStyle w:val="27"/>
        <w:rPr>
          <w:rFonts w:ascii="等线" w:hAnsi="等线" w:eastAsia="等线"/>
          <w:kern w:val="2"/>
          <w:sz w:val="21"/>
          <w:szCs w:val="21"/>
        </w:rPr>
      </w:pPr>
      <w:r>
        <w:fldChar w:fldCharType="begin"/>
      </w:r>
      <w:r>
        <w:instrText xml:space="preserve"> HYPERLINK \l "_Toc155267091" </w:instrText>
      </w:r>
      <w:r>
        <w:fldChar w:fldCharType="separate"/>
      </w:r>
      <w:r>
        <w:rPr>
          <w:rStyle w:val="39"/>
          <w:rFonts w:eastAsia="宋体"/>
          <w:sz w:val="21"/>
          <w:szCs w:val="21"/>
        </w:rPr>
        <w:t>六、价值类型</w:t>
      </w:r>
      <w:r>
        <w:rPr>
          <w:sz w:val="21"/>
          <w:szCs w:val="21"/>
        </w:rPr>
        <w:tab/>
      </w:r>
      <w:r>
        <w:rPr>
          <w:sz w:val="21"/>
          <w:szCs w:val="21"/>
        </w:rPr>
        <w:fldChar w:fldCharType="begin"/>
      </w:r>
      <w:r>
        <w:rPr>
          <w:sz w:val="21"/>
          <w:szCs w:val="21"/>
        </w:rPr>
        <w:instrText xml:space="preserve"> PAGEREF _Toc155267091 \h </w:instrText>
      </w:r>
      <w:r>
        <w:rPr>
          <w:sz w:val="21"/>
          <w:szCs w:val="21"/>
        </w:rPr>
        <w:fldChar w:fldCharType="separate"/>
      </w:r>
      <w:r>
        <w:rPr>
          <w:sz w:val="21"/>
          <w:szCs w:val="21"/>
        </w:rPr>
        <w:t>16</w:t>
      </w:r>
      <w:r>
        <w:rPr>
          <w:sz w:val="21"/>
          <w:szCs w:val="21"/>
        </w:rPr>
        <w:fldChar w:fldCharType="end"/>
      </w:r>
      <w:r>
        <w:rPr>
          <w:sz w:val="21"/>
          <w:szCs w:val="21"/>
        </w:rPr>
        <w:fldChar w:fldCharType="end"/>
      </w:r>
    </w:p>
    <w:p w14:paraId="04888F15">
      <w:pPr>
        <w:pStyle w:val="27"/>
        <w:rPr>
          <w:rFonts w:ascii="等线" w:hAnsi="等线" w:eastAsia="等线"/>
          <w:kern w:val="2"/>
          <w:sz w:val="21"/>
          <w:szCs w:val="21"/>
        </w:rPr>
      </w:pPr>
      <w:r>
        <w:fldChar w:fldCharType="begin"/>
      </w:r>
      <w:r>
        <w:instrText xml:space="preserve"> HYPERLINK \l "_Toc155267092" </w:instrText>
      </w:r>
      <w:r>
        <w:fldChar w:fldCharType="separate"/>
      </w:r>
      <w:r>
        <w:rPr>
          <w:rStyle w:val="39"/>
          <w:rFonts w:eastAsia="宋体"/>
          <w:sz w:val="21"/>
          <w:szCs w:val="21"/>
        </w:rPr>
        <w:t>七、估价原则</w:t>
      </w:r>
      <w:r>
        <w:rPr>
          <w:sz w:val="21"/>
          <w:szCs w:val="21"/>
        </w:rPr>
        <w:tab/>
      </w:r>
      <w:r>
        <w:rPr>
          <w:sz w:val="21"/>
          <w:szCs w:val="21"/>
        </w:rPr>
        <w:fldChar w:fldCharType="begin"/>
      </w:r>
      <w:r>
        <w:rPr>
          <w:sz w:val="21"/>
          <w:szCs w:val="21"/>
        </w:rPr>
        <w:instrText xml:space="preserve"> PAGEREF _Toc155267092 \h </w:instrText>
      </w:r>
      <w:r>
        <w:rPr>
          <w:sz w:val="21"/>
          <w:szCs w:val="21"/>
        </w:rPr>
        <w:fldChar w:fldCharType="separate"/>
      </w:r>
      <w:r>
        <w:rPr>
          <w:sz w:val="21"/>
          <w:szCs w:val="21"/>
        </w:rPr>
        <w:t>17</w:t>
      </w:r>
      <w:r>
        <w:rPr>
          <w:sz w:val="21"/>
          <w:szCs w:val="21"/>
        </w:rPr>
        <w:fldChar w:fldCharType="end"/>
      </w:r>
      <w:r>
        <w:rPr>
          <w:sz w:val="21"/>
          <w:szCs w:val="21"/>
        </w:rPr>
        <w:fldChar w:fldCharType="end"/>
      </w:r>
    </w:p>
    <w:p w14:paraId="05E5D613">
      <w:pPr>
        <w:pStyle w:val="27"/>
        <w:rPr>
          <w:rFonts w:ascii="等线" w:hAnsi="等线" w:eastAsia="等线"/>
          <w:kern w:val="2"/>
          <w:sz w:val="21"/>
          <w:szCs w:val="21"/>
        </w:rPr>
      </w:pPr>
      <w:r>
        <w:fldChar w:fldCharType="begin"/>
      </w:r>
      <w:r>
        <w:instrText xml:space="preserve"> HYPERLINK \l "_Toc155267093" </w:instrText>
      </w:r>
      <w:r>
        <w:fldChar w:fldCharType="separate"/>
      </w:r>
      <w:r>
        <w:rPr>
          <w:rStyle w:val="39"/>
          <w:rFonts w:eastAsia="宋体"/>
          <w:sz w:val="21"/>
          <w:szCs w:val="21"/>
        </w:rPr>
        <w:t>八、估价依据</w:t>
      </w:r>
      <w:r>
        <w:rPr>
          <w:sz w:val="21"/>
          <w:szCs w:val="21"/>
        </w:rPr>
        <w:tab/>
      </w:r>
      <w:r>
        <w:rPr>
          <w:sz w:val="21"/>
          <w:szCs w:val="21"/>
        </w:rPr>
        <w:fldChar w:fldCharType="begin"/>
      </w:r>
      <w:r>
        <w:rPr>
          <w:sz w:val="21"/>
          <w:szCs w:val="21"/>
        </w:rPr>
        <w:instrText xml:space="preserve"> PAGEREF _Toc155267093 \h </w:instrText>
      </w:r>
      <w:r>
        <w:rPr>
          <w:sz w:val="21"/>
          <w:szCs w:val="21"/>
        </w:rPr>
        <w:fldChar w:fldCharType="separate"/>
      </w:r>
      <w:r>
        <w:rPr>
          <w:sz w:val="21"/>
          <w:szCs w:val="21"/>
        </w:rPr>
        <w:t>18</w:t>
      </w:r>
      <w:r>
        <w:rPr>
          <w:sz w:val="21"/>
          <w:szCs w:val="21"/>
        </w:rPr>
        <w:fldChar w:fldCharType="end"/>
      </w:r>
      <w:r>
        <w:rPr>
          <w:sz w:val="21"/>
          <w:szCs w:val="21"/>
        </w:rPr>
        <w:fldChar w:fldCharType="end"/>
      </w:r>
    </w:p>
    <w:p w14:paraId="5D524847">
      <w:pPr>
        <w:pStyle w:val="27"/>
        <w:rPr>
          <w:rFonts w:ascii="等线" w:hAnsi="等线" w:eastAsia="等线"/>
          <w:kern w:val="2"/>
          <w:sz w:val="21"/>
          <w:szCs w:val="21"/>
        </w:rPr>
      </w:pPr>
      <w:r>
        <w:fldChar w:fldCharType="begin"/>
      </w:r>
      <w:r>
        <w:instrText xml:space="preserve"> HYPERLINK \l "_Toc155267094" </w:instrText>
      </w:r>
      <w:r>
        <w:fldChar w:fldCharType="separate"/>
      </w:r>
      <w:r>
        <w:rPr>
          <w:rStyle w:val="39"/>
          <w:rFonts w:eastAsia="宋体"/>
          <w:sz w:val="21"/>
          <w:szCs w:val="21"/>
        </w:rPr>
        <w:t>九、估价方法</w:t>
      </w:r>
      <w:r>
        <w:rPr>
          <w:sz w:val="21"/>
          <w:szCs w:val="21"/>
        </w:rPr>
        <w:tab/>
      </w:r>
      <w:r>
        <w:rPr>
          <w:sz w:val="21"/>
          <w:szCs w:val="21"/>
        </w:rPr>
        <w:fldChar w:fldCharType="begin"/>
      </w:r>
      <w:r>
        <w:rPr>
          <w:sz w:val="21"/>
          <w:szCs w:val="21"/>
        </w:rPr>
        <w:instrText xml:space="preserve"> PAGEREF _Toc155267094 \h </w:instrText>
      </w:r>
      <w:r>
        <w:rPr>
          <w:sz w:val="21"/>
          <w:szCs w:val="21"/>
        </w:rPr>
        <w:fldChar w:fldCharType="separate"/>
      </w:r>
      <w:r>
        <w:rPr>
          <w:sz w:val="21"/>
          <w:szCs w:val="21"/>
        </w:rPr>
        <w:t>20</w:t>
      </w:r>
      <w:r>
        <w:rPr>
          <w:sz w:val="21"/>
          <w:szCs w:val="21"/>
        </w:rPr>
        <w:fldChar w:fldCharType="end"/>
      </w:r>
      <w:r>
        <w:rPr>
          <w:sz w:val="21"/>
          <w:szCs w:val="21"/>
        </w:rPr>
        <w:fldChar w:fldCharType="end"/>
      </w:r>
    </w:p>
    <w:p w14:paraId="38ABC088">
      <w:pPr>
        <w:pStyle w:val="27"/>
        <w:rPr>
          <w:rFonts w:ascii="等线" w:hAnsi="等线" w:eastAsia="等线"/>
          <w:kern w:val="2"/>
          <w:sz w:val="21"/>
          <w:szCs w:val="21"/>
        </w:rPr>
      </w:pPr>
      <w:r>
        <w:fldChar w:fldCharType="begin"/>
      </w:r>
      <w:r>
        <w:instrText xml:space="preserve"> HYPERLINK \l "_Toc155267095" </w:instrText>
      </w:r>
      <w:r>
        <w:fldChar w:fldCharType="separate"/>
      </w:r>
      <w:r>
        <w:rPr>
          <w:rStyle w:val="39"/>
          <w:rFonts w:eastAsia="宋体"/>
          <w:sz w:val="21"/>
          <w:szCs w:val="21"/>
        </w:rPr>
        <w:t>十、估价结果</w:t>
      </w:r>
      <w:r>
        <w:rPr>
          <w:sz w:val="21"/>
          <w:szCs w:val="21"/>
        </w:rPr>
        <w:tab/>
      </w:r>
      <w:r>
        <w:rPr>
          <w:sz w:val="21"/>
          <w:szCs w:val="21"/>
        </w:rPr>
        <w:fldChar w:fldCharType="begin"/>
      </w:r>
      <w:r>
        <w:rPr>
          <w:sz w:val="21"/>
          <w:szCs w:val="21"/>
        </w:rPr>
        <w:instrText xml:space="preserve"> PAGEREF _Toc155267095 \h </w:instrText>
      </w:r>
      <w:r>
        <w:rPr>
          <w:sz w:val="21"/>
          <w:szCs w:val="21"/>
        </w:rPr>
        <w:fldChar w:fldCharType="separate"/>
      </w:r>
      <w:r>
        <w:rPr>
          <w:sz w:val="21"/>
          <w:szCs w:val="21"/>
        </w:rPr>
        <w:t>22</w:t>
      </w:r>
      <w:r>
        <w:rPr>
          <w:sz w:val="21"/>
          <w:szCs w:val="21"/>
        </w:rPr>
        <w:fldChar w:fldCharType="end"/>
      </w:r>
      <w:r>
        <w:rPr>
          <w:sz w:val="21"/>
          <w:szCs w:val="21"/>
        </w:rPr>
        <w:fldChar w:fldCharType="end"/>
      </w:r>
    </w:p>
    <w:p w14:paraId="3005FB19">
      <w:pPr>
        <w:pStyle w:val="27"/>
        <w:rPr>
          <w:rFonts w:ascii="等线" w:hAnsi="等线" w:eastAsia="等线"/>
          <w:kern w:val="2"/>
          <w:sz w:val="21"/>
          <w:szCs w:val="21"/>
        </w:rPr>
      </w:pPr>
      <w:r>
        <w:fldChar w:fldCharType="begin"/>
      </w:r>
      <w:r>
        <w:instrText xml:space="preserve"> HYPERLINK \l "_Toc155267096" </w:instrText>
      </w:r>
      <w:r>
        <w:fldChar w:fldCharType="separate"/>
      </w:r>
      <w:r>
        <w:rPr>
          <w:rStyle w:val="39"/>
          <w:rFonts w:eastAsia="宋体"/>
          <w:sz w:val="21"/>
          <w:szCs w:val="21"/>
        </w:rPr>
        <w:t>十一、参与本次估价工作的评估专业人员</w:t>
      </w:r>
      <w:r>
        <w:rPr>
          <w:sz w:val="21"/>
          <w:szCs w:val="21"/>
        </w:rPr>
        <w:tab/>
      </w:r>
      <w:r>
        <w:rPr>
          <w:sz w:val="21"/>
          <w:szCs w:val="21"/>
        </w:rPr>
        <w:fldChar w:fldCharType="begin"/>
      </w:r>
      <w:r>
        <w:rPr>
          <w:sz w:val="21"/>
          <w:szCs w:val="21"/>
        </w:rPr>
        <w:instrText xml:space="preserve"> PAGEREF _Toc155267096 \h </w:instrText>
      </w:r>
      <w:r>
        <w:rPr>
          <w:sz w:val="21"/>
          <w:szCs w:val="21"/>
        </w:rPr>
        <w:fldChar w:fldCharType="separate"/>
      </w:r>
      <w:r>
        <w:rPr>
          <w:sz w:val="21"/>
          <w:szCs w:val="21"/>
        </w:rPr>
        <w:t>23</w:t>
      </w:r>
      <w:r>
        <w:rPr>
          <w:sz w:val="21"/>
          <w:szCs w:val="21"/>
        </w:rPr>
        <w:fldChar w:fldCharType="end"/>
      </w:r>
      <w:r>
        <w:rPr>
          <w:sz w:val="21"/>
          <w:szCs w:val="21"/>
        </w:rPr>
        <w:fldChar w:fldCharType="end"/>
      </w:r>
    </w:p>
    <w:p w14:paraId="707EB1D1">
      <w:pPr>
        <w:pStyle w:val="27"/>
        <w:rPr>
          <w:rFonts w:ascii="等线" w:hAnsi="等线" w:eastAsia="等线"/>
          <w:kern w:val="2"/>
          <w:sz w:val="21"/>
          <w:szCs w:val="21"/>
        </w:rPr>
      </w:pPr>
      <w:r>
        <w:fldChar w:fldCharType="begin"/>
      </w:r>
      <w:r>
        <w:instrText xml:space="preserve"> HYPERLINK \l "_Toc155267097" </w:instrText>
      </w:r>
      <w:r>
        <w:fldChar w:fldCharType="separate"/>
      </w:r>
      <w:r>
        <w:rPr>
          <w:rStyle w:val="39"/>
          <w:rFonts w:eastAsia="宋体"/>
          <w:sz w:val="21"/>
          <w:szCs w:val="21"/>
        </w:rPr>
        <w:t>十二、实地查勘期</w:t>
      </w:r>
      <w:r>
        <w:rPr>
          <w:sz w:val="21"/>
          <w:szCs w:val="21"/>
        </w:rPr>
        <w:tab/>
      </w:r>
      <w:r>
        <w:rPr>
          <w:sz w:val="21"/>
          <w:szCs w:val="21"/>
        </w:rPr>
        <w:fldChar w:fldCharType="begin"/>
      </w:r>
      <w:r>
        <w:rPr>
          <w:sz w:val="21"/>
          <w:szCs w:val="21"/>
        </w:rPr>
        <w:instrText xml:space="preserve"> PAGEREF _Toc155267097 \h </w:instrText>
      </w:r>
      <w:r>
        <w:rPr>
          <w:sz w:val="21"/>
          <w:szCs w:val="21"/>
        </w:rPr>
        <w:fldChar w:fldCharType="separate"/>
      </w:r>
      <w:r>
        <w:rPr>
          <w:sz w:val="21"/>
          <w:szCs w:val="21"/>
        </w:rPr>
        <w:t>23</w:t>
      </w:r>
      <w:r>
        <w:rPr>
          <w:sz w:val="21"/>
          <w:szCs w:val="21"/>
        </w:rPr>
        <w:fldChar w:fldCharType="end"/>
      </w:r>
      <w:r>
        <w:rPr>
          <w:sz w:val="21"/>
          <w:szCs w:val="21"/>
        </w:rPr>
        <w:fldChar w:fldCharType="end"/>
      </w:r>
    </w:p>
    <w:p w14:paraId="4778808F">
      <w:pPr>
        <w:pStyle w:val="27"/>
        <w:rPr>
          <w:rFonts w:ascii="等线" w:hAnsi="等线" w:eastAsia="等线"/>
          <w:kern w:val="2"/>
          <w:sz w:val="21"/>
          <w:szCs w:val="21"/>
        </w:rPr>
      </w:pPr>
      <w:r>
        <w:fldChar w:fldCharType="begin"/>
      </w:r>
      <w:r>
        <w:instrText xml:space="preserve"> HYPERLINK \l "_Toc155267098" </w:instrText>
      </w:r>
      <w:r>
        <w:fldChar w:fldCharType="separate"/>
      </w:r>
      <w:r>
        <w:rPr>
          <w:rStyle w:val="39"/>
          <w:rFonts w:eastAsia="宋体"/>
          <w:sz w:val="21"/>
          <w:szCs w:val="21"/>
        </w:rPr>
        <w:t>十三、估价作业期</w:t>
      </w:r>
      <w:r>
        <w:rPr>
          <w:sz w:val="21"/>
          <w:szCs w:val="21"/>
        </w:rPr>
        <w:tab/>
      </w:r>
      <w:r>
        <w:rPr>
          <w:sz w:val="21"/>
          <w:szCs w:val="21"/>
        </w:rPr>
        <w:fldChar w:fldCharType="begin"/>
      </w:r>
      <w:r>
        <w:rPr>
          <w:sz w:val="21"/>
          <w:szCs w:val="21"/>
        </w:rPr>
        <w:instrText xml:space="preserve"> PAGEREF _Toc155267098 \h </w:instrText>
      </w:r>
      <w:r>
        <w:rPr>
          <w:sz w:val="21"/>
          <w:szCs w:val="21"/>
        </w:rPr>
        <w:fldChar w:fldCharType="separate"/>
      </w:r>
      <w:r>
        <w:rPr>
          <w:sz w:val="21"/>
          <w:szCs w:val="21"/>
        </w:rPr>
        <w:t>23</w:t>
      </w:r>
      <w:r>
        <w:rPr>
          <w:sz w:val="21"/>
          <w:szCs w:val="21"/>
        </w:rPr>
        <w:fldChar w:fldCharType="end"/>
      </w:r>
      <w:r>
        <w:rPr>
          <w:sz w:val="21"/>
          <w:szCs w:val="21"/>
        </w:rPr>
        <w:fldChar w:fldCharType="end"/>
      </w:r>
    </w:p>
    <w:p w14:paraId="74E8BB7F">
      <w:pPr>
        <w:pStyle w:val="23"/>
        <w:rPr>
          <w:rFonts w:ascii="等线" w:hAnsi="等线" w:eastAsia="等线"/>
          <w:b w:val="0"/>
          <w:bCs w:val="0"/>
          <w:kern w:val="2"/>
          <w:sz w:val="24"/>
          <w:szCs w:val="24"/>
        </w:rPr>
      </w:pPr>
      <w:r>
        <w:fldChar w:fldCharType="begin"/>
      </w:r>
      <w:r>
        <w:instrText xml:space="preserve"> HYPERLINK \l "_Toc155267099" </w:instrText>
      </w:r>
      <w:r>
        <w:fldChar w:fldCharType="separate"/>
      </w:r>
      <w:r>
        <w:rPr>
          <w:rStyle w:val="39"/>
          <w:rFonts w:eastAsia="方正黑体简体"/>
          <w:sz w:val="24"/>
          <w:szCs w:val="24"/>
        </w:rPr>
        <w:t>估价技术报告</w:t>
      </w:r>
      <w:r>
        <w:rPr>
          <w:sz w:val="24"/>
          <w:szCs w:val="24"/>
        </w:rPr>
        <w:tab/>
      </w:r>
      <w:r>
        <w:rPr>
          <w:sz w:val="24"/>
          <w:szCs w:val="24"/>
        </w:rPr>
        <w:fldChar w:fldCharType="begin"/>
      </w:r>
      <w:r>
        <w:rPr>
          <w:sz w:val="24"/>
          <w:szCs w:val="24"/>
        </w:rPr>
        <w:instrText xml:space="preserve"> PAGEREF _Toc155267099 \h </w:instrText>
      </w:r>
      <w:r>
        <w:rPr>
          <w:sz w:val="24"/>
          <w:szCs w:val="24"/>
        </w:rPr>
        <w:fldChar w:fldCharType="separate"/>
      </w:r>
      <w:r>
        <w:rPr>
          <w:sz w:val="24"/>
          <w:szCs w:val="24"/>
        </w:rPr>
        <w:t>24</w:t>
      </w:r>
      <w:r>
        <w:rPr>
          <w:sz w:val="24"/>
          <w:szCs w:val="24"/>
        </w:rPr>
        <w:fldChar w:fldCharType="end"/>
      </w:r>
      <w:r>
        <w:rPr>
          <w:sz w:val="24"/>
          <w:szCs w:val="24"/>
        </w:rPr>
        <w:fldChar w:fldCharType="end"/>
      </w:r>
    </w:p>
    <w:p w14:paraId="1F6DF744">
      <w:pPr>
        <w:pStyle w:val="27"/>
        <w:rPr>
          <w:rFonts w:ascii="等线" w:hAnsi="等线" w:eastAsia="等线"/>
          <w:kern w:val="2"/>
          <w:sz w:val="21"/>
          <w:szCs w:val="21"/>
        </w:rPr>
      </w:pPr>
      <w:r>
        <w:fldChar w:fldCharType="begin"/>
      </w:r>
      <w:r>
        <w:instrText xml:space="preserve"> HYPERLINK \l "_Toc155267100" </w:instrText>
      </w:r>
      <w:r>
        <w:fldChar w:fldCharType="separate"/>
      </w:r>
      <w:r>
        <w:rPr>
          <w:rStyle w:val="39"/>
          <w:rFonts w:eastAsia="宋体"/>
          <w:sz w:val="21"/>
          <w:szCs w:val="21"/>
        </w:rPr>
        <w:t>一、估价对象描述与分析</w:t>
      </w:r>
      <w:r>
        <w:rPr>
          <w:sz w:val="21"/>
          <w:szCs w:val="21"/>
        </w:rPr>
        <w:tab/>
      </w:r>
      <w:r>
        <w:rPr>
          <w:sz w:val="21"/>
          <w:szCs w:val="21"/>
        </w:rPr>
        <w:fldChar w:fldCharType="begin"/>
      </w:r>
      <w:r>
        <w:rPr>
          <w:sz w:val="21"/>
          <w:szCs w:val="21"/>
        </w:rPr>
        <w:instrText xml:space="preserve"> PAGEREF _Toc155267100 \h </w:instrText>
      </w:r>
      <w:r>
        <w:rPr>
          <w:sz w:val="21"/>
          <w:szCs w:val="21"/>
        </w:rPr>
        <w:fldChar w:fldCharType="separate"/>
      </w:r>
      <w:r>
        <w:rPr>
          <w:sz w:val="21"/>
          <w:szCs w:val="21"/>
        </w:rPr>
        <w:t>24</w:t>
      </w:r>
      <w:r>
        <w:rPr>
          <w:sz w:val="21"/>
          <w:szCs w:val="21"/>
        </w:rPr>
        <w:fldChar w:fldCharType="end"/>
      </w:r>
      <w:r>
        <w:rPr>
          <w:sz w:val="21"/>
          <w:szCs w:val="21"/>
        </w:rPr>
        <w:fldChar w:fldCharType="end"/>
      </w:r>
    </w:p>
    <w:p w14:paraId="58B3B68E">
      <w:pPr>
        <w:pStyle w:val="27"/>
        <w:rPr>
          <w:rFonts w:ascii="等线" w:hAnsi="等线" w:eastAsia="等线"/>
          <w:kern w:val="2"/>
          <w:sz w:val="21"/>
          <w:szCs w:val="21"/>
        </w:rPr>
      </w:pPr>
      <w:r>
        <w:fldChar w:fldCharType="begin"/>
      </w:r>
      <w:r>
        <w:instrText xml:space="preserve"> HYPERLINK \l "_Toc155267101" </w:instrText>
      </w:r>
      <w:r>
        <w:fldChar w:fldCharType="separate"/>
      </w:r>
      <w:r>
        <w:rPr>
          <w:rStyle w:val="39"/>
          <w:rFonts w:eastAsia="宋体"/>
          <w:sz w:val="21"/>
          <w:szCs w:val="21"/>
        </w:rPr>
        <w:t>（一）区位状况分析</w:t>
      </w:r>
      <w:r>
        <w:rPr>
          <w:sz w:val="21"/>
          <w:szCs w:val="21"/>
        </w:rPr>
        <w:tab/>
      </w:r>
      <w:r>
        <w:rPr>
          <w:sz w:val="21"/>
          <w:szCs w:val="21"/>
        </w:rPr>
        <w:fldChar w:fldCharType="begin"/>
      </w:r>
      <w:r>
        <w:rPr>
          <w:sz w:val="21"/>
          <w:szCs w:val="21"/>
        </w:rPr>
        <w:instrText xml:space="preserve"> PAGEREF _Toc155267101 \h </w:instrText>
      </w:r>
      <w:r>
        <w:rPr>
          <w:sz w:val="21"/>
          <w:szCs w:val="21"/>
        </w:rPr>
        <w:fldChar w:fldCharType="separate"/>
      </w:r>
      <w:r>
        <w:rPr>
          <w:sz w:val="21"/>
          <w:szCs w:val="21"/>
        </w:rPr>
        <w:t>24</w:t>
      </w:r>
      <w:r>
        <w:rPr>
          <w:sz w:val="21"/>
          <w:szCs w:val="21"/>
        </w:rPr>
        <w:fldChar w:fldCharType="end"/>
      </w:r>
      <w:r>
        <w:rPr>
          <w:sz w:val="21"/>
          <w:szCs w:val="21"/>
        </w:rPr>
        <w:fldChar w:fldCharType="end"/>
      </w:r>
    </w:p>
    <w:p w14:paraId="016F510A">
      <w:pPr>
        <w:pStyle w:val="27"/>
        <w:rPr>
          <w:rFonts w:ascii="等线" w:hAnsi="等线" w:eastAsia="等线"/>
          <w:kern w:val="2"/>
          <w:sz w:val="21"/>
          <w:szCs w:val="21"/>
        </w:rPr>
      </w:pPr>
      <w:r>
        <w:fldChar w:fldCharType="begin"/>
      </w:r>
      <w:r>
        <w:instrText xml:space="preserve"> HYPERLINK \l "_Toc155267102" </w:instrText>
      </w:r>
      <w:r>
        <w:fldChar w:fldCharType="separate"/>
      </w:r>
      <w:r>
        <w:rPr>
          <w:rStyle w:val="39"/>
          <w:rFonts w:eastAsia="宋体"/>
          <w:sz w:val="21"/>
          <w:szCs w:val="21"/>
        </w:rPr>
        <w:t>（二）实物状况分析</w:t>
      </w:r>
      <w:r>
        <w:rPr>
          <w:sz w:val="21"/>
          <w:szCs w:val="21"/>
        </w:rPr>
        <w:tab/>
      </w:r>
      <w:r>
        <w:rPr>
          <w:sz w:val="21"/>
          <w:szCs w:val="21"/>
        </w:rPr>
        <w:fldChar w:fldCharType="begin"/>
      </w:r>
      <w:r>
        <w:rPr>
          <w:sz w:val="21"/>
          <w:szCs w:val="21"/>
        </w:rPr>
        <w:instrText xml:space="preserve"> PAGEREF _Toc155267102 \h </w:instrText>
      </w:r>
      <w:r>
        <w:rPr>
          <w:sz w:val="21"/>
          <w:szCs w:val="21"/>
        </w:rPr>
        <w:fldChar w:fldCharType="separate"/>
      </w:r>
      <w:r>
        <w:rPr>
          <w:sz w:val="21"/>
          <w:szCs w:val="21"/>
        </w:rPr>
        <w:t>25</w:t>
      </w:r>
      <w:r>
        <w:rPr>
          <w:sz w:val="21"/>
          <w:szCs w:val="21"/>
        </w:rPr>
        <w:fldChar w:fldCharType="end"/>
      </w:r>
      <w:r>
        <w:rPr>
          <w:sz w:val="21"/>
          <w:szCs w:val="21"/>
        </w:rPr>
        <w:fldChar w:fldCharType="end"/>
      </w:r>
    </w:p>
    <w:p w14:paraId="26848BE1">
      <w:pPr>
        <w:pStyle w:val="27"/>
        <w:rPr>
          <w:rFonts w:ascii="等线" w:hAnsi="等线" w:eastAsia="等线"/>
          <w:kern w:val="2"/>
          <w:sz w:val="21"/>
          <w:szCs w:val="21"/>
        </w:rPr>
      </w:pPr>
      <w:r>
        <w:fldChar w:fldCharType="begin"/>
      </w:r>
      <w:r>
        <w:instrText xml:space="preserve"> HYPERLINK \l "_Toc155267103" </w:instrText>
      </w:r>
      <w:r>
        <w:fldChar w:fldCharType="separate"/>
      </w:r>
      <w:r>
        <w:rPr>
          <w:rStyle w:val="39"/>
          <w:rFonts w:eastAsia="宋体"/>
          <w:sz w:val="21"/>
          <w:szCs w:val="21"/>
        </w:rPr>
        <w:t>（三）权益状况分析</w:t>
      </w:r>
      <w:r>
        <w:rPr>
          <w:sz w:val="21"/>
          <w:szCs w:val="21"/>
        </w:rPr>
        <w:tab/>
      </w:r>
      <w:r>
        <w:rPr>
          <w:sz w:val="21"/>
          <w:szCs w:val="21"/>
        </w:rPr>
        <w:fldChar w:fldCharType="begin"/>
      </w:r>
      <w:r>
        <w:rPr>
          <w:sz w:val="21"/>
          <w:szCs w:val="21"/>
        </w:rPr>
        <w:instrText xml:space="preserve"> PAGEREF _Toc155267103 \h </w:instrText>
      </w:r>
      <w:r>
        <w:rPr>
          <w:sz w:val="21"/>
          <w:szCs w:val="21"/>
        </w:rPr>
        <w:fldChar w:fldCharType="separate"/>
      </w:r>
      <w:r>
        <w:rPr>
          <w:sz w:val="21"/>
          <w:szCs w:val="21"/>
        </w:rPr>
        <w:t>27</w:t>
      </w:r>
      <w:r>
        <w:rPr>
          <w:sz w:val="21"/>
          <w:szCs w:val="21"/>
        </w:rPr>
        <w:fldChar w:fldCharType="end"/>
      </w:r>
      <w:r>
        <w:rPr>
          <w:sz w:val="21"/>
          <w:szCs w:val="21"/>
        </w:rPr>
        <w:fldChar w:fldCharType="end"/>
      </w:r>
    </w:p>
    <w:p w14:paraId="45F706C3">
      <w:pPr>
        <w:pStyle w:val="27"/>
        <w:rPr>
          <w:rFonts w:ascii="等线" w:hAnsi="等线" w:eastAsia="等线"/>
          <w:kern w:val="2"/>
          <w:sz w:val="21"/>
          <w:szCs w:val="21"/>
        </w:rPr>
      </w:pPr>
      <w:r>
        <w:fldChar w:fldCharType="begin"/>
      </w:r>
      <w:r>
        <w:instrText xml:space="preserve"> HYPERLINK \l "_Toc155267104" </w:instrText>
      </w:r>
      <w:r>
        <w:fldChar w:fldCharType="separate"/>
      </w:r>
      <w:r>
        <w:rPr>
          <w:rStyle w:val="39"/>
          <w:rFonts w:eastAsia="宋体"/>
          <w:sz w:val="21"/>
          <w:szCs w:val="21"/>
        </w:rPr>
        <w:t>二、市场背景描述与分析</w:t>
      </w:r>
      <w:r>
        <w:rPr>
          <w:sz w:val="21"/>
          <w:szCs w:val="21"/>
        </w:rPr>
        <w:tab/>
      </w:r>
      <w:r>
        <w:rPr>
          <w:sz w:val="21"/>
          <w:szCs w:val="21"/>
        </w:rPr>
        <w:fldChar w:fldCharType="begin"/>
      </w:r>
      <w:r>
        <w:rPr>
          <w:sz w:val="21"/>
          <w:szCs w:val="21"/>
        </w:rPr>
        <w:instrText xml:space="preserve"> PAGEREF _Toc155267104 \h </w:instrText>
      </w:r>
      <w:r>
        <w:rPr>
          <w:sz w:val="21"/>
          <w:szCs w:val="21"/>
        </w:rPr>
        <w:fldChar w:fldCharType="separate"/>
      </w:r>
      <w:r>
        <w:rPr>
          <w:sz w:val="21"/>
          <w:szCs w:val="21"/>
        </w:rPr>
        <w:t>28</w:t>
      </w:r>
      <w:r>
        <w:rPr>
          <w:sz w:val="21"/>
          <w:szCs w:val="21"/>
        </w:rPr>
        <w:fldChar w:fldCharType="end"/>
      </w:r>
      <w:r>
        <w:rPr>
          <w:sz w:val="21"/>
          <w:szCs w:val="21"/>
        </w:rPr>
        <w:fldChar w:fldCharType="end"/>
      </w:r>
    </w:p>
    <w:p w14:paraId="30CB4BE2">
      <w:pPr>
        <w:pStyle w:val="27"/>
        <w:rPr>
          <w:rFonts w:ascii="等线" w:hAnsi="等线" w:eastAsia="等线"/>
          <w:kern w:val="2"/>
          <w:sz w:val="21"/>
          <w:szCs w:val="21"/>
        </w:rPr>
      </w:pPr>
      <w:r>
        <w:fldChar w:fldCharType="begin"/>
      </w:r>
      <w:r>
        <w:instrText xml:space="preserve"> HYPERLINK \l "_Toc155267105" </w:instrText>
      </w:r>
      <w:r>
        <w:fldChar w:fldCharType="separate"/>
      </w:r>
      <w:r>
        <w:rPr>
          <w:rStyle w:val="39"/>
          <w:rFonts w:eastAsia="宋体"/>
          <w:sz w:val="21"/>
          <w:szCs w:val="21"/>
        </w:rPr>
        <w:t>三、最高最佳利用分析</w:t>
      </w:r>
      <w:r>
        <w:rPr>
          <w:sz w:val="21"/>
          <w:szCs w:val="21"/>
        </w:rPr>
        <w:tab/>
      </w:r>
      <w:r>
        <w:rPr>
          <w:sz w:val="21"/>
          <w:szCs w:val="21"/>
        </w:rPr>
        <w:fldChar w:fldCharType="begin"/>
      </w:r>
      <w:r>
        <w:rPr>
          <w:sz w:val="21"/>
          <w:szCs w:val="21"/>
        </w:rPr>
        <w:instrText xml:space="preserve"> PAGEREF _Toc155267105 \h </w:instrText>
      </w:r>
      <w:r>
        <w:rPr>
          <w:sz w:val="21"/>
          <w:szCs w:val="21"/>
        </w:rPr>
        <w:fldChar w:fldCharType="separate"/>
      </w:r>
      <w:r>
        <w:rPr>
          <w:sz w:val="21"/>
          <w:szCs w:val="21"/>
        </w:rPr>
        <w:t>46</w:t>
      </w:r>
      <w:r>
        <w:rPr>
          <w:sz w:val="21"/>
          <w:szCs w:val="21"/>
        </w:rPr>
        <w:fldChar w:fldCharType="end"/>
      </w:r>
      <w:r>
        <w:rPr>
          <w:sz w:val="21"/>
          <w:szCs w:val="21"/>
        </w:rPr>
        <w:fldChar w:fldCharType="end"/>
      </w:r>
    </w:p>
    <w:p w14:paraId="022AE197">
      <w:pPr>
        <w:pStyle w:val="27"/>
        <w:rPr>
          <w:rFonts w:ascii="等线" w:hAnsi="等线" w:eastAsia="等线"/>
          <w:kern w:val="2"/>
          <w:sz w:val="21"/>
          <w:szCs w:val="21"/>
        </w:rPr>
      </w:pPr>
      <w:r>
        <w:fldChar w:fldCharType="begin"/>
      </w:r>
      <w:r>
        <w:instrText xml:space="preserve"> HYPERLINK \l "_Toc155267106" </w:instrText>
      </w:r>
      <w:r>
        <w:fldChar w:fldCharType="separate"/>
      </w:r>
      <w:r>
        <w:rPr>
          <w:rStyle w:val="39"/>
          <w:rFonts w:eastAsia="宋体"/>
          <w:sz w:val="21"/>
          <w:szCs w:val="21"/>
        </w:rPr>
        <w:t>四、估价方法适用性分析</w:t>
      </w:r>
      <w:r>
        <w:rPr>
          <w:sz w:val="21"/>
          <w:szCs w:val="21"/>
        </w:rPr>
        <w:tab/>
      </w:r>
      <w:r>
        <w:rPr>
          <w:sz w:val="21"/>
          <w:szCs w:val="21"/>
        </w:rPr>
        <w:fldChar w:fldCharType="begin"/>
      </w:r>
      <w:r>
        <w:rPr>
          <w:sz w:val="21"/>
          <w:szCs w:val="21"/>
        </w:rPr>
        <w:instrText xml:space="preserve"> PAGEREF _Toc155267106 \h </w:instrText>
      </w:r>
      <w:r>
        <w:rPr>
          <w:sz w:val="21"/>
          <w:szCs w:val="21"/>
        </w:rPr>
        <w:fldChar w:fldCharType="separate"/>
      </w:r>
      <w:r>
        <w:rPr>
          <w:sz w:val="21"/>
          <w:szCs w:val="21"/>
        </w:rPr>
        <w:t>48</w:t>
      </w:r>
      <w:r>
        <w:rPr>
          <w:sz w:val="21"/>
          <w:szCs w:val="21"/>
        </w:rPr>
        <w:fldChar w:fldCharType="end"/>
      </w:r>
      <w:r>
        <w:rPr>
          <w:sz w:val="21"/>
          <w:szCs w:val="21"/>
        </w:rPr>
        <w:fldChar w:fldCharType="end"/>
      </w:r>
    </w:p>
    <w:p w14:paraId="421D1215">
      <w:pPr>
        <w:pStyle w:val="27"/>
        <w:rPr>
          <w:rFonts w:ascii="等线" w:hAnsi="等线" w:eastAsia="等线"/>
          <w:kern w:val="2"/>
          <w:sz w:val="21"/>
          <w:szCs w:val="21"/>
        </w:rPr>
      </w:pPr>
      <w:r>
        <w:fldChar w:fldCharType="begin"/>
      </w:r>
      <w:r>
        <w:instrText xml:space="preserve"> HYPERLINK \l "_Toc155267107" </w:instrText>
      </w:r>
      <w:r>
        <w:fldChar w:fldCharType="separate"/>
      </w:r>
      <w:r>
        <w:rPr>
          <w:rStyle w:val="39"/>
          <w:rFonts w:eastAsia="宋体"/>
          <w:sz w:val="21"/>
          <w:szCs w:val="21"/>
        </w:rPr>
        <w:t>五、估价测算过程</w:t>
      </w:r>
      <w:r>
        <w:rPr>
          <w:sz w:val="21"/>
          <w:szCs w:val="21"/>
        </w:rPr>
        <w:tab/>
      </w:r>
      <w:r>
        <w:rPr>
          <w:sz w:val="21"/>
          <w:szCs w:val="21"/>
        </w:rPr>
        <w:fldChar w:fldCharType="begin"/>
      </w:r>
      <w:r>
        <w:rPr>
          <w:sz w:val="21"/>
          <w:szCs w:val="21"/>
        </w:rPr>
        <w:instrText xml:space="preserve"> PAGEREF _Toc155267107 \h </w:instrText>
      </w:r>
      <w:r>
        <w:rPr>
          <w:sz w:val="21"/>
          <w:szCs w:val="21"/>
        </w:rPr>
        <w:fldChar w:fldCharType="separate"/>
      </w:r>
      <w:r>
        <w:rPr>
          <w:sz w:val="21"/>
          <w:szCs w:val="21"/>
        </w:rPr>
        <w:t>50</w:t>
      </w:r>
      <w:r>
        <w:rPr>
          <w:sz w:val="21"/>
          <w:szCs w:val="21"/>
        </w:rPr>
        <w:fldChar w:fldCharType="end"/>
      </w:r>
      <w:r>
        <w:rPr>
          <w:sz w:val="21"/>
          <w:szCs w:val="21"/>
        </w:rPr>
        <w:fldChar w:fldCharType="end"/>
      </w:r>
    </w:p>
    <w:p w14:paraId="704B7A42">
      <w:pPr>
        <w:pStyle w:val="27"/>
        <w:rPr>
          <w:rFonts w:ascii="等线" w:hAnsi="等线" w:eastAsia="等线"/>
          <w:kern w:val="2"/>
          <w:sz w:val="21"/>
          <w:szCs w:val="21"/>
        </w:rPr>
      </w:pPr>
      <w:r>
        <w:fldChar w:fldCharType="begin"/>
      </w:r>
      <w:r>
        <w:instrText xml:space="preserve"> HYPERLINK \l "_Toc155267108" </w:instrText>
      </w:r>
      <w:r>
        <w:fldChar w:fldCharType="separate"/>
      </w:r>
      <w:r>
        <w:rPr>
          <w:rStyle w:val="39"/>
          <w:rFonts w:eastAsia="宋体"/>
          <w:sz w:val="21"/>
          <w:szCs w:val="21"/>
        </w:rPr>
        <w:t>六、估价结果确定</w:t>
      </w:r>
      <w:r>
        <w:rPr>
          <w:sz w:val="21"/>
          <w:szCs w:val="21"/>
        </w:rPr>
        <w:tab/>
      </w:r>
      <w:r>
        <w:rPr>
          <w:sz w:val="21"/>
          <w:szCs w:val="21"/>
        </w:rPr>
        <w:fldChar w:fldCharType="begin"/>
      </w:r>
      <w:r>
        <w:rPr>
          <w:sz w:val="21"/>
          <w:szCs w:val="21"/>
        </w:rPr>
        <w:instrText xml:space="preserve"> PAGEREF _Toc155267108 \h </w:instrText>
      </w:r>
      <w:r>
        <w:rPr>
          <w:sz w:val="21"/>
          <w:szCs w:val="21"/>
        </w:rPr>
        <w:fldChar w:fldCharType="separate"/>
      </w:r>
      <w:r>
        <w:rPr>
          <w:sz w:val="21"/>
          <w:szCs w:val="21"/>
        </w:rPr>
        <w:t>81</w:t>
      </w:r>
      <w:r>
        <w:rPr>
          <w:sz w:val="21"/>
          <w:szCs w:val="21"/>
        </w:rPr>
        <w:fldChar w:fldCharType="end"/>
      </w:r>
      <w:r>
        <w:rPr>
          <w:sz w:val="21"/>
          <w:szCs w:val="21"/>
        </w:rPr>
        <w:fldChar w:fldCharType="end"/>
      </w:r>
    </w:p>
    <w:p w14:paraId="1A9E2386">
      <w:pPr>
        <w:pStyle w:val="23"/>
        <w:rPr>
          <w:rFonts w:ascii="等线" w:hAnsi="等线" w:eastAsia="等线"/>
          <w:b w:val="0"/>
          <w:bCs w:val="0"/>
          <w:kern w:val="2"/>
          <w:sz w:val="24"/>
          <w:szCs w:val="24"/>
        </w:rPr>
      </w:pPr>
      <w:r>
        <w:fldChar w:fldCharType="begin"/>
      </w:r>
      <w:r>
        <w:instrText xml:space="preserve"> HYPERLINK \l "_Toc155267109" </w:instrText>
      </w:r>
      <w:r>
        <w:fldChar w:fldCharType="separate"/>
      </w:r>
      <w:r>
        <w:rPr>
          <w:rStyle w:val="39"/>
          <w:rFonts w:eastAsia="方正黑体简体"/>
          <w:sz w:val="24"/>
          <w:szCs w:val="24"/>
        </w:rPr>
        <w:t>附   件</w:t>
      </w:r>
      <w:r>
        <w:rPr>
          <w:sz w:val="24"/>
          <w:szCs w:val="24"/>
        </w:rPr>
        <w:tab/>
      </w:r>
      <w:r>
        <w:rPr>
          <w:sz w:val="24"/>
          <w:szCs w:val="24"/>
        </w:rPr>
        <w:fldChar w:fldCharType="begin"/>
      </w:r>
      <w:r>
        <w:rPr>
          <w:sz w:val="24"/>
          <w:szCs w:val="24"/>
        </w:rPr>
        <w:instrText xml:space="preserve"> PAGEREF _Toc155267109 \h </w:instrText>
      </w:r>
      <w:r>
        <w:rPr>
          <w:sz w:val="24"/>
          <w:szCs w:val="24"/>
        </w:rPr>
        <w:fldChar w:fldCharType="separate"/>
      </w:r>
      <w:r>
        <w:rPr>
          <w:sz w:val="24"/>
          <w:szCs w:val="24"/>
        </w:rPr>
        <w:t>82</w:t>
      </w:r>
      <w:r>
        <w:rPr>
          <w:sz w:val="24"/>
          <w:szCs w:val="24"/>
        </w:rPr>
        <w:fldChar w:fldCharType="end"/>
      </w:r>
      <w:r>
        <w:rPr>
          <w:sz w:val="24"/>
          <w:szCs w:val="24"/>
        </w:rPr>
        <w:fldChar w:fldCharType="end"/>
      </w:r>
    </w:p>
    <w:p w14:paraId="3FC594BC">
      <w:pPr>
        <w:numPr>
          <w:ilvl w:val="0"/>
          <w:numId w:val="5"/>
        </w:numPr>
        <w:spacing w:line="360" w:lineRule="auto"/>
        <w:jc w:val="both"/>
        <w:rPr>
          <w:rFonts w:ascii="Arial" w:hAnsi="Arial" w:cs="Arial"/>
          <w:sz w:val="21"/>
          <w:szCs w:val="21"/>
        </w:rPr>
      </w:pPr>
      <w:r>
        <w:rPr>
          <w:rFonts w:ascii="宋体" w:hAnsi="宋体" w:cs="Arial"/>
          <w:szCs w:val="24"/>
        </w:rPr>
        <w:fldChar w:fldCharType="end"/>
      </w:r>
      <w:r>
        <w:rPr>
          <w:rFonts w:hint="eastAsia" w:ascii="Arial" w:hAnsi="Arial" w:cs="Arial"/>
          <w:sz w:val="21"/>
          <w:szCs w:val="21"/>
        </w:rPr>
        <w:t>《估价委托书》复印件</w:t>
      </w:r>
    </w:p>
    <w:p w14:paraId="19E7CDF6">
      <w:pPr>
        <w:numPr>
          <w:ilvl w:val="0"/>
          <w:numId w:val="5"/>
        </w:numPr>
        <w:spacing w:line="360" w:lineRule="auto"/>
        <w:jc w:val="both"/>
        <w:rPr>
          <w:rFonts w:ascii="Arial" w:hAnsi="Arial" w:cs="Arial"/>
          <w:sz w:val="21"/>
          <w:szCs w:val="21"/>
        </w:rPr>
      </w:pPr>
      <w:r>
        <w:rPr>
          <w:rFonts w:hint="eastAsia" w:ascii="Arial" w:hAnsi="Arial" w:cs="Arial"/>
          <w:sz w:val="21"/>
          <w:szCs w:val="21"/>
        </w:rPr>
        <w:t>估价对象所在位置示意图</w:t>
      </w:r>
    </w:p>
    <w:p w14:paraId="6CD50BCA">
      <w:pPr>
        <w:numPr>
          <w:ilvl w:val="0"/>
          <w:numId w:val="5"/>
        </w:numPr>
        <w:spacing w:line="360" w:lineRule="auto"/>
        <w:jc w:val="both"/>
        <w:rPr>
          <w:rFonts w:ascii="Arial" w:hAnsi="Arial" w:cs="Arial"/>
          <w:sz w:val="21"/>
          <w:szCs w:val="21"/>
        </w:rPr>
      </w:pPr>
      <w:r>
        <w:rPr>
          <w:rFonts w:hint="eastAsia" w:ascii="Arial" w:hAnsi="Arial" w:cs="Arial"/>
          <w:sz w:val="21"/>
          <w:szCs w:val="21"/>
        </w:rPr>
        <w:t>估价对象现状照片</w:t>
      </w:r>
    </w:p>
    <w:p w14:paraId="443231C7">
      <w:pPr>
        <w:numPr>
          <w:ilvl w:val="0"/>
          <w:numId w:val="5"/>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54AC80A0">
      <w:pPr>
        <w:numPr>
          <w:ilvl w:val="0"/>
          <w:numId w:val="5"/>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78CF5216">
      <w:pPr>
        <w:numPr>
          <w:ilvl w:val="0"/>
          <w:numId w:val="5"/>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448D1FA3">
      <w:pPr>
        <w:numPr>
          <w:ilvl w:val="0"/>
          <w:numId w:val="5"/>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75037D9D">
      <w:pPr>
        <w:numPr>
          <w:ilvl w:val="0"/>
          <w:numId w:val="5"/>
        </w:numPr>
        <w:spacing w:line="360" w:lineRule="auto"/>
        <w:jc w:val="both"/>
        <w:rPr>
          <w:rFonts w:ascii="Arial" w:hAnsi="Arial" w:cs="Arial"/>
          <w:sz w:val="21"/>
          <w:szCs w:val="21"/>
        </w:rPr>
      </w:pPr>
      <w:r>
        <w:rPr>
          <w:rFonts w:hint="eastAsia" w:ascii="Arial" w:hAnsi="Arial" w:cs="Arial"/>
          <w:sz w:val="21"/>
          <w:szCs w:val="21"/>
        </w:rPr>
        <w:t>《不动产权证书》[京（2026）大不动产权第0006767、0006768、0006769、0003772、0006911、0006930号]部分复印件</w:t>
      </w:r>
    </w:p>
    <w:p w14:paraId="21F6E23A">
      <w:pPr>
        <w:numPr>
          <w:ilvl w:val="0"/>
          <w:numId w:val="5"/>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17519E05">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房地产估价机构《营业执照（副本）》复印件</w:t>
      </w:r>
    </w:p>
    <w:p w14:paraId="3127DC37">
      <w:pPr>
        <w:numPr>
          <w:ilvl w:val="0"/>
          <w:numId w:val="5"/>
        </w:numPr>
        <w:spacing w:line="360" w:lineRule="auto"/>
        <w:jc w:val="both"/>
        <w:rPr>
          <w:rFonts w:ascii="Arial" w:hAnsi="Arial" w:cs="Arial"/>
          <w:sz w:val="21"/>
          <w:szCs w:val="21"/>
        </w:rPr>
      </w:pPr>
      <w:r>
        <w:rPr>
          <w:rFonts w:hint="eastAsia" w:ascii="Arial" w:hAnsi="Arial" w:cs="Arial"/>
          <w:sz w:val="21"/>
          <w:szCs w:val="21"/>
        </w:rPr>
        <w:t>房地产估价机构资质证书复印件</w:t>
      </w:r>
    </w:p>
    <w:p w14:paraId="6137FEDF">
      <w:pPr>
        <w:numPr>
          <w:ilvl w:val="0"/>
          <w:numId w:val="5"/>
        </w:numPr>
        <w:spacing w:line="360" w:lineRule="auto"/>
        <w:jc w:val="both"/>
        <w:rPr>
          <w:rFonts w:ascii="Arial" w:hAnsi="Arial" w:cs="Arial"/>
          <w:sz w:val="21"/>
          <w:szCs w:val="21"/>
        </w:rPr>
      </w:pPr>
      <w:r>
        <w:rPr>
          <w:rFonts w:hint="eastAsia" w:ascii="Arial" w:hAnsi="Arial" w:cs="Arial"/>
          <w:sz w:val="21"/>
          <w:szCs w:val="21"/>
        </w:rPr>
        <w:t>评估专业人员执业证书复印件</w:t>
      </w:r>
    </w:p>
    <w:p w14:paraId="3C39A97F">
      <w:pPr>
        <w:spacing w:line="240" w:lineRule="auto"/>
        <w:jc w:val="both"/>
        <w:outlineLvl w:val="0"/>
        <w:rPr>
          <w:rFonts w:ascii="Arial" w:hAnsi="Arial" w:eastAsia="楷体_GB2312" w:cs="Arial"/>
          <w:i/>
          <w:kern w:val="2"/>
          <w:sz w:val="28"/>
          <w:szCs w:val="28"/>
        </w:rPr>
        <w:sectPr>
          <w:headerReference r:id="rId14" w:type="first"/>
          <w:headerReference r:id="rId12" w:type="default"/>
          <w:headerReference r:id="rId13" w:type="even"/>
          <w:pgSz w:w="11907" w:h="16840"/>
          <w:pgMar w:top="1843" w:right="1134" w:bottom="1134" w:left="1134" w:header="1134" w:footer="907" w:gutter="340"/>
          <w:cols w:space="720" w:num="1"/>
          <w:docGrid w:linePitch="326" w:charSpace="0"/>
        </w:sectPr>
      </w:pPr>
    </w:p>
    <w:p w14:paraId="0B2849FA">
      <w:pPr>
        <w:pStyle w:val="2"/>
        <w:spacing w:line="480" w:lineRule="auto"/>
        <w:jc w:val="center"/>
        <w:rPr>
          <w:rFonts w:eastAsia="方正黑体简体"/>
          <w:b w:val="0"/>
          <w:kern w:val="2"/>
          <w:sz w:val="32"/>
          <w:szCs w:val="32"/>
        </w:rPr>
      </w:pPr>
      <w:bookmarkStart w:id="5" w:name="_Toc155267083"/>
      <w:bookmarkStart w:id="6" w:name="_Toc379795041"/>
      <w:r>
        <w:rPr>
          <w:rFonts w:hint="eastAsia" w:eastAsia="方正黑体简体"/>
          <w:b w:val="0"/>
          <w:kern w:val="2"/>
          <w:sz w:val="32"/>
          <w:szCs w:val="32"/>
        </w:rPr>
        <w:t>估价师声明</w:t>
      </w:r>
      <w:bookmarkEnd w:id="5"/>
      <w:bookmarkEnd w:id="6"/>
    </w:p>
    <w:p w14:paraId="23AAB152">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666164CA">
      <w:pPr>
        <w:spacing w:line="480" w:lineRule="auto"/>
        <w:jc w:val="both"/>
        <w:outlineLvl w:val="0"/>
        <w:rPr>
          <w:rFonts w:ascii="Arial" w:hAnsi="Arial" w:cs="Arial"/>
          <w:kern w:val="2"/>
          <w:sz w:val="21"/>
          <w:szCs w:val="21"/>
        </w:rPr>
      </w:pPr>
      <w:bookmarkStart w:id="7" w:name="_Toc168225811"/>
      <w:r>
        <w:rPr>
          <w:rFonts w:ascii="Arial" w:hAnsi="Arial" w:cs="Arial"/>
          <w:kern w:val="2"/>
          <w:sz w:val="21"/>
          <w:szCs w:val="21"/>
        </w:rPr>
        <w:t>（一）注册房地产估价师在本估价报告中对事实的说明是真实的和准确的，没有虚假记载、误导性陈述和重大遗漏。</w:t>
      </w:r>
    </w:p>
    <w:p w14:paraId="41647698">
      <w:pPr>
        <w:spacing w:line="480" w:lineRule="auto"/>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46267D8F">
      <w:pPr>
        <w:spacing w:line="480" w:lineRule="auto"/>
        <w:jc w:val="both"/>
        <w:outlineLvl w:val="0"/>
        <w:rPr>
          <w:rFonts w:ascii="Arial" w:hAnsi="Arial" w:cs="Arial"/>
          <w:kern w:val="2"/>
          <w:sz w:val="21"/>
          <w:szCs w:val="21"/>
        </w:rPr>
      </w:pPr>
      <w:r>
        <w:rPr>
          <w:rFonts w:ascii="Arial" w:hAnsi="Arial" w:cs="Arial"/>
          <w:kern w:val="2"/>
          <w:sz w:val="21"/>
          <w:szCs w:val="21"/>
        </w:rPr>
        <w:t>（三）</w:t>
      </w:r>
      <w:r>
        <w:rPr>
          <w:rFonts w:hint="eastAsia" w:ascii="Arial" w:hAnsi="Arial" w:cs="Arial"/>
          <w:kern w:val="2"/>
          <w:sz w:val="21"/>
          <w:szCs w:val="21"/>
        </w:rPr>
        <w:t>评估专业人员已对估价对象进行了实地查勘。我们</w:t>
      </w:r>
      <w:r>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4DABB6B5">
      <w:pPr>
        <w:spacing w:line="480" w:lineRule="auto"/>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bookmarkStart w:id="8" w:name="_Hlk130229083"/>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50291-2015]</w:t>
      </w:r>
      <w:bookmarkEnd w:id="8"/>
      <w:r>
        <w:rPr>
          <w:rFonts w:hint="eastAsia" w:ascii="Arial" w:hAnsi="Arial" w:cs="Arial"/>
          <w:kern w:val="2"/>
          <w:sz w:val="21"/>
          <w:szCs w:val="21"/>
        </w:rPr>
        <w:t>、《</w:t>
      </w:r>
      <w:r>
        <w:rPr>
          <w:rFonts w:ascii="Arial" w:hAnsi="Arial" w:cs="Arial"/>
          <w:kern w:val="2"/>
          <w:sz w:val="21"/>
          <w:szCs w:val="21"/>
        </w:rPr>
        <w:t>房地产估价基本术语标</w:t>
      </w:r>
      <w:r>
        <w:rPr>
          <w:rFonts w:hint="eastAsia" w:ascii="Arial" w:hAnsi="Arial" w:cs="Arial"/>
          <w:kern w:val="2"/>
          <w:sz w:val="21"/>
          <w:szCs w:val="21"/>
        </w:rPr>
        <w:t>准》</w:t>
      </w:r>
      <w:bookmarkStart w:id="9" w:name="_Hlk130229088"/>
      <w:r>
        <w:rPr>
          <w:rFonts w:ascii="Arial" w:hAnsi="Arial" w:cs="Arial"/>
          <w:kern w:val="2"/>
          <w:sz w:val="21"/>
          <w:szCs w:val="21"/>
        </w:rPr>
        <w:t>[GB/T</w:t>
      </w:r>
      <w:r>
        <w:rPr>
          <w:rFonts w:hint="eastAsia" w:ascii="Arial" w:hAnsi="Arial" w:cs="Arial"/>
          <w:kern w:val="2"/>
          <w:sz w:val="21"/>
          <w:szCs w:val="21"/>
        </w:rPr>
        <w:t xml:space="preserve"> </w:t>
      </w:r>
      <w:r>
        <w:rPr>
          <w:rFonts w:ascii="Arial" w:hAnsi="Arial" w:cs="Arial"/>
          <w:kern w:val="2"/>
          <w:sz w:val="21"/>
          <w:szCs w:val="21"/>
        </w:rPr>
        <w:t>50899-2013]</w:t>
      </w:r>
      <w:bookmarkEnd w:id="9"/>
      <w:r>
        <w:rPr>
          <w:rFonts w:ascii="Arial" w:hAnsi="Arial" w:cs="Arial"/>
          <w:kern w:val="2"/>
          <w:sz w:val="21"/>
          <w:szCs w:val="21"/>
        </w:rPr>
        <w:t>以及相关房地产估价专项标准，撰写本估价报告。</w:t>
      </w:r>
    </w:p>
    <w:p w14:paraId="4F8D1CD6">
      <w:pPr>
        <w:rPr>
          <w:rFonts w:ascii="Arial" w:hAnsi="Arial" w:eastAsia="楷体_GB2312" w:cs="Arial"/>
          <w:kern w:val="2"/>
          <w:sz w:val="28"/>
        </w:rPr>
        <w:sectPr>
          <w:headerReference r:id="rId17" w:type="first"/>
          <w:footerReference r:id="rId18" w:type="first"/>
          <w:headerReference r:id="rId15" w:type="default"/>
          <w:headerReference r:id="rId16" w:type="even"/>
          <w:pgSz w:w="11907" w:h="16840"/>
          <w:pgMar w:top="1843" w:right="1134" w:bottom="1134" w:left="1134" w:header="1134" w:footer="907" w:gutter="340"/>
          <w:cols w:space="720" w:num="1"/>
          <w:docGrid w:linePitch="326" w:charSpace="0"/>
        </w:sectPr>
      </w:pPr>
    </w:p>
    <w:p w14:paraId="73982AD6">
      <w:pPr>
        <w:pStyle w:val="2"/>
        <w:spacing w:line="480" w:lineRule="auto"/>
        <w:jc w:val="center"/>
        <w:rPr>
          <w:rFonts w:eastAsia="方正黑体简体"/>
          <w:b w:val="0"/>
          <w:kern w:val="2"/>
          <w:sz w:val="32"/>
          <w:szCs w:val="32"/>
        </w:rPr>
      </w:pPr>
      <w:bookmarkStart w:id="10" w:name="_Toc379795042"/>
      <w:bookmarkStart w:id="11" w:name="_Toc155267084"/>
      <w:r>
        <w:rPr>
          <w:rFonts w:hint="eastAsia" w:eastAsia="方正黑体简体"/>
          <w:b w:val="0"/>
          <w:kern w:val="2"/>
          <w:sz w:val="32"/>
          <w:szCs w:val="32"/>
        </w:rPr>
        <w:t>估价假设和限制条件</w:t>
      </w:r>
      <w:bookmarkEnd w:id="10"/>
      <w:bookmarkEnd w:id="11"/>
    </w:p>
    <w:p w14:paraId="2FB03F91">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hint="eastAsia" w:ascii="Arial" w:hAnsi="Arial" w:cs="Arial"/>
          <w:b/>
          <w:kern w:val="2"/>
          <w:sz w:val="21"/>
          <w:szCs w:val="21"/>
        </w:rPr>
        <w:t>本次估价的一般假设</w:t>
      </w:r>
    </w:p>
    <w:p w14:paraId="17835FD7">
      <w:pPr>
        <w:spacing w:line="480" w:lineRule="auto"/>
        <w:ind w:firstLine="420" w:firstLineChars="200"/>
        <w:jc w:val="both"/>
        <w:rPr>
          <w:rFonts w:ascii="Arial" w:hAnsi="Arial" w:cs="Arial"/>
          <w:kern w:val="2"/>
          <w:sz w:val="21"/>
          <w:szCs w:val="21"/>
        </w:rPr>
      </w:pPr>
      <w:r>
        <w:rPr>
          <w:rFonts w:ascii="Arial" w:hAnsi="Arial" w:cs="Arial"/>
          <w:kern w:val="2"/>
          <w:sz w:val="21"/>
          <w:szCs w:val="21"/>
        </w:rPr>
        <w:t>1.在</w:t>
      </w:r>
      <w:r>
        <w:rPr>
          <w:rFonts w:hint="eastAsia" w:ascii="Arial" w:hAnsi="Arial" w:cs="Arial"/>
          <w:kern w:val="2"/>
          <w:sz w:val="21"/>
          <w:szCs w:val="21"/>
        </w:rPr>
        <w:t>估价时段</w:t>
      </w:r>
      <w:r>
        <w:rPr>
          <w:rFonts w:ascii="Arial" w:hAnsi="Arial" w:cs="Arial"/>
          <w:kern w:val="2"/>
          <w:sz w:val="21"/>
          <w:szCs w:val="21"/>
        </w:rPr>
        <w:t>的房地产</w:t>
      </w:r>
      <w:r>
        <w:rPr>
          <w:rFonts w:hint="eastAsia" w:ascii="Arial" w:hAnsi="Arial" w:cs="Arial"/>
          <w:kern w:val="2"/>
          <w:sz w:val="21"/>
          <w:szCs w:val="21"/>
        </w:rPr>
        <w:t>租赁</w:t>
      </w:r>
      <w:r>
        <w:rPr>
          <w:rFonts w:ascii="Arial" w:hAnsi="Arial" w:cs="Arial"/>
          <w:kern w:val="2"/>
          <w:sz w:val="21"/>
          <w:szCs w:val="21"/>
        </w:rPr>
        <w:t>市场为公开、平等、自愿的交易市场。</w:t>
      </w:r>
    </w:p>
    <w:p w14:paraId="26007D7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w:t>
      </w:r>
      <w:r>
        <w:rPr>
          <w:rFonts w:ascii="Arial" w:hAnsi="Arial" w:cs="Arial"/>
          <w:kern w:val="2"/>
          <w:sz w:val="21"/>
        </w:rPr>
        <w:t>以估价对象为符合法律、法规规定，在市场上可进行出租的房地产为假设前提。</w:t>
      </w:r>
    </w:p>
    <w:p w14:paraId="7BDB2210">
      <w:pPr>
        <w:spacing w:line="480" w:lineRule="auto"/>
        <w:ind w:firstLine="420" w:firstLineChars="200"/>
        <w:jc w:val="both"/>
        <w:rPr>
          <w:rFonts w:ascii="Arial" w:hAnsi="Arial" w:cs="Arial"/>
          <w:kern w:val="2"/>
          <w:sz w:val="21"/>
          <w:szCs w:val="21"/>
        </w:rPr>
      </w:pPr>
      <w:r>
        <w:rPr>
          <w:rFonts w:hint="eastAsia" w:ascii="Arial" w:hAnsi="Arial" w:cs="Arial"/>
          <w:kern w:val="2"/>
          <w:sz w:val="21"/>
        </w:rPr>
        <w:t>3</w:t>
      </w:r>
      <w:r>
        <w:rPr>
          <w:rFonts w:ascii="Arial" w:hAnsi="Arial" w:cs="Arial"/>
          <w:kern w:val="2"/>
          <w:sz w:val="21"/>
        </w:rPr>
        <w:t>.以</w:t>
      </w:r>
      <w:r>
        <w:rPr>
          <w:rFonts w:hint="eastAsia" w:ascii="Arial" w:hAnsi="Arial" w:cs="Arial"/>
          <w:kern w:val="2"/>
          <w:sz w:val="21"/>
        </w:rPr>
        <w:t>估价委托人</w:t>
      </w:r>
      <w:r>
        <w:rPr>
          <w:rFonts w:ascii="Arial" w:hAnsi="Arial" w:cs="Arial"/>
          <w:kern w:val="2"/>
          <w:sz w:val="21"/>
        </w:rPr>
        <w:t>能按照设定用途</w:t>
      </w:r>
      <w:r>
        <w:rPr>
          <w:rFonts w:hint="eastAsia" w:ascii="宋体" w:hAnsi="宋体"/>
          <w:kern w:val="2"/>
          <w:sz w:val="21"/>
        </w:rPr>
        <w:t>正常使用并可持续对外出租</w:t>
      </w:r>
      <w:r>
        <w:rPr>
          <w:rFonts w:ascii="Arial" w:hAnsi="Arial" w:cs="Arial"/>
          <w:kern w:val="2"/>
          <w:sz w:val="21"/>
        </w:rPr>
        <w:t>为假设前提。</w:t>
      </w:r>
    </w:p>
    <w:p w14:paraId="20B6B11B">
      <w:pPr>
        <w:spacing w:line="480" w:lineRule="auto"/>
        <w:ind w:firstLine="420" w:firstLineChars="200"/>
        <w:jc w:val="both"/>
        <w:rPr>
          <w:rFonts w:ascii="Arial" w:hAnsi="Arial" w:cs="Arial"/>
          <w:kern w:val="2"/>
          <w:sz w:val="21"/>
          <w:szCs w:val="21"/>
        </w:rPr>
      </w:pPr>
      <w:r>
        <w:rPr>
          <w:rFonts w:ascii="Arial" w:hAnsi="Arial" w:cs="Arial"/>
          <w:kern w:val="2"/>
          <w:sz w:val="21"/>
          <w:szCs w:val="21"/>
        </w:rPr>
        <w:t>4.评估专业人员已对估价委托人所提供的、本估价报告所依据的估价对象的</w:t>
      </w:r>
      <w:r>
        <w:rPr>
          <w:rFonts w:hint="eastAsia" w:ascii="Arial" w:hAnsi="Arial" w:cs="Arial"/>
          <w:kern w:val="2"/>
          <w:sz w:val="21"/>
          <w:szCs w:val="21"/>
        </w:rPr>
        <w:t>权属、面积、用途等</w:t>
      </w:r>
      <w:r>
        <w:rPr>
          <w:rFonts w:ascii="Arial" w:hAnsi="Arial" w:cs="Arial"/>
          <w:kern w:val="2"/>
          <w:sz w:val="21"/>
          <w:szCs w:val="21"/>
        </w:rPr>
        <w:t>资料进行了检查，无理由怀疑其合法性、真实性、准确性和完整性。本次评估设定估价委托人提供的资料合法、</w:t>
      </w:r>
      <w:r>
        <w:rPr>
          <w:rFonts w:hint="eastAsia" w:ascii="Arial" w:hAnsi="Arial" w:cs="Arial"/>
          <w:kern w:val="2"/>
          <w:sz w:val="21"/>
          <w:szCs w:val="21"/>
        </w:rPr>
        <w:t>真实、准确、完整</w:t>
      </w:r>
      <w:r>
        <w:rPr>
          <w:rFonts w:ascii="Arial" w:hAnsi="Arial" w:cs="Arial"/>
          <w:kern w:val="2"/>
          <w:sz w:val="21"/>
          <w:szCs w:val="21"/>
        </w:rPr>
        <w:t>，并且提供了与本次评估有关的所有资料，没有保留及隐瞒。</w:t>
      </w:r>
    </w:p>
    <w:p w14:paraId="1BB524DD">
      <w:pPr>
        <w:spacing w:line="480" w:lineRule="auto"/>
        <w:ind w:firstLine="420" w:firstLineChars="200"/>
        <w:jc w:val="both"/>
        <w:rPr>
          <w:rFonts w:ascii="Arial" w:hAnsi="Arial" w:cs="Arial"/>
          <w:kern w:val="2"/>
          <w:sz w:val="21"/>
          <w:szCs w:val="21"/>
        </w:rPr>
      </w:pPr>
      <w:r>
        <w:rPr>
          <w:rFonts w:ascii="Arial" w:hAnsi="Arial" w:cs="Arial"/>
          <w:kern w:val="2"/>
          <w:sz w:val="21"/>
          <w:szCs w:val="21"/>
        </w:rPr>
        <w:t>5</w:t>
      </w:r>
      <w:r>
        <w:rPr>
          <w:rFonts w:hint="eastAsia" w:ascii="Arial" w:hAnsi="Arial" w:cs="Arial"/>
          <w:kern w:val="2"/>
          <w:sz w:val="21"/>
          <w:szCs w:val="21"/>
        </w:rPr>
        <w:t>.本次估价结果是在满足全部假设与限制条件下，于价值时点2026年4月7日，</w:t>
      </w:r>
      <w:r>
        <w:rPr>
          <w:rFonts w:hint="eastAsia" w:ascii="Arial" w:hAnsi="Arial" w:cs="Arial"/>
          <w:sz w:val="21"/>
          <w:szCs w:val="21"/>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w:t>
      </w:r>
      <w:commentRangeStart w:id="0"/>
      <w:r>
        <w:rPr>
          <w:rFonts w:hint="eastAsia" w:ascii="Arial" w:hAnsi="Arial" w:cs="Arial"/>
          <w:sz w:val="21"/>
          <w:szCs w:val="21"/>
        </w:rPr>
        <w:t>中央空调</w:t>
      </w:r>
      <w:commentRangeEnd w:id="0"/>
      <w:r>
        <w:rPr>
          <w:rStyle w:val="40"/>
        </w:rPr>
        <w:commentReference w:id="0"/>
      </w:r>
      <w:r>
        <w:rPr>
          <w:rFonts w:hint="eastAsia" w:ascii="Arial" w:hAnsi="Arial" w:cs="Arial"/>
          <w:sz w:val="21"/>
          <w:szCs w:val="21"/>
        </w:rPr>
        <w:t>等费用）、车位使用费等费用。</w:t>
      </w:r>
    </w:p>
    <w:p w14:paraId="0F53F3C7">
      <w:pPr>
        <w:spacing w:line="480" w:lineRule="auto"/>
        <w:ind w:firstLine="420" w:firstLineChars="200"/>
        <w:jc w:val="both"/>
        <w:rPr>
          <w:rFonts w:ascii="Arial" w:hAnsi="Arial" w:cs="Arial"/>
          <w:kern w:val="2"/>
          <w:sz w:val="21"/>
          <w:szCs w:val="21"/>
        </w:rPr>
      </w:pPr>
      <w:r>
        <w:rPr>
          <w:rFonts w:ascii="Arial" w:hAnsi="Arial" w:cs="Arial"/>
          <w:kern w:val="2"/>
          <w:sz w:val="21"/>
          <w:szCs w:val="21"/>
        </w:rPr>
        <w:t>6</w:t>
      </w:r>
      <w:r>
        <w:rPr>
          <w:rFonts w:hint="eastAsia" w:ascii="Arial" w:hAnsi="Arial" w:cs="Arial"/>
          <w:kern w:val="2"/>
          <w:sz w:val="21"/>
          <w:szCs w:val="21"/>
        </w:rPr>
        <w:t>.本次估价所涉及</w:t>
      </w:r>
      <w:r>
        <w:rPr>
          <w:rFonts w:ascii="Arial" w:hAnsi="Arial" w:cs="Arial"/>
          <w:kern w:val="2"/>
          <w:sz w:val="21"/>
          <w:szCs w:val="21"/>
        </w:rPr>
        <w:t>估价对象</w:t>
      </w:r>
      <w:r>
        <w:rPr>
          <w:rFonts w:hint="eastAsia" w:ascii="Arial" w:hAnsi="Arial" w:cs="Arial"/>
          <w:kern w:val="2"/>
          <w:sz w:val="21"/>
          <w:szCs w:val="21"/>
        </w:rPr>
        <w:t>坐落、户型、建筑面积、朝向、套数、装修及设备等情况均以估价委托人提供的《估价委托书》、</w:t>
      </w:r>
      <w:r>
        <w:rPr>
          <w:rFonts w:hint="eastAsia" w:ascii="Arial" w:hAnsi="Arial" w:cs="Arial"/>
          <w:sz w:val="21"/>
          <w:szCs w:val="21"/>
        </w:rPr>
        <w:t>《北京市保障性住房收购合同》及其附件、《不动产权证书》[京（2026）大不动产权第0006767、0006768、0006769、0003772、0006911、0006930号]部分复印件</w:t>
      </w:r>
      <w:r>
        <w:rPr>
          <w:rFonts w:ascii="Arial" w:hAnsi="Arial" w:cs="Arial"/>
          <w:kern w:val="2"/>
          <w:sz w:val="21"/>
          <w:szCs w:val="21"/>
        </w:rPr>
        <w:t>为</w:t>
      </w:r>
      <w:r>
        <w:rPr>
          <w:rFonts w:ascii="Arial" w:hAnsi="Arial" w:cs="Arial"/>
          <w:sz w:val="21"/>
          <w:szCs w:val="21"/>
        </w:rPr>
        <w:t>依据。</w:t>
      </w:r>
      <w:r>
        <w:rPr>
          <w:rFonts w:ascii="Arial" w:hAnsi="Arial" w:cs="Arial"/>
          <w:kern w:val="2"/>
          <w:sz w:val="21"/>
        </w:rPr>
        <w:t>如上述情况发生变化，估价结果需做相应调整，在此提请报告使用者注意。</w:t>
      </w:r>
    </w:p>
    <w:p w14:paraId="22BBC354">
      <w:pPr>
        <w:spacing w:line="480" w:lineRule="auto"/>
        <w:ind w:firstLine="420" w:firstLineChars="200"/>
        <w:jc w:val="both"/>
        <w:rPr>
          <w:rFonts w:ascii="Arial" w:hAnsi="Arial" w:cs="Arial"/>
          <w:kern w:val="2"/>
          <w:sz w:val="21"/>
          <w:szCs w:val="21"/>
        </w:rPr>
      </w:pPr>
      <w:r>
        <w:rPr>
          <w:rFonts w:ascii="Arial" w:hAnsi="Arial" w:cs="Arial"/>
          <w:sz w:val="21"/>
          <w:szCs w:val="21"/>
        </w:rPr>
        <w:t>7.</w:t>
      </w:r>
      <w:r>
        <w:rPr>
          <w:rFonts w:ascii="Arial" w:hAnsi="Arial" w:cs="Arial"/>
          <w:kern w:val="2"/>
          <w:sz w:val="21"/>
          <w:szCs w:val="21"/>
        </w:rPr>
        <w:t>评估专业人员</w:t>
      </w:r>
      <w:r>
        <w:rPr>
          <w:rFonts w:hint="eastAsia" w:ascii="Arial" w:hAnsi="Arial" w:cs="Arial"/>
          <w:kern w:val="2"/>
          <w:sz w:val="21"/>
          <w:szCs w:val="21"/>
        </w:rPr>
        <w:t>仅</w:t>
      </w:r>
      <w:r>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8414389">
      <w:pPr>
        <w:spacing w:line="480" w:lineRule="auto"/>
        <w:ind w:firstLine="420" w:firstLineChars="200"/>
        <w:jc w:val="both"/>
        <w:rPr>
          <w:rFonts w:ascii="Arial" w:hAnsi="Arial" w:cs="Arial"/>
          <w:kern w:val="2"/>
          <w:sz w:val="21"/>
          <w:szCs w:val="21"/>
        </w:rPr>
      </w:pPr>
      <w:r>
        <w:rPr>
          <w:rFonts w:ascii="Arial" w:hAnsi="Arial" w:cs="Arial"/>
          <w:kern w:val="2"/>
          <w:sz w:val="21"/>
          <w:szCs w:val="21"/>
        </w:rPr>
        <w:t>8.任何有关估价对象的运作方式、程序符合国家、地方的有关法律、法规。</w:t>
      </w:r>
    </w:p>
    <w:p w14:paraId="1AC8A654">
      <w:pPr>
        <w:spacing w:line="480" w:lineRule="auto"/>
        <w:ind w:firstLine="420" w:firstLineChars="200"/>
        <w:jc w:val="both"/>
        <w:rPr>
          <w:rFonts w:ascii="Arial" w:hAnsi="Arial" w:cs="Arial"/>
          <w:kern w:val="2"/>
          <w:sz w:val="21"/>
          <w:szCs w:val="21"/>
        </w:rPr>
      </w:pPr>
      <w:r>
        <w:rPr>
          <w:rFonts w:ascii="Arial" w:hAnsi="Arial" w:cs="Arial"/>
          <w:kern w:val="2"/>
          <w:sz w:val="21"/>
          <w:szCs w:val="21"/>
        </w:rPr>
        <w:t>9.本次估价结果未考虑国家宏观政策发生重大变化以及遇有自然力和其他不可抗力对估价结果的影响。</w:t>
      </w:r>
    </w:p>
    <w:p w14:paraId="1EA1A9E7">
      <w:pPr>
        <w:spacing w:line="480" w:lineRule="auto"/>
        <w:ind w:firstLine="420" w:firstLineChars="200"/>
        <w:jc w:val="both"/>
        <w:rPr>
          <w:rFonts w:ascii="Arial" w:hAnsi="Arial" w:cs="Arial"/>
          <w:kern w:val="2"/>
          <w:sz w:val="21"/>
          <w:szCs w:val="21"/>
        </w:rPr>
      </w:pPr>
      <w:r>
        <w:rPr>
          <w:rFonts w:ascii="Arial" w:hAnsi="Arial" w:cs="Arial"/>
          <w:kern w:val="2"/>
          <w:sz w:val="21"/>
          <w:szCs w:val="21"/>
        </w:rPr>
        <w:t>10</w:t>
      </w:r>
      <w:r>
        <w:rPr>
          <w:rFonts w:hint="eastAsia" w:ascii="Arial" w:hAnsi="Arial" w:cs="Arial"/>
          <w:kern w:val="2"/>
          <w:sz w:val="21"/>
          <w:szCs w:val="21"/>
        </w:rPr>
        <w:t>.</w:t>
      </w:r>
      <w:r>
        <w:rPr>
          <w:rFonts w:ascii="Arial" w:hAnsi="Arial" w:cs="Arial"/>
          <w:kern w:val="2"/>
          <w:sz w:val="21"/>
          <w:szCs w:val="21"/>
        </w:rPr>
        <w:t>估价结果未考虑估价对象及其运营企业已承担的债务、或有债务及经营决策失误或市场运作失当对其</w:t>
      </w:r>
      <w:bookmarkStart w:id="12" w:name="_Hlk130229376"/>
      <w:r>
        <w:rPr>
          <w:rFonts w:hint="eastAsia" w:ascii="Arial" w:hAnsi="Arial" w:cs="Arial"/>
          <w:kern w:val="2"/>
          <w:sz w:val="21"/>
          <w:szCs w:val="21"/>
        </w:rPr>
        <w:t>租赁价格水平</w:t>
      </w:r>
      <w:bookmarkEnd w:id="12"/>
      <w:r>
        <w:rPr>
          <w:rFonts w:ascii="Arial" w:hAnsi="Arial" w:cs="Arial"/>
          <w:kern w:val="2"/>
          <w:sz w:val="21"/>
          <w:szCs w:val="21"/>
        </w:rPr>
        <w:t>的影响。</w:t>
      </w:r>
    </w:p>
    <w:p w14:paraId="3AFFBE09">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w:t>
      </w:r>
      <w:r>
        <w:rPr>
          <w:rFonts w:ascii="Arial" w:hAnsi="Arial" w:cs="Arial"/>
          <w:kern w:val="2"/>
          <w:sz w:val="21"/>
          <w:szCs w:val="21"/>
        </w:rPr>
        <w:t>1</w:t>
      </w:r>
      <w:r>
        <w:rPr>
          <w:rFonts w:hint="eastAsia" w:ascii="Arial" w:hAnsi="Arial" w:cs="Arial"/>
          <w:kern w:val="2"/>
          <w:sz w:val="21"/>
          <w:szCs w:val="21"/>
        </w:rPr>
        <w:t>.根据估价目的，本次估价未考虑抵押、租赁、地役、查封等影响，故设定估价对象于价值时点不存在抵押、租赁、地役、查封等限制。</w:t>
      </w:r>
    </w:p>
    <w:p w14:paraId="002A452D">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二</w:t>
      </w:r>
      <w:r>
        <w:rPr>
          <w:rFonts w:ascii="Arial" w:hAnsi="Arial" w:cs="Arial"/>
          <w:b/>
          <w:kern w:val="2"/>
          <w:sz w:val="21"/>
          <w:szCs w:val="21"/>
        </w:rPr>
        <w:t>）</w:t>
      </w:r>
      <w:r>
        <w:rPr>
          <w:rFonts w:hint="eastAsia" w:ascii="Arial" w:hAnsi="Arial" w:cs="Arial"/>
          <w:b/>
          <w:kern w:val="2"/>
          <w:sz w:val="21"/>
          <w:szCs w:val="21"/>
        </w:rPr>
        <w:t>本次估价的未定事项假设</w:t>
      </w:r>
    </w:p>
    <w:p w14:paraId="70AC8405">
      <w:pPr>
        <w:spacing w:line="480" w:lineRule="auto"/>
        <w:ind w:firstLine="420" w:firstLineChars="200"/>
        <w:jc w:val="both"/>
        <w:rPr>
          <w:rFonts w:ascii="Arial" w:hAnsi="Arial" w:cs="Arial"/>
          <w:sz w:val="21"/>
          <w:szCs w:val="21"/>
        </w:rPr>
      </w:pPr>
      <w:r>
        <w:rPr>
          <w:rFonts w:hint="eastAsia" w:ascii="Arial" w:hAnsi="Arial" w:cs="Arial"/>
          <w:sz w:val="21"/>
          <w:szCs w:val="21"/>
        </w:rPr>
        <w:t>无。</w:t>
      </w:r>
    </w:p>
    <w:p w14:paraId="2551A842">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w:t>
      </w:r>
      <w:r>
        <w:rPr>
          <w:rFonts w:hint="eastAsia" w:ascii="Arial" w:hAnsi="Arial" w:cs="Arial"/>
          <w:b/>
          <w:kern w:val="2"/>
          <w:sz w:val="21"/>
          <w:szCs w:val="21"/>
        </w:rPr>
        <w:t>本次估价的</w:t>
      </w:r>
      <w:bookmarkStart w:id="13" w:name="_Hlk118391731"/>
      <w:r>
        <w:rPr>
          <w:rFonts w:hint="eastAsia" w:ascii="Arial" w:hAnsi="Arial" w:cs="Arial"/>
          <w:b/>
          <w:kern w:val="2"/>
          <w:sz w:val="21"/>
          <w:szCs w:val="21"/>
        </w:rPr>
        <w:t>背离事实假设</w:t>
      </w:r>
      <w:bookmarkEnd w:id="13"/>
    </w:p>
    <w:p w14:paraId="48B0B82E">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无。</w:t>
      </w:r>
    </w:p>
    <w:p w14:paraId="3E968C2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四</w:t>
      </w:r>
      <w:r>
        <w:rPr>
          <w:rFonts w:ascii="Arial" w:hAnsi="Arial" w:cs="Arial"/>
          <w:b/>
          <w:kern w:val="2"/>
          <w:sz w:val="21"/>
          <w:szCs w:val="21"/>
        </w:rPr>
        <w:t>）</w:t>
      </w:r>
      <w:r>
        <w:rPr>
          <w:rFonts w:hint="eastAsia" w:ascii="Arial" w:hAnsi="Arial" w:cs="Arial"/>
          <w:b/>
          <w:kern w:val="2"/>
          <w:sz w:val="21"/>
          <w:szCs w:val="21"/>
        </w:rPr>
        <w:t>本次估价的</w:t>
      </w:r>
      <w:bookmarkStart w:id="14" w:name="_Hlk124791168"/>
      <w:r>
        <w:rPr>
          <w:rFonts w:hint="eastAsia" w:ascii="Arial" w:hAnsi="Arial" w:cs="Arial"/>
          <w:b/>
          <w:kern w:val="2"/>
          <w:sz w:val="21"/>
          <w:szCs w:val="21"/>
        </w:rPr>
        <w:t>不相一致假设</w:t>
      </w:r>
      <w:bookmarkEnd w:id="14"/>
    </w:p>
    <w:p w14:paraId="308AE2D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根据</w:t>
      </w:r>
      <w:r>
        <w:rPr>
          <w:rFonts w:hint="eastAsia" w:ascii="Arial" w:hAnsi="Arial" w:cs="Arial"/>
          <w:sz w:val="21"/>
          <w:szCs w:val="21"/>
        </w:rPr>
        <w:t>《不动产权证书》[京（2026）大不动产权第0006767、0006768、0006769、0003772、0006911、0006930号]部分，估价对象大兴区义和庄南街25号院1号楼9层一单元903等275套住宅用房，证载权利类型为国有建设用地使用权/房屋所有权，权利性质为划拨/按经济使用住房管理</w:t>
      </w:r>
      <w:r>
        <w:rPr>
          <w:rFonts w:hint="eastAsia" w:ascii="Arial" w:hAnsi="Arial" w:cs="Arial"/>
          <w:kern w:val="2"/>
          <w:sz w:val="21"/>
          <w:szCs w:val="21"/>
        </w:rPr>
        <w:t>。另根据</w:t>
      </w:r>
      <w:r>
        <w:rPr>
          <w:rFonts w:hint="eastAsia" w:ascii="Arial" w:hAnsi="Arial" w:cs="Arial"/>
          <w:sz w:val="21"/>
          <w:szCs w:val="21"/>
        </w:rPr>
        <w:t>《北京市燕兴保障性住房建设投资有限公司 关于保留原房屋产权性质的请示》[燕兴建投文（2026）08号]、《北京市规划和自然资源委员会 大兴分局关于燕兴保障房公司保留原房屋产权性质有关意见的报告》[京规自兴文（2026）91号]，明确在办理收购区住建委及区住保中心名下14个项目过程中保留原房屋产权性质，区住建委名下按经济适用住房管理的项目转移登记免缴土地出让金。现将估价对象大兴区义和庄南街25号院1号楼9层一单元903等275套住宅用房收购作为保障性租赁住房（住宅型）使用，在此提请报告使用者注意。</w:t>
      </w:r>
    </w:p>
    <w:p w14:paraId="5B2E5BC7">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五</w:t>
      </w:r>
      <w:r>
        <w:rPr>
          <w:rFonts w:ascii="Arial" w:hAnsi="Arial" w:cs="Arial"/>
          <w:b/>
          <w:kern w:val="2"/>
          <w:sz w:val="21"/>
          <w:szCs w:val="21"/>
        </w:rPr>
        <w:t>）</w:t>
      </w:r>
      <w:r>
        <w:rPr>
          <w:rFonts w:hint="eastAsia" w:ascii="Arial" w:hAnsi="Arial" w:cs="Arial"/>
          <w:b/>
          <w:kern w:val="2"/>
          <w:sz w:val="21"/>
          <w:szCs w:val="21"/>
        </w:rPr>
        <w:t>本次估价的依据不足假设</w:t>
      </w:r>
    </w:p>
    <w:p w14:paraId="1C83C82C">
      <w:pPr>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无。</w:t>
      </w:r>
    </w:p>
    <w:p w14:paraId="06A30286">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六</w:t>
      </w:r>
      <w:r>
        <w:rPr>
          <w:rFonts w:ascii="Arial" w:hAnsi="Arial" w:cs="Arial"/>
          <w:b/>
          <w:kern w:val="2"/>
          <w:sz w:val="21"/>
          <w:szCs w:val="21"/>
        </w:rPr>
        <w:t>）</w:t>
      </w:r>
      <w:r>
        <w:rPr>
          <w:rFonts w:hint="eastAsia" w:ascii="Arial" w:hAnsi="Arial" w:cs="Arial"/>
          <w:b/>
          <w:kern w:val="2"/>
          <w:sz w:val="21"/>
          <w:szCs w:val="21"/>
        </w:rPr>
        <w:t>估价报告使用限制</w:t>
      </w:r>
    </w:p>
    <w:p w14:paraId="36A48D8C">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1.使用范围：本估价报告只能由估价报告载明的报告使用者使用，且只能用于本报告载明的唯一估价目的和用途。</w:t>
      </w:r>
    </w:p>
    <w:p w14:paraId="61D6F68B">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2.估价委托人或者本估价报告使用人应按照法律规定和估价报告载明的使用范围使用本估价报告。估价委托人或者估价报告使用人违反前述规定使用本估价报告的，估价机构和评估专业人员不承担责任。</w:t>
      </w:r>
    </w:p>
    <w:p w14:paraId="0EBD25AA">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3.除估价委托人、估价委托合同中约定的其他估价报告使用人和法律、行政法规规定的估价报告使用人之外，其他任何机构和个人不能成为估价报告的使用人。</w:t>
      </w:r>
    </w:p>
    <w:p w14:paraId="095AA535">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4.估价报告使用人应当正确理解估价结论。估价结论不等同于估价对象可实现价格，估价结论不应当被认为是对估价对象可实现价格的保证。</w:t>
      </w:r>
    </w:p>
    <w:p w14:paraId="75808970">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hint="eastAsia" w:ascii="Arial" w:hAnsi="Arial" w:cs="Arial"/>
          <w:sz w:val="21"/>
          <w:szCs w:val="21"/>
        </w:rPr>
        <w:t>为有关单位合理确定保障性租赁住房项目租金提供参考依据</w:t>
      </w:r>
      <w:r>
        <w:rPr>
          <w:rFonts w:ascii="Arial" w:hAnsi="Arial" w:cs="Arial"/>
          <w:kern w:val="2"/>
          <w:sz w:val="21"/>
          <w:szCs w:val="21"/>
        </w:rPr>
        <w:t>，不做其他评估目的之用。如果估价对象的评估条件或目的发生变化，需重新进行评估。</w:t>
      </w:r>
    </w:p>
    <w:p w14:paraId="5F258DD0">
      <w:pPr>
        <w:spacing w:line="480" w:lineRule="auto"/>
        <w:ind w:firstLine="420" w:firstLineChars="200"/>
        <w:jc w:val="both"/>
        <w:rPr>
          <w:rFonts w:ascii="Arial" w:hAnsi="Arial" w:cs="Arial"/>
          <w:kern w:val="2"/>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kern w:val="2"/>
          <w:sz w:val="21"/>
          <w:szCs w:val="21"/>
        </w:rPr>
        <w:t>估价委托人应对其提供的评估相关资料的真实性、完整性和合法性负责</w:t>
      </w:r>
      <w:r>
        <w:rPr>
          <w:rFonts w:ascii="Arial" w:hAnsi="Arial" w:cs="Arial"/>
          <w:kern w:val="2"/>
          <w:sz w:val="21"/>
          <w:szCs w:val="21"/>
        </w:rPr>
        <w:t>。如因资料失实或资料提供人有所隐匿而导致估价结果失真，估价机构不承担相应的责任。</w:t>
      </w:r>
    </w:p>
    <w:p w14:paraId="3EBE55C8">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7.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26ED9EBE">
      <w:pPr>
        <w:spacing w:line="480" w:lineRule="auto"/>
        <w:ind w:firstLine="420" w:firstLineChars="200"/>
        <w:jc w:val="both"/>
        <w:rPr>
          <w:rFonts w:ascii="Arial" w:hAnsi="Arial" w:cs="Arial"/>
          <w:sz w:val="21"/>
          <w:szCs w:val="21"/>
        </w:rPr>
      </w:pPr>
      <w:r>
        <w:rPr>
          <w:rFonts w:hint="eastAsia" w:ascii="Arial" w:hAnsi="Arial" w:cs="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4EFA4A3">
      <w:pPr>
        <w:spacing w:line="480" w:lineRule="auto"/>
        <w:ind w:firstLine="420" w:firstLineChars="200"/>
        <w:jc w:val="both"/>
        <w:rPr>
          <w:rFonts w:ascii="Arial" w:hAnsi="Arial" w:cs="Arial"/>
          <w:sz w:val="21"/>
          <w:szCs w:val="21"/>
        </w:rPr>
      </w:pPr>
      <w:r>
        <w:rPr>
          <w:rFonts w:hint="eastAsia" w:ascii="Arial" w:hAnsi="Arial" w:cs="Arial"/>
          <w:sz w:val="21"/>
          <w:szCs w:val="21"/>
        </w:rPr>
        <w:t>9</w:t>
      </w:r>
      <w:r>
        <w:rPr>
          <w:rFonts w:ascii="Arial" w:hAnsi="Arial" w:cs="Arial"/>
          <w:sz w:val="21"/>
          <w:szCs w:val="21"/>
        </w:rPr>
        <w:t>.本估价报告在估价机构盖章和注册房地产估价师签字</w:t>
      </w:r>
      <w:r>
        <w:rPr>
          <w:rFonts w:hint="eastAsia" w:ascii="Arial" w:hAnsi="Arial" w:cs="Arial"/>
          <w:sz w:val="21"/>
          <w:szCs w:val="21"/>
        </w:rPr>
        <w:t>或盖章</w:t>
      </w:r>
      <w:r>
        <w:rPr>
          <w:rFonts w:ascii="Arial" w:hAnsi="Arial" w:cs="Arial"/>
          <w:sz w:val="21"/>
          <w:szCs w:val="21"/>
        </w:rPr>
        <w:t>的条件下有效。</w:t>
      </w:r>
    </w:p>
    <w:p w14:paraId="788BAADF">
      <w:pPr>
        <w:spacing w:line="480" w:lineRule="auto"/>
        <w:ind w:firstLine="420" w:firstLineChars="200"/>
        <w:jc w:val="both"/>
        <w:rPr>
          <w:rFonts w:ascii="Arial" w:hAnsi="Arial" w:cs="Arial"/>
          <w:sz w:val="21"/>
          <w:szCs w:val="21"/>
        </w:rPr>
      </w:pPr>
      <w:r>
        <w:rPr>
          <w:rFonts w:hint="eastAsia" w:ascii="Arial" w:hAnsi="Arial" w:cs="Arial"/>
          <w:kern w:val="2"/>
          <w:sz w:val="21"/>
          <w:szCs w:val="21"/>
        </w:rPr>
        <w:t>10</w:t>
      </w:r>
      <w:r>
        <w:rPr>
          <w:rFonts w:ascii="Arial" w:hAnsi="Arial" w:cs="Arial"/>
          <w:kern w:val="2"/>
          <w:sz w:val="21"/>
          <w:szCs w:val="21"/>
        </w:rPr>
        <w:t>.</w:t>
      </w:r>
      <w:r>
        <w:rPr>
          <w:rFonts w:ascii="Arial" w:hAnsi="Arial" w:cs="Arial"/>
          <w:sz w:val="21"/>
          <w:szCs w:val="21"/>
        </w:rPr>
        <w:t>价值时点后，估价报告有效期内估价对象的质量及价格标准发生变化，并对估价对象租赁价值产生明显影响时，不能直接使用本次估价结论</w:t>
      </w:r>
      <w:r>
        <w:rPr>
          <w:rFonts w:hint="eastAsia" w:ascii="Arial" w:hAnsi="Arial" w:cs="Arial"/>
          <w:sz w:val="21"/>
          <w:szCs w:val="21"/>
        </w:rPr>
        <w:t>。</w:t>
      </w:r>
    </w:p>
    <w:p w14:paraId="21272CEB">
      <w:pPr>
        <w:spacing w:line="480" w:lineRule="auto"/>
        <w:ind w:firstLine="420" w:firstLineChars="200"/>
        <w:jc w:val="both"/>
        <w:rPr>
          <w:rFonts w:ascii="Arial" w:hAnsi="Arial" w:cs="Arial"/>
          <w:sz w:val="21"/>
          <w:szCs w:val="21"/>
        </w:rPr>
      </w:pPr>
      <w:r>
        <w:rPr>
          <w:rFonts w:hint="eastAsia" w:ascii="Arial" w:hAnsi="Arial" w:cs="Arial"/>
          <w:sz w:val="21"/>
          <w:szCs w:val="21"/>
        </w:rPr>
        <w:t>11.</w:t>
      </w:r>
      <w:r>
        <w:rPr>
          <w:rFonts w:ascii="Arial" w:hAnsi="Arial" w:cs="Arial"/>
          <w:sz w:val="21"/>
          <w:szCs w:val="21"/>
        </w:rPr>
        <w:t>本次估价未考虑特殊交易方式对估价结果的影响。</w:t>
      </w:r>
    </w:p>
    <w:p w14:paraId="76F2E93E">
      <w:pPr>
        <w:spacing w:line="480" w:lineRule="auto"/>
        <w:ind w:firstLine="420" w:firstLineChars="200"/>
        <w:jc w:val="both"/>
        <w:rPr>
          <w:rFonts w:ascii="Arial" w:hAnsi="Arial" w:cs="Arial"/>
          <w:sz w:val="21"/>
          <w:szCs w:val="21"/>
        </w:rPr>
      </w:pPr>
      <w:r>
        <w:rPr>
          <w:rFonts w:hint="eastAsia" w:ascii="Arial" w:hAnsi="Arial" w:cs="Arial"/>
          <w:sz w:val="21"/>
          <w:szCs w:val="21"/>
        </w:rPr>
        <w:t>12.根据评估专业人员调查，于价值时点，估价对象存在抵押情况，根据本次估价目的，不考虑抵押权对估价结果的影响。</w:t>
      </w:r>
    </w:p>
    <w:p w14:paraId="5FEAE05D">
      <w:pPr>
        <w:spacing w:line="480" w:lineRule="auto"/>
        <w:ind w:firstLine="420" w:firstLineChars="200"/>
        <w:jc w:val="both"/>
        <w:rPr>
          <w:rFonts w:ascii="Arial" w:hAnsi="Arial" w:cs="Arial"/>
          <w:sz w:val="21"/>
          <w:szCs w:val="21"/>
        </w:rPr>
      </w:pPr>
      <w:r>
        <w:rPr>
          <w:rFonts w:hint="eastAsia" w:ascii="Arial" w:hAnsi="Arial" w:cs="Arial"/>
          <w:kern w:val="2"/>
          <w:sz w:val="21"/>
          <w:szCs w:val="21"/>
        </w:rPr>
        <w:t>13</w:t>
      </w:r>
      <w:r>
        <w:rPr>
          <w:rFonts w:ascii="Arial" w:hAnsi="Arial" w:cs="Arial"/>
          <w:kern w:val="2"/>
          <w:sz w:val="21"/>
          <w:szCs w:val="21"/>
        </w:rPr>
        <w:t>.本估价报告</w:t>
      </w:r>
      <w:r>
        <w:rPr>
          <w:rFonts w:hint="eastAsia" w:ascii="Arial" w:hAnsi="Arial" w:cs="Arial"/>
          <w:kern w:val="2"/>
          <w:sz w:val="21"/>
          <w:szCs w:val="21"/>
        </w:rPr>
        <w:t>自报告出具日起计算，自</w:t>
      </w:r>
      <w:r>
        <w:rPr>
          <w:rFonts w:ascii="Arial" w:hAnsi="Arial" w:cs="Arial"/>
          <w:kern w:val="2"/>
          <w:sz w:val="21"/>
          <w:szCs w:val="21"/>
        </w:rPr>
        <w:t>202</w:t>
      </w:r>
      <w:r>
        <w:rPr>
          <w:rFonts w:hint="eastAsia" w:ascii="Arial" w:hAnsi="Arial" w:cs="Arial"/>
          <w:kern w:val="2"/>
          <w:sz w:val="21"/>
          <w:szCs w:val="21"/>
        </w:rPr>
        <w:t>6</w:t>
      </w:r>
      <w:r>
        <w:rPr>
          <w:rFonts w:ascii="Arial" w:hAnsi="Arial" w:cs="Arial"/>
          <w:kern w:val="2"/>
          <w:sz w:val="21"/>
          <w:szCs w:val="21"/>
        </w:rPr>
        <w:t>年</w:t>
      </w:r>
      <w:r>
        <w:rPr>
          <w:rFonts w:hint="eastAsia" w:ascii="Arial" w:hAnsi="Arial" w:cs="Arial"/>
          <w:kern w:val="2"/>
          <w:sz w:val="21"/>
          <w:szCs w:val="21"/>
        </w:rPr>
        <w:t>4</w:t>
      </w:r>
      <w:r>
        <w:rPr>
          <w:rFonts w:ascii="Arial" w:hAnsi="Arial" w:cs="Arial"/>
          <w:kern w:val="2"/>
          <w:sz w:val="21"/>
          <w:szCs w:val="21"/>
        </w:rPr>
        <w:t>月</w:t>
      </w:r>
      <w:r>
        <w:rPr>
          <w:rFonts w:hint="eastAsia" w:ascii="Arial" w:hAnsi="Arial" w:cs="Arial"/>
          <w:kern w:val="2"/>
          <w:sz w:val="21"/>
          <w:szCs w:val="21"/>
        </w:rPr>
        <w:t>16</w:t>
      </w:r>
      <w:r>
        <w:rPr>
          <w:rFonts w:ascii="Arial" w:hAnsi="Arial" w:cs="Arial"/>
          <w:kern w:val="2"/>
          <w:sz w:val="21"/>
          <w:szCs w:val="21"/>
        </w:rPr>
        <w:t>日</w:t>
      </w:r>
      <w:r>
        <w:rPr>
          <w:rFonts w:hint="eastAsia" w:ascii="Arial" w:hAnsi="Arial" w:cs="Arial"/>
          <w:kern w:val="2"/>
          <w:sz w:val="21"/>
          <w:szCs w:val="21"/>
        </w:rPr>
        <w:t>至</w:t>
      </w:r>
      <w:r>
        <w:rPr>
          <w:rFonts w:ascii="Arial" w:hAnsi="Arial" w:cs="Arial"/>
          <w:kern w:val="2"/>
          <w:sz w:val="21"/>
          <w:szCs w:val="21"/>
        </w:rPr>
        <w:t>202</w:t>
      </w:r>
      <w:r>
        <w:rPr>
          <w:rFonts w:hint="eastAsia" w:ascii="Arial" w:hAnsi="Arial" w:cs="Arial"/>
          <w:kern w:val="2"/>
          <w:sz w:val="21"/>
          <w:szCs w:val="21"/>
        </w:rPr>
        <w:t>7年4月15日有效</w:t>
      </w:r>
      <w:r>
        <w:rPr>
          <w:rFonts w:ascii="Arial" w:hAnsi="Arial" w:cs="Arial"/>
          <w:kern w:val="2"/>
          <w:sz w:val="21"/>
          <w:szCs w:val="21"/>
        </w:rPr>
        <w:t>。</w:t>
      </w:r>
    </w:p>
    <w:bookmarkEnd w:id="7"/>
    <w:p w14:paraId="50AE3EE7">
      <w:pPr>
        <w:spacing w:line="480" w:lineRule="auto"/>
        <w:jc w:val="both"/>
        <w:rPr>
          <w:rFonts w:ascii="Arial" w:hAnsi="Arial" w:cs="Arial"/>
          <w:kern w:val="2"/>
          <w:sz w:val="21"/>
          <w:szCs w:val="21"/>
        </w:rPr>
        <w:sectPr>
          <w:pgSz w:w="11907" w:h="16840"/>
          <w:pgMar w:top="1843" w:right="1134" w:bottom="1134" w:left="1134" w:header="1134" w:footer="907" w:gutter="340"/>
          <w:cols w:space="720" w:num="1"/>
          <w:docGrid w:linePitch="326" w:charSpace="0"/>
        </w:sectPr>
      </w:pPr>
    </w:p>
    <w:p w14:paraId="47B00C11">
      <w:pPr>
        <w:pStyle w:val="2"/>
        <w:spacing w:line="360" w:lineRule="auto"/>
        <w:jc w:val="center"/>
        <w:rPr>
          <w:rFonts w:eastAsia="方正黑体简体"/>
          <w:b w:val="0"/>
          <w:kern w:val="2"/>
          <w:sz w:val="32"/>
          <w:szCs w:val="32"/>
        </w:rPr>
      </w:pPr>
      <w:bookmarkStart w:id="15" w:name="_Toc155267085"/>
      <w:bookmarkStart w:id="16" w:name="_Toc168225812"/>
      <w:r>
        <w:rPr>
          <w:rFonts w:hint="eastAsia" w:eastAsia="方正黑体简体"/>
          <w:b w:val="0"/>
          <w:kern w:val="2"/>
          <w:sz w:val="32"/>
          <w:szCs w:val="32"/>
        </w:rPr>
        <w:t>估价结果报告</w:t>
      </w:r>
      <w:bookmarkEnd w:id="15"/>
      <w:bookmarkEnd w:id="16"/>
    </w:p>
    <w:p w14:paraId="47CBD472">
      <w:pPr>
        <w:pStyle w:val="3"/>
        <w:numPr>
          <w:ilvl w:val="0"/>
          <w:numId w:val="0"/>
        </w:numPr>
        <w:wordWrap w:val="0"/>
        <w:overflowPunct w:val="0"/>
        <w:spacing w:line="480" w:lineRule="auto"/>
        <w:ind w:left="358" w:hanging="358" w:hangingChars="170"/>
        <w:jc w:val="both"/>
        <w:textAlignment w:val="auto"/>
        <w:rPr>
          <w:rFonts w:eastAsia="宋体"/>
          <w:b w:val="0"/>
          <w:kern w:val="2"/>
          <w:sz w:val="21"/>
          <w:szCs w:val="21"/>
        </w:rPr>
      </w:pPr>
      <w:bookmarkStart w:id="17" w:name="_Toc216083223"/>
      <w:bookmarkStart w:id="18" w:name="_Toc155267086"/>
      <w:r>
        <w:rPr>
          <w:rFonts w:eastAsia="宋体"/>
          <w:kern w:val="2"/>
          <w:sz w:val="21"/>
          <w:szCs w:val="21"/>
        </w:rPr>
        <w:t>一</w:t>
      </w:r>
      <w:bookmarkEnd w:id="17"/>
      <w:r>
        <w:rPr>
          <w:rFonts w:eastAsia="宋体"/>
          <w:kern w:val="2"/>
          <w:sz w:val="21"/>
          <w:szCs w:val="21"/>
        </w:rPr>
        <w:t>、估价委托人</w:t>
      </w:r>
      <w:bookmarkEnd w:id="18"/>
    </w:p>
    <w:p w14:paraId="71A2054F">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单位名称：</w:t>
      </w:r>
      <w:r>
        <w:rPr>
          <w:rFonts w:hint="eastAsia" w:ascii="Arial" w:hAnsi="Arial" w:cs="Arial"/>
          <w:sz w:val="21"/>
          <w:szCs w:val="21"/>
        </w:rPr>
        <w:t>北京市燕兴保障性住房建设投资有限公司</w:t>
      </w:r>
    </w:p>
    <w:p w14:paraId="6FB2971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注册资本：500000万元</w:t>
      </w:r>
    </w:p>
    <w:p w14:paraId="315C37A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类    型：其他有限责任公司</w:t>
      </w:r>
    </w:p>
    <w:p w14:paraId="39CF24AF">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成立日期：2023年07月20日</w:t>
      </w:r>
    </w:p>
    <w:p w14:paraId="5ABF1774">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法定代表人：孙兴凯</w:t>
      </w:r>
    </w:p>
    <w:p w14:paraId="6FF39AB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住    所：北京市大兴区欣雅街15号院1号楼6层 606</w:t>
      </w:r>
    </w:p>
    <w:p w14:paraId="6F83A663">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联 系 人：齐继</w:t>
      </w:r>
    </w:p>
    <w:p w14:paraId="2893157C">
      <w:pPr>
        <w:wordWrap w:val="0"/>
        <w:overflowPunct w:val="0"/>
        <w:spacing w:line="480" w:lineRule="auto"/>
        <w:ind w:firstLine="420" w:firstLineChars="200"/>
        <w:jc w:val="both"/>
        <w:textAlignment w:val="auto"/>
        <w:rPr>
          <w:rFonts w:ascii="Arial" w:hAnsi="Arial" w:cs="Arial"/>
          <w:sz w:val="21"/>
          <w:szCs w:val="21"/>
        </w:rPr>
      </w:pPr>
    </w:p>
    <w:p w14:paraId="2DABF0B8">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19" w:name="_Toc155267087"/>
      <w:bookmarkStart w:id="20" w:name="_Toc168225814"/>
      <w:r>
        <w:rPr>
          <w:rFonts w:eastAsia="宋体"/>
          <w:kern w:val="2"/>
          <w:sz w:val="21"/>
          <w:szCs w:val="21"/>
        </w:rPr>
        <w:t>二、房地产估价机构</w:t>
      </w:r>
      <w:bookmarkEnd w:id="19"/>
      <w:bookmarkEnd w:id="20"/>
    </w:p>
    <w:p w14:paraId="383E7EF0">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受托机构：北京康正宏基房地产评估有限公司</w:t>
      </w:r>
    </w:p>
    <w:p w14:paraId="50988A96">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资质级别：壹级</w:t>
      </w:r>
    </w:p>
    <w:p w14:paraId="07098EB0">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资格证书号：建房估备字[2013第]081号</w:t>
      </w:r>
    </w:p>
    <w:p w14:paraId="14B3A286">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有效期限：</w:t>
      </w:r>
      <w:r>
        <w:rPr>
          <w:rFonts w:ascii="Arial" w:hAnsi="Arial"/>
          <w:sz w:val="21"/>
          <w:szCs w:val="21"/>
        </w:rPr>
        <w:t>202</w:t>
      </w:r>
      <w:r>
        <w:rPr>
          <w:rFonts w:hint="eastAsia" w:ascii="Arial" w:hAnsi="Arial"/>
          <w:sz w:val="21"/>
          <w:szCs w:val="21"/>
        </w:rPr>
        <w:t>5年07月01日至</w:t>
      </w:r>
      <w:r>
        <w:rPr>
          <w:rFonts w:ascii="Arial" w:hAnsi="Arial"/>
          <w:sz w:val="21"/>
          <w:szCs w:val="21"/>
        </w:rPr>
        <w:t>202</w:t>
      </w:r>
      <w:r>
        <w:rPr>
          <w:rFonts w:hint="eastAsia" w:ascii="Arial" w:hAnsi="Arial"/>
          <w:sz w:val="21"/>
          <w:szCs w:val="21"/>
        </w:rPr>
        <w:t>8年06月30日</w:t>
      </w:r>
    </w:p>
    <w:p w14:paraId="4A6EA514">
      <w:pPr>
        <w:overflowPunct w:val="0"/>
        <w:spacing w:line="480" w:lineRule="auto"/>
        <w:ind w:firstLine="420" w:firstLineChars="200"/>
        <w:jc w:val="both"/>
        <w:textAlignment w:val="auto"/>
        <w:rPr>
          <w:rFonts w:ascii="Arial" w:hAnsi="Arial"/>
          <w:sz w:val="21"/>
          <w:szCs w:val="21"/>
        </w:rPr>
      </w:pPr>
      <w:r>
        <w:rPr>
          <w:rFonts w:hint="eastAsia" w:ascii="Arial" w:hAnsi="Arial"/>
          <w:sz w:val="21"/>
          <w:szCs w:val="21"/>
        </w:rPr>
        <w:t>注册地址：北京市丰台区芳城园一区16号楼2层2门配套公建01</w:t>
      </w:r>
    </w:p>
    <w:p w14:paraId="11BFC52A">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法定代表人：齐宏</w:t>
      </w:r>
    </w:p>
    <w:p w14:paraId="04FB8805">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w:t>
      </w:r>
      <w:r>
        <w:rPr>
          <w:rFonts w:hint="eastAsia" w:ascii="Arial" w:hAnsi="Arial" w:cs="Arial"/>
          <w:sz w:val="21"/>
          <w:szCs w:val="21"/>
        </w:rPr>
        <w:t xml:space="preserve"> </w:t>
      </w:r>
      <w:r>
        <w:rPr>
          <w:rFonts w:ascii="Arial" w:hAnsi="Arial" w:cs="Arial"/>
          <w:sz w:val="21"/>
          <w:szCs w:val="21"/>
        </w:rPr>
        <w:t>系</w:t>
      </w:r>
      <w:r>
        <w:rPr>
          <w:rFonts w:hint="eastAsia" w:ascii="Arial" w:hAnsi="Arial" w:cs="Arial"/>
          <w:sz w:val="21"/>
          <w:szCs w:val="21"/>
        </w:rPr>
        <w:t xml:space="preserve"> </w:t>
      </w:r>
      <w:r>
        <w:rPr>
          <w:rFonts w:ascii="Arial" w:hAnsi="Arial" w:cs="Arial"/>
          <w:sz w:val="21"/>
          <w:szCs w:val="21"/>
        </w:rPr>
        <w:t>人：</w:t>
      </w:r>
      <w:r>
        <w:rPr>
          <w:rFonts w:hint="eastAsia" w:ascii="Arial" w:hAnsi="Arial" w:cs="Arial"/>
          <w:sz w:val="21"/>
          <w:szCs w:val="21"/>
        </w:rPr>
        <w:t>李诗霖</w:t>
      </w:r>
    </w:p>
    <w:p w14:paraId="409DDE4A">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联系电话：010-82253558</w:t>
      </w:r>
    </w:p>
    <w:p w14:paraId="036598C0">
      <w:pPr>
        <w:wordWrap w:val="0"/>
        <w:overflowPunct w:val="0"/>
        <w:spacing w:line="480" w:lineRule="auto"/>
        <w:ind w:firstLine="420" w:firstLineChars="200"/>
        <w:jc w:val="both"/>
        <w:textAlignment w:val="auto"/>
        <w:rPr>
          <w:rFonts w:ascii="Arial" w:hAnsi="Arial" w:cs="Arial"/>
          <w:kern w:val="2"/>
          <w:sz w:val="21"/>
          <w:szCs w:val="21"/>
        </w:rPr>
      </w:pPr>
    </w:p>
    <w:p w14:paraId="6BA1A562">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1" w:name="_Toc155267088"/>
      <w:bookmarkStart w:id="22" w:name="_Toc168225815"/>
      <w:r>
        <w:rPr>
          <w:rFonts w:eastAsia="宋体"/>
          <w:kern w:val="2"/>
          <w:sz w:val="21"/>
          <w:szCs w:val="21"/>
        </w:rPr>
        <w:t>三、估价目的</w:t>
      </w:r>
      <w:bookmarkEnd w:id="21"/>
      <w:bookmarkEnd w:id="22"/>
    </w:p>
    <w:p w14:paraId="3352A42D">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评估保障性租赁住房项目同地段同品质市场租赁住房租金，为有关单位合理确定保障性租赁住房项目租金提供参考依据</w:t>
      </w:r>
      <w:r>
        <w:rPr>
          <w:rFonts w:hint="eastAsia" w:ascii="Arial" w:hAnsi="Arial" w:cs="Arial"/>
          <w:kern w:val="2"/>
          <w:sz w:val="21"/>
          <w:szCs w:val="21"/>
        </w:rPr>
        <w:t>。</w:t>
      </w:r>
      <w:r>
        <w:rPr>
          <w:rFonts w:ascii="Arial" w:hAnsi="Arial" w:cs="Arial"/>
          <w:kern w:val="2"/>
          <w:sz w:val="21"/>
          <w:szCs w:val="21"/>
        </w:rPr>
        <w:t xml:space="preserve"> </w:t>
      </w:r>
    </w:p>
    <w:p w14:paraId="04712AB1">
      <w:pPr>
        <w:wordWrap w:val="0"/>
        <w:overflowPunct w:val="0"/>
        <w:spacing w:line="480" w:lineRule="auto"/>
        <w:ind w:firstLine="420" w:firstLineChars="200"/>
        <w:jc w:val="both"/>
        <w:textAlignment w:val="auto"/>
        <w:rPr>
          <w:rFonts w:ascii="Arial" w:hAnsi="Arial" w:cs="Arial"/>
          <w:sz w:val="21"/>
          <w:szCs w:val="21"/>
        </w:rPr>
      </w:pPr>
    </w:p>
    <w:p w14:paraId="047F81B3">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3" w:name="_Toc155267089"/>
      <w:bookmarkStart w:id="24" w:name="_Toc168225816"/>
      <w:r>
        <w:rPr>
          <w:rFonts w:eastAsia="宋体"/>
          <w:kern w:val="2"/>
          <w:sz w:val="21"/>
          <w:szCs w:val="21"/>
        </w:rPr>
        <w:t>四、估价对象</w:t>
      </w:r>
      <w:bookmarkEnd w:id="23"/>
      <w:bookmarkEnd w:id="24"/>
    </w:p>
    <w:p w14:paraId="2A9F68C0">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4082547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根据《不动产权证书》[京（2026）大不动产权第0006767、0006768、0006769、0003772、0006911、0006930号]部分及《估价委托书》，估价对象为北京市</w:t>
      </w:r>
      <w:r>
        <w:rPr>
          <w:rFonts w:hint="eastAsia" w:ascii="Arial" w:hAnsi="Arial" w:cs="Arial"/>
          <w:kern w:val="2"/>
          <w:sz w:val="21"/>
          <w:szCs w:val="21"/>
        </w:rPr>
        <w:t>大兴区义和庄南街25、27号院</w:t>
      </w:r>
      <w:r>
        <w:rPr>
          <w:rFonts w:hint="eastAsia" w:ascii="Arial" w:hAnsi="Arial" w:cs="Arial"/>
          <w:sz w:val="21"/>
          <w:szCs w:val="21"/>
        </w:rPr>
        <w:t>（埝坛华庭）共计275套保障性租赁住房（住宅型），总建筑</w:t>
      </w:r>
      <w:r>
        <w:rPr>
          <w:rFonts w:hint="eastAsia" w:ascii="Arial" w:hAnsi="Arial" w:cs="Arial"/>
          <w:kern w:val="2"/>
          <w:sz w:val="21"/>
          <w:szCs w:val="21"/>
        </w:rPr>
        <w:t>面积25172.36平方米，其中，北京市大兴区义和庄南街25号院1号楼9层一单元903等85套，建筑面积7362平方米；大兴区义和庄南街25号院2号楼1层一单元103等64套，建筑面积5511.53平方米；大兴区义和庄南街25号院3号楼3层一单元301等41套，建筑面积4287.82平方米；大兴区义锦南街27号院1号楼1层一单元103等24套，建筑面积2069.45平方米；大兴区义锦南街27号院2号楼2层一单元203等20套，建筑面积1712.2平方米；大兴区义锦南街27号院3号楼4层一单元401等22套，建筑面积2235.22平方米；大兴区义锦南街27号院4号楼4层一单元401等19套，建筑面积1994.14平方米。</w:t>
      </w:r>
      <w:r>
        <w:rPr>
          <w:rFonts w:ascii="Arial" w:hAnsi="Arial" w:cs="Arial"/>
          <w:kern w:val="2"/>
          <w:sz w:val="21"/>
          <w:szCs w:val="21"/>
        </w:rPr>
        <w:t>截至</w:t>
      </w:r>
      <w:r>
        <w:rPr>
          <w:rFonts w:hint="eastAsia" w:ascii="Arial" w:hAnsi="Arial" w:cs="Arial"/>
          <w:kern w:val="2"/>
          <w:sz w:val="21"/>
          <w:szCs w:val="21"/>
        </w:rPr>
        <w:t>报告出具日，上述房屋已办理不动产权变更登记，取得</w:t>
      </w:r>
      <w:r>
        <w:rPr>
          <w:rFonts w:hint="eastAsia" w:ascii="Arial" w:hAnsi="Arial" w:cs="Arial"/>
          <w:sz w:val="21"/>
          <w:szCs w:val="21"/>
        </w:rPr>
        <w:t>《不动产权证书》[京（2026）大不动产权第0006767、0006768、0006769、0003772、0006911、0006930号]部分</w:t>
      </w:r>
      <w:r>
        <w:rPr>
          <w:rFonts w:hint="eastAsia" w:ascii="Arial" w:hAnsi="Arial" w:cs="Arial"/>
          <w:kern w:val="2"/>
          <w:sz w:val="21"/>
          <w:szCs w:val="21"/>
        </w:rPr>
        <w:t>。经与估价委托人确认，北京市燕兴保障性住房建设投资有限公司对上述租赁房屋享有合法、完整的占有、使用、收益及出租的权利，房屋来源合法，不存在任何抵押、租赁、查封等权利受限情形。</w:t>
      </w:r>
      <w:r>
        <w:rPr>
          <w:rFonts w:hint="eastAsia" w:ascii="Arial" w:hAnsi="Arial" w:cs="Arial"/>
          <w:sz w:val="21"/>
          <w:szCs w:val="21"/>
        </w:rPr>
        <w:t>估价对象具体情况如下：</w:t>
      </w:r>
    </w:p>
    <w:p w14:paraId="62EFDE81">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290"/>
        <w:gridCol w:w="1040"/>
        <w:gridCol w:w="1700"/>
        <w:gridCol w:w="1242"/>
        <w:gridCol w:w="1010"/>
        <w:gridCol w:w="2222"/>
      </w:tblGrid>
      <w:tr w14:paraId="0F712BC3">
        <w:tblPrEx>
          <w:shd w:val="clear" w:color="auto" w:fill="FFFFFF" w:themeFill="background1"/>
          <w:tblCellMar>
            <w:top w:w="0" w:type="dxa"/>
            <w:left w:w="108" w:type="dxa"/>
            <w:bottom w:w="0" w:type="dxa"/>
            <w:right w:w="108" w:type="dxa"/>
          </w:tblCellMar>
        </w:tblPrEx>
        <w:trPr>
          <w:trHeight w:val="570" w:hRule="atLeast"/>
          <w:tblHeader/>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37E351">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61855D9">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A21AE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EE1AA7">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816E9A">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16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7D068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3018CCF4">
        <w:tblPrEx>
          <w:shd w:val="clear" w:color="auto" w:fill="FFFFFF" w:themeFill="background1"/>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897D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义和庄南街25号院1、2、3号楼（埝坛华庭西区）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D57E7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62D03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DA8E0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88217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78105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188.19</w:t>
            </w:r>
          </w:p>
        </w:tc>
      </w:tr>
      <w:tr w14:paraId="2C4EDBDC">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7B6835">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59A29B">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BFD69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99621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54B50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B232A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376.38</w:t>
            </w:r>
          </w:p>
        </w:tc>
      </w:tr>
      <w:tr w14:paraId="304CAFA6">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8554590">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2A5A907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64CEF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64BA3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498E3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E124C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564.57</w:t>
            </w:r>
          </w:p>
        </w:tc>
      </w:tr>
      <w:tr w14:paraId="010DEA1F">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FB467B">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CB81A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389FA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51C34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BD4D1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42499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5428.84</w:t>
            </w:r>
          </w:p>
        </w:tc>
      </w:tr>
      <w:tr w14:paraId="24CCAE55">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DB4696">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2F9920">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121B2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84.11-88.92</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A99EE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419DF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558B4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7444.69</w:t>
            </w:r>
          </w:p>
        </w:tc>
      </w:tr>
      <w:tr w14:paraId="7CBA040C">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48CBAB">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12BA425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E8F56E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04985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149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55B1C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90F2A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12873.53</w:t>
            </w:r>
          </w:p>
        </w:tc>
      </w:tr>
      <w:tr w14:paraId="3D7F32D4">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3A4B94">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72331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201B9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CFE00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D13FE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8D944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1047.83</w:t>
            </w:r>
          </w:p>
        </w:tc>
      </w:tr>
      <w:tr w14:paraId="74A7ED29">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CDB539">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AE2D1E">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05907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842AC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8FBD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91424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2675.42</w:t>
            </w:r>
          </w:p>
        </w:tc>
      </w:tr>
      <w:tr w14:paraId="635137B0">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424284">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FEAF4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96EAC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BA49D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F534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1AE85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3723.25</w:t>
            </w:r>
          </w:p>
        </w:tc>
      </w:tr>
      <w:tr w14:paraId="6727E435">
        <w:tblPrEx>
          <w:shd w:val="clear" w:color="auto" w:fill="FFFFFF" w:themeFill="background1"/>
          <w:tblCellMar>
            <w:top w:w="0" w:type="dxa"/>
            <w:left w:w="108" w:type="dxa"/>
            <w:bottom w:w="0" w:type="dxa"/>
            <w:right w:w="108" w:type="dxa"/>
          </w:tblCellMar>
        </w:tblPrEx>
        <w:trPr>
          <w:trHeight w:val="264" w:hRule="atLeast"/>
        </w:trPr>
        <w:tc>
          <w:tcPr>
            <w:tcW w:w="1204" w:type="pct"/>
            <w:tcBorders>
              <w:top w:val="nil"/>
              <w:left w:val="single" w:color="000000" w:sz="4" w:space="0"/>
              <w:bottom w:val="nil"/>
              <w:right w:val="single" w:color="000000" w:sz="4" w:space="0"/>
            </w:tcBorders>
            <w:shd w:val="clear" w:color="auto" w:fill="FFFFFF" w:themeFill="background1"/>
            <w:vAlign w:val="center"/>
          </w:tcPr>
          <w:p w14:paraId="3DD2371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98A3F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D6BAB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C671C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190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078A9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5D0F7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17161.35</w:t>
            </w:r>
          </w:p>
        </w:tc>
      </w:tr>
      <w:tr w14:paraId="056F94D4">
        <w:tblPrEx>
          <w:shd w:val="clear" w:color="auto" w:fill="FFFFFF" w:themeFill="background1"/>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6AAF2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义锦南街27号院1、2、3、4号楼（埝坛华庭东区）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CD51B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C4B35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202DF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901E5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E9DA7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187.92</w:t>
            </w:r>
          </w:p>
        </w:tc>
      </w:tr>
      <w:tr w14:paraId="4C8C2CB7">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AD2B1C">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5B9D73">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B41B2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832B0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1635F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20DB5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438.48</w:t>
            </w:r>
          </w:p>
        </w:tc>
      </w:tr>
      <w:tr w14:paraId="7D31677B">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9C4F95">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5FA5DE9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585FE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640B1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0A5A0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2CB53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r>
      <w:tr w14:paraId="281C704E">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5BCBCC">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A6438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79539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8938A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5016E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B252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1306.91</w:t>
            </w:r>
          </w:p>
        </w:tc>
      </w:tr>
      <w:tr w14:paraId="2817A4F8">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60D29D7">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0AFE37">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C7470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9FD3A4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B181F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D4E30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2474.74</w:t>
            </w:r>
          </w:p>
        </w:tc>
      </w:tr>
      <w:tr w14:paraId="4392B225">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2094DD">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32FBA2C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A1550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4712F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44</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AF03C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3049F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3781.65</w:t>
            </w:r>
          </w:p>
        </w:tc>
      </w:tr>
      <w:tr w14:paraId="260864F6">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C9035D">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93036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F5EFD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FFD7A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0066B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70BCD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697.62</w:t>
            </w:r>
          </w:p>
        </w:tc>
      </w:tr>
      <w:tr w14:paraId="01A9ED4C">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15EC56">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187736">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A20F8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3AC81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1B42F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40BE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2905.34</w:t>
            </w:r>
          </w:p>
        </w:tc>
      </w:tr>
      <w:tr w14:paraId="13B9354D">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01358E">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707B3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33FD1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805A5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31</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A162A9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6D008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3602.96</w:t>
            </w:r>
          </w:p>
        </w:tc>
      </w:tr>
      <w:tr w14:paraId="1402BFB6">
        <w:tblPrEx>
          <w:shd w:val="clear" w:color="auto" w:fill="FFFFFF" w:themeFill="background1"/>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3E75C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38627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25C0D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64345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3838C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9E7285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8011.01</w:t>
            </w:r>
          </w:p>
        </w:tc>
      </w:tr>
      <w:tr w14:paraId="7F07F800">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816E8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7905FC">
            <w:pPr>
              <w:widowControl/>
              <w:adjustRightInd/>
              <w:spacing w:line="240" w:lineRule="auto"/>
              <w:jc w:val="center"/>
              <w:textAlignment w:val="auto"/>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E75416">
            <w:pPr>
              <w:widowControl/>
              <w:adjustRightInd/>
              <w:spacing w:line="240" w:lineRule="auto"/>
              <w:jc w:val="center"/>
              <w:textAlignment w:val="auto"/>
              <w:rPr>
                <w:rFonts w:ascii="华文细黑" w:hAnsi="华文细黑" w:eastAsia="华文细黑" w:cs="Arial"/>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91AB0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275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D5B1FFC">
            <w:pPr>
              <w:widowControl/>
              <w:adjustRightInd/>
              <w:spacing w:line="240" w:lineRule="auto"/>
              <w:jc w:val="center"/>
              <w:textAlignment w:val="auto"/>
              <w:rPr>
                <w:rFonts w:ascii="华文细黑" w:hAnsi="华文细黑" w:eastAsia="华文细黑" w:cs="Arial"/>
                <w:sz w:val="18"/>
                <w:szCs w:val="18"/>
              </w:rPr>
            </w:pP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E6C45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25172.36</w:t>
            </w:r>
          </w:p>
        </w:tc>
      </w:tr>
    </w:tbl>
    <w:p w14:paraId="6FC21E7E">
      <w:pPr>
        <w:overflowPunct w:val="0"/>
        <w:spacing w:before="120" w:beforeLines="50"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于价值时点，估价对象所属由于已全部竣工，</w:t>
      </w:r>
      <w:r>
        <w:rPr>
          <w:rFonts w:hint="eastAsia" w:ascii="Arial" w:hAnsi="Arial" w:cs="Arial"/>
          <w:sz w:val="21"/>
          <w:szCs w:val="21"/>
        </w:rPr>
        <w:t>根据《北京市保障性住房收购合同》及其附件、《估价委托书》及评估专业人员实地查勘</w:t>
      </w:r>
      <w:r>
        <w:rPr>
          <w:rFonts w:hint="eastAsia" w:ascii="Arial" w:hAnsi="Arial" w:cs="Arial"/>
          <w:kern w:val="2"/>
          <w:sz w:val="21"/>
          <w:szCs w:val="21"/>
        </w:rPr>
        <w:t>，</w:t>
      </w:r>
      <w:r>
        <w:rPr>
          <w:rFonts w:hint="eastAsia" w:ascii="Arial" w:hAnsi="Arial" w:cs="Arial"/>
          <w:sz w:val="21"/>
          <w:szCs w:val="21"/>
        </w:rPr>
        <w:t>估价对象</w:t>
      </w:r>
      <w:r>
        <w:rPr>
          <w:rFonts w:hint="eastAsia" w:ascii="Arial" w:hAnsi="Arial" w:cs="Arial"/>
          <w:kern w:val="2"/>
          <w:sz w:val="21"/>
          <w:szCs w:val="21"/>
        </w:rPr>
        <w:t>全部房源均转化为保障性租赁住房（住宅型），</w:t>
      </w:r>
      <w:commentRangeStart w:id="1"/>
      <w:r>
        <w:rPr>
          <w:rFonts w:hint="eastAsia" w:ascii="Arial" w:hAnsi="Arial" w:cs="Arial"/>
          <w:kern w:val="2"/>
          <w:sz w:val="21"/>
          <w:szCs w:val="21"/>
        </w:rPr>
        <w:t>按照</w:t>
      </w:r>
      <w:r>
        <w:rPr>
          <w:rFonts w:hint="eastAsia" w:ascii="Arial" w:hAnsi="Arial" w:cs="Arial"/>
          <w:kern w:val="2"/>
          <w:sz w:val="21"/>
          <w:szCs w:val="21"/>
          <w:lang w:eastAsia="zh-CN"/>
        </w:rPr>
        <w:t>中档装修</w:t>
      </w:r>
      <w:r>
        <w:rPr>
          <w:rFonts w:hint="eastAsia" w:ascii="Arial" w:hAnsi="Arial" w:cs="Arial"/>
          <w:kern w:val="2"/>
          <w:sz w:val="21"/>
          <w:szCs w:val="21"/>
        </w:rPr>
        <w:t>标准配租</w:t>
      </w:r>
      <w:commentRangeEnd w:id="1"/>
      <w:r>
        <w:rPr>
          <w:rStyle w:val="40"/>
        </w:rPr>
        <w:commentReference w:id="1"/>
      </w:r>
      <w:r>
        <w:rPr>
          <w:rFonts w:hint="eastAsia" w:ascii="Arial" w:hAnsi="Arial" w:cs="Arial"/>
          <w:kern w:val="2"/>
          <w:sz w:val="21"/>
          <w:szCs w:val="21"/>
        </w:rPr>
        <w:t>，故本次评估室内装修情况均设定为</w:t>
      </w:r>
      <w:r>
        <w:rPr>
          <w:rFonts w:hint="eastAsia" w:ascii="Arial" w:hAnsi="Arial" w:cs="Arial"/>
          <w:kern w:val="2"/>
          <w:sz w:val="21"/>
          <w:szCs w:val="21"/>
          <w:lang w:eastAsia="zh-CN"/>
        </w:rPr>
        <w:t>中档装修</w:t>
      </w:r>
      <w:commentRangeStart w:id="2"/>
      <w:r>
        <w:rPr>
          <w:rFonts w:hint="eastAsia" w:ascii="Arial" w:hAnsi="Arial" w:cs="Arial"/>
          <w:kern w:val="2"/>
          <w:sz w:val="21"/>
          <w:szCs w:val="21"/>
        </w:rPr>
        <w:t>。</w:t>
      </w:r>
      <w:commentRangeEnd w:id="2"/>
      <w:r>
        <w:rPr>
          <w:rStyle w:val="40"/>
        </w:rPr>
        <w:commentReference w:id="2"/>
      </w:r>
    </w:p>
    <w:p w14:paraId="0518C9C7">
      <w:pPr>
        <w:overflowPunct w:val="0"/>
        <w:spacing w:line="480" w:lineRule="auto"/>
        <w:jc w:val="center"/>
        <w:textAlignment w:val="auto"/>
      </w:pPr>
      <w:r>
        <w:rPr>
          <w:rFonts w:hint="eastAsia" w:ascii="Arial" w:hAnsi="Arial" w:cs="Arial"/>
          <w:kern w:val="2"/>
          <w:sz w:val="21"/>
          <w:szCs w:val="21"/>
        </w:rPr>
        <w:t>估价对象位置示意图</w:t>
      </w:r>
      <w:r>
        <w:t xml:space="preserve"> </w:t>
      </w:r>
    </w:p>
    <w:p w14:paraId="23019077">
      <w:pPr>
        <w:overflowPunct w:val="0"/>
        <w:spacing w:line="480" w:lineRule="auto"/>
        <w:jc w:val="center"/>
        <w:textAlignment w:val="auto"/>
        <w:rPr>
          <w:rFonts w:ascii="Arial" w:hAnsi="Arial" w:cs="Arial"/>
          <w:b/>
          <w:kern w:val="2"/>
          <w:sz w:val="21"/>
          <w:szCs w:val="21"/>
        </w:rPr>
      </w:pPr>
      <w:r>
        <mc:AlternateContent>
          <mc:Choice Requires="wps">
            <w:drawing>
              <wp:anchor distT="0" distB="0" distL="114300" distR="114300" simplePos="0" relativeHeight="251659264" behindDoc="0" locked="0" layoutInCell="1" allowOverlap="1">
                <wp:simplePos x="0" y="0"/>
                <wp:positionH relativeFrom="column">
                  <wp:posOffset>2049780</wp:posOffset>
                </wp:positionH>
                <wp:positionV relativeFrom="paragraph">
                  <wp:posOffset>591185</wp:posOffset>
                </wp:positionV>
                <wp:extent cx="1100455" cy="403225"/>
                <wp:effectExtent l="5080" t="5080" r="52705" b="307975"/>
                <wp:wrapNone/>
                <wp:docPr id="27" name="自选图形 2"/>
                <wp:cNvGraphicFramePr/>
                <a:graphic xmlns:a="http://schemas.openxmlformats.org/drawingml/2006/main">
                  <a:graphicData uri="http://schemas.microsoft.com/office/word/2010/wordprocessingShape">
                    <wps:wsp>
                      <wps:cNvSpPr>
                        <a:spLocks noChangeArrowheads="1"/>
                      </wps:cNvSpPr>
                      <wps:spPr bwMode="auto">
                        <a:xfrm>
                          <a:off x="0" y="0"/>
                          <a:ext cx="1100455" cy="403225"/>
                        </a:xfrm>
                        <a:prstGeom prst="wedgeRoundRectCallout">
                          <a:avLst>
                            <a:gd name="adj1" fmla="val 52077"/>
                            <a:gd name="adj2" fmla="val 119606"/>
                            <a:gd name="adj3" fmla="val 16667"/>
                          </a:avLst>
                        </a:prstGeom>
                        <a:solidFill>
                          <a:srgbClr val="FF0000"/>
                        </a:solidFill>
                        <a:ln w="9525">
                          <a:solidFill>
                            <a:srgbClr val="000000"/>
                          </a:solidFill>
                          <a:miter lim="800000"/>
                        </a:ln>
                      </wps:spPr>
                      <wps:txbx>
                        <w:txbxContent>
                          <w:p w14:paraId="71C21F2A">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埝坛华庭</w:t>
                            </w:r>
                          </w:p>
                        </w:txbxContent>
                      </wps:txbx>
                      <wps:bodyPr rot="0" vert="horz" wrap="square" lIns="91440" tIns="45720" rIns="91440" bIns="45720" anchor="t" anchorCtr="0" upright="1">
                        <a:noAutofit/>
                      </wps:bodyPr>
                    </wps:wsp>
                  </a:graphicData>
                </a:graphic>
              </wp:anchor>
            </w:drawing>
          </mc:Choice>
          <mc:Fallback>
            <w:pict>
              <v:shape id="自选图形 2" o:spid="_x0000_s1026" o:spt="62" type="#_x0000_t62" style="position:absolute;left:0pt;margin-left:161.4pt;margin-top:46.55pt;height:31.75pt;width:86.65pt;z-index:251659264;mso-width-relative:page;mso-height-relative:page;" fillcolor="#FF0000" filled="t" stroked="t" coordsize="21600,21600" o:gfxdata="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&#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MU/Hl2AAAAAoBAAAPAAAAAAAAAAEAIAAAACIAAABk&#10;cnMvZG93bnJldi54bWxQSwECFAAUAAAACACHTuJAChATF3gCAAAIBQAADgAAAAAAAAABACAAAAAn&#10;AQAAZHJzL2Uyb0RvYy54bWxQSwUGAAAAAAYABgBZAQAAEQYAAAAA&#10;" adj="22049,36635,14400">
                <v:fill on="t" focussize="0,0"/>
                <v:stroke color="#000000" miterlimit="8" joinstyle="miter"/>
                <v:imagedata o:title=""/>
                <o:lock v:ext="edit" aspectratio="f"/>
                <v:textbox>
                  <w:txbxContent>
                    <w:p w14:paraId="71C21F2A">
                      <w:pPr>
                        <w:jc w:val="center"/>
                        <w:rPr>
                          <w:b/>
                          <w:bCs/>
                          <w:color w:val="FFFFFF" w:themeColor="background1"/>
                          <w14:textFill>
                            <w14:solidFill>
                              <w14:schemeClr w14:val="bg1"/>
                            </w14:solidFill>
                          </w14:textFill>
                        </w:rPr>
                      </w:pPr>
                      <w:r>
                        <w:rPr>
                          <w:rFonts w:hint="eastAsia" w:ascii="Arial" w:hAnsi="Arial" w:cs="Arial"/>
                          <w:b/>
                          <w:bCs/>
                          <w:color w:val="FFFFFF" w:themeColor="background1"/>
                          <w:kern w:val="2"/>
                          <w:sz w:val="21"/>
                          <w:szCs w:val="21"/>
                          <w14:textFill>
                            <w14:solidFill>
                              <w14:schemeClr w14:val="bg1"/>
                            </w14:solidFill>
                          </w14:textFill>
                        </w:rPr>
                        <w:t>埝坛华庭</w:t>
                      </w:r>
                    </w:p>
                  </w:txbxContent>
                </v:textbox>
              </v:shape>
            </w:pict>
          </mc:Fallback>
        </mc:AlternateContent>
      </w:r>
      <w:r>
        <w:drawing>
          <wp:inline distT="0" distB="0" distL="114300" distR="114300">
            <wp:extent cx="4783455" cy="3177540"/>
            <wp:effectExtent l="0" t="0" r="1905" b="762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8"/>
                    <a:stretch>
                      <a:fillRect/>
                    </a:stretch>
                  </pic:blipFill>
                  <pic:spPr>
                    <a:xfrm>
                      <a:off x="0" y="0"/>
                      <a:ext cx="4783455" cy="3177540"/>
                    </a:xfrm>
                    <a:prstGeom prst="rect">
                      <a:avLst/>
                    </a:prstGeom>
                    <a:noFill/>
                    <a:ln>
                      <a:noFill/>
                    </a:ln>
                  </pic:spPr>
                </pic:pic>
              </a:graphicData>
            </a:graphic>
          </wp:inline>
        </w:drawing>
      </w:r>
    </w:p>
    <w:p w14:paraId="0E0FEF6A">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（二）土地基本状况</w:t>
      </w:r>
    </w:p>
    <w:p w14:paraId="1460623E">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sz w:val="21"/>
          <w:szCs w:val="21"/>
        </w:rPr>
        <w:t>1.</w:t>
      </w:r>
      <w:r>
        <w:rPr>
          <w:rFonts w:hint="eastAsia" w:ascii="Arial" w:hAnsi="Arial" w:cs="Arial"/>
          <w:sz w:val="21"/>
          <w:szCs w:val="21"/>
        </w:rPr>
        <w:t>根据《不动产权证书》[京（2026）大不动产权第0006768、0006911、0006930号]，估价对象为北京市大兴区义和庄南街25号院1号楼9层一单元903等122套（埝坛华庭西区）保障性租赁住房（住宅型），总建筑</w:t>
      </w:r>
      <w:r>
        <w:rPr>
          <w:rFonts w:hint="eastAsia" w:ascii="Arial" w:hAnsi="Arial" w:cs="Arial"/>
          <w:kern w:val="2"/>
          <w:sz w:val="21"/>
          <w:szCs w:val="21"/>
        </w:rPr>
        <w:t>面积17161.35平方米，权利人为北京市燕兴保障性住房建设投资有限公司，共有情况为单独所有，权利类型为国有建设用地使用权/房屋所有权，权利性质为划拨/按经济适用住房管理，用途为城镇住宅用地/住房，共有宗地面积10733.04平方米，</w:t>
      </w:r>
      <w:commentRangeStart w:id="3"/>
      <w:commentRangeStart w:id="4"/>
      <w:r>
        <w:rPr>
          <w:rFonts w:hint="eastAsia" w:ascii="Arial" w:hAnsi="Arial" w:cs="Arial"/>
          <w:kern w:val="2"/>
          <w:sz w:val="21"/>
          <w:szCs w:val="21"/>
        </w:rPr>
        <w:t>所属宗地现状四至为东至义锦南街27号院，南至兴良路，西至新源大街，北至小龙河。</w:t>
      </w:r>
      <w:commentRangeEnd w:id="3"/>
      <w:r>
        <w:rPr>
          <w:rStyle w:val="40"/>
        </w:rPr>
        <w:commentReference w:id="3"/>
      </w:r>
      <w:commentRangeEnd w:id="4"/>
      <w:r>
        <w:commentReference w:id="4"/>
      </w:r>
    </w:p>
    <w:p w14:paraId="50A5A8DB">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根据《不动产权证书》[京（2026）大不动产权第0006767、0006769、0003772号]，估价对象为北京市大兴区义锦南街27号院1号楼1层一单元103等85套（埝坛华庭东区）保障性租赁住房（住宅型），总建筑</w:t>
      </w:r>
      <w:r>
        <w:rPr>
          <w:rFonts w:hint="eastAsia" w:ascii="Arial" w:hAnsi="Arial" w:cs="Arial"/>
          <w:kern w:val="2"/>
          <w:sz w:val="21"/>
          <w:szCs w:val="21"/>
        </w:rPr>
        <w:t>面积8011.01平方米，权利人为北京市燕兴保障性住房建设投资有限公司，共有情况为单独所有，权利类型为国有建设用地使用权/房屋所有权，权利性质为划拨/按经济适用住房管理，用途为城镇住宅用地/住房，共有宗地面积11667.31平方米，所属宗地现状四至为东至现状空地，南至兴良路，西至义和庄南街25号院，北至小龙河。</w:t>
      </w:r>
    </w:p>
    <w:p w14:paraId="7E4BCC92">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3CF3F64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开发程度</w:t>
      </w:r>
      <w:r>
        <w:rPr>
          <w:rFonts w:ascii="Arial" w:hAnsi="Arial" w:cs="Arial"/>
          <w:sz w:val="21"/>
          <w:szCs w:val="21"/>
        </w:rPr>
        <w:t>：</w:t>
      </w:r>
    </w:p>
    <w:p w14:paraId="763BB15F">
      <w:pPr>
        <w:wordWrap w:val="0"/>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“七通”</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6B10707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70B74EE2">
      <w:pPr>
        <w:wordWrap w:val="0"/>
        <w:overflowPunct w:val="0"/>
        <w:spacing w:line="480" w:lineRule="auto"/>
        <w:ind w:firstLine="422" w:firstLineChars="200"/>
        <w:jc w:val="both"/>
        <w:textAlignment w:val="auto"/>
        <w:rPr>
          <w:rFonts w:ascii="Arial" w:hAnsi="Arial" w:cs="Arial"/>
          <w:b/>
          <w:kern w:val="2"/>
          <w:sz w:val="21"/>
          <w:szCs w:val="21"/>
        </w:rPr>
      </w:pPr>
      <w:r>
        <w:rPr>
          <w:rFonts w:ascii="Arial" w:hAnsi="Arial" w:cs="Arial"/>
          <w:b/>
          <w:kern w:val="2"/>
          <w:sz w:val="21"/>
          <w:szCs w:val="21"/>
        </w:rPr>
        <w:t>（</w:t>
      </w:r>
      <w:r>
        <w:rPr>
          <w:rFonts w:hint="eastAsia" w:ascii="Arial" w:hAnsi="Arial" w:cs="Arial"/>
          <w:b/>
          <w:kern w:val="2"/>
          <w:sz w:val="21"/>
          <w:szCs w:val="21"/>
        </w:rPr>
        <w:t>三</w:t>
      </w:r>
      <w:r>
        <w:rPr>
          <w:rFonts w:ascii="Arial" w:hAnsi="Arial" w:cs="Arial"/>
          <w:b/>
          <w:kern w:val="2"/>
          <w:sz w:val="21"/>
          <w:szCs w:val="21"/>
        </w:rPr>
        <w:t>）建筑物基本状况</w:t>
      </w:r>
    </w:p>
    <w:p w14:paraId="435A2338">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w:t>
      </w:r>
      <w:r>
        <w:rPr>
          <w:rFonts w:hint="eastAsia" w:ascii="Arial" w:hAnsi="Arial" w:cs="Arial"/>
          <w:sz w:val="21"/>
          <w:szCs w:val="21"/>
        </w:rPr>
        <w:t>建设规模：估价对象所属埝坛华庭</w:t>
      </w:r>
      <w:r>
        <w:rPr>
          <w:rFonts w:ascii="Arial" w:hAnsi="Arial" w:cs="Arial"/>
          <w:sz w:val="21"/>
          <w:szCs w:val="21"/>
        </w:rPr>
        <w:t>项目</w:t>
      </w:r>
      <w:r>
        <w:rPr>
          <w:rFonts w:hint="eastAsia" w:ascii="Arial" w:hAnsi="Arial" w:cs="Arial"/>
          <w:sz w:val="21"/>
          <w:szCs w:val="21"/>
        </w:rPr>
        <w:t>，位于大兴区林校路街道，紧邻念坛公园约400米，距离地铁4号线义和庄站1.2公里，距离南六环天水大街入口收费站1公里，距离念坛国际金融商务区800米，距离生物医药产业基地1公里。本次收购房屋套数275套，总建筑</w:t>
      </w:r>
      <w:r>
        <w:rPr>
          <w:rFonts w:hint="eastAsia" w:ascii="Arial" w:hAnsi="Arial" w:cs="Arial"/>
          <w:kern w:val="2"/>
          <w:sz w:val="21"/>
          <w:szCs w:val="21"/>
        </w:rPr>
        <w:t>面积25172.36平方米，</w:t>
      </w:r>
      <w:r>
        <w:rPr>
          <w:rFonts w:hint="eastAsia" w:ascii="Arial" w:hAnsi="Arial" w:cs="Arial"/>
          <w:sz w:val="21"/>
          <w:szCs w:val="21"/>
        </w:rPr>
        <w:t>其中，一居室19套（户型面积区间62.64至62.73平方米），南朝向6套、南北朝向13套；两居室193套（户型面积区间84.11至88.94平方米），南朝向77套、南北朝向116套；三居室63套（户型面积区间115.8至116.74平方米），南朝向15套、南北朝向48套。估价对象具体情况如下：</w:t>
      </w:r>
    </w:p>
    <w:p w14:paraId="74060391">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290"/>
        <w:gridCol w:w="1040"/>
        <w:gridCol w:w="1700"/>
        <w:gridCol w:w="1242"/>
        <w:gridCol w:w="1010"/>
        <w:gridCol w:w="2222"/>
      </w:tblGrid>
      <w:tr w14:paraId="30250250">
        <w:tblPrEx>
          <w:tblCellMar>
            <w:top w:w="0" w:type="dxa"/>
            <w:left w:w="108" w:type="dxa"/>
            <w:bottom w:w="0" w:type="dxa"/>
            <w:right w:w="108" w:type="dxa"/>
          </w:tblCellMar>
        </w:tblPrEx>
        <w:trPr>
          <w:trHeight w:val="570" w:hRule="atLeast"/>
          <w:tblHeader/>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5C3C4EB">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2662CEE">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D6A43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65BDB3">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F2B43F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16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DAF63C">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5C1C0C52">
        <w:tblPrEx>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D6787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义和庄南街25号院1、2、3号楼（埝坛华庭西区）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D8A9C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F504E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8C9660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5B49F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328B7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188.19</w:t>
            </w:r>
          </w:p>
        </w:tc>
      </w:tr>
      <w:tr w14:paraId="7EC64D1C">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118E51">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8D7BD0">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D3B1D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5AE97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BC2C7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50292C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376.38</w:t>
            </w:r>
          </w:p>
        </w:tc>
      </w:tr>
      <w:tr w14:paraId="554E7776">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892396">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6026E11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95567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23E94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B929E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88945FB">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564.57</w:t>
            </w:r>
          </w:p>
        </w:tc>
      </w:tr>
      <w:tr w14:paraId="41D2E7E4">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49DC6F">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9A5DC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0B56E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11D90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C0883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374EB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5428.84</w:t>
            </w:r>
          </w:p>
        </w:tc>
      </w:tr>
      <w:tr w14:paraId="12379BDC">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16FEE1">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3CD601">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EABD2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84.11-88.92</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67645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827D3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0B2FD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7444.69</w:t>
            </w:r>
          </w:p>
        </w:tc>
      </w:tr>
      <w:tr w14:paraId="6A09E038">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A62FC58">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4277A95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9361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D8DF4D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149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F7A59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97790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12873.53</w:t>
            </w:r>
          </w:p>
        </w:tc>
      </w:tr>
      <w:tr w14:paraId="74473433">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EBC1C7">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75A55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53ECD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B1DAD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24F85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580F1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1047.83</w:t>
            </w:r>
          </w:p>
        </w:tc>
      </w:tr>
      <w:tr w14:paraId="04A3A010">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AAA82BC">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64A07">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32BF5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E258E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7A2F0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6BCCF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2675.42</w:t>
            </w:r>
          </w:p>
        </w:tc>
      </w:tr>
      <w:tr w14:paraId="7803BCB8">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40485A">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24639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0C4DF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1922C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58FEE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376AA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3723.25</w:t>
            </w:r>
          </w:p>
        </w:tc>
      </w:tr>
      <w:tr w14:paraId="67232D5F">
        <w:tblPrEx>
          <w:shd w:val="clear" w:color="auto" w:fill="FFFFFF" w:themeFill="background1"/>
          <w:tblCellMar>
            <w:top w:w="0" w:type="dxa"/>
            <w:left w:w="108" w:type="dxa"/>
            <w:bottom w:w="0" w:type="dxa"/>
            <w:right w:w="108" w:type="dxa"/>
          </w:tblCellMar>
        </w:tblPrEx>
        <w:trPr>
          <w:trHeight w:val="264" w:hRule="atLeast"/>
        </w:trPr>
        <w:tc>
          <w:tcPr>
            <w:tcW w:w="1204" w:type="pct"/>
            <w:tcBorders>
              <w:top w:val="nil"/>
              <w:left w:val="single" w:color="000000" w:sz="4" w:space="0"/>
              <w:bottom w:val="nil"/>
              <w:right w:val="single" w:color="000000" w:sz="4" w:space="0"/>
            </w:tcBorders>
            <w:shd w:val="clear" w:color="auto" w:fill="FFFFFF" w:themeFill="background1"/>
            <w:vAlign w:val="center"/>
          </w:tcPr>
          <w:p w14:paraId="426BCB3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5EE37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48AC0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FBC4E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190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BCEB1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94AFA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17161.35</w:t>
            </w:r>
          </w:p>
        </w:tc>
      </w:tr>
      <w:tr w14:paraId="622D850B">
        <w:tblPrEx>
          <w:shd w:val="clear" w:color="auto" w:fill="FFFFFF" w:themeFill="background1"/>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B908CF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义锦南街27号院1、2、3、4号楼（埝坛华庭东区）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7C0E4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3CCF5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EB787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78BBE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CE5F5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187.92</w:t>
            </w:r>
          </w:p>
        </w:tc>
      </w:tr>
      <w:tr w14:paraId="1D9060CD">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55E66B">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754E2C">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44A36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3DBA2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F1C31A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AAC69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438.48</w:t>
            </w:r>
          </w:p>
        </w:tc>
      </w:tr>
      <w:tr w14:paraId="5383A6D6">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DE4DD2">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595C57B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9DECE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397646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1F41D4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D1541A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r>
      <w:tr w14:paraId="1F1B5662">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A4486A">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57B013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E9AA3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33CBA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B18D76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0C6F6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1306.91</w:t>
            </w:r>
          </w:p>
        </w:tc>
      </w:tr>
      <w:tr w14:paraId="2B12192E">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CDA066">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8F6F1A">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A610A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D90F0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922B39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50BA9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2474.74</w:t>
            </w:r>
          </w:p>
        </w:tc>
      </w:tr>
      <w:tr w14:paraId="149A60F2">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05CBEA4">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310A9DF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5B582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E51FCA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44</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5671E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C7FA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3781.65</w:t>
            </w:r>
          </w:p>
        </w:tc>
      </w:tr>
      <w:tr w14:paraId="0044FF4F">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85E2A2">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854159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CCD89F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4339A7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B9D0D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8D7EC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697.62</w:t>
            </w:r>
          </w:p>
        </w:tc>
      </w:tr>
      <w:tr w14:paraId="67E3D3EC">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2032A40">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78CE10">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862AE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29D4A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D130E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4D633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2905.34</w:t>
            </w:r>
          </w:p>
        </w:tc>
      </w:tr>
      <w:tr w14:paraId="435DAEF7">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46059D">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521BB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7FD565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E5A61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31</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122790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8A013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3602.96</w:t>
            </w:r>
          </w:p>
        </w:tc>
      </w:tr>
      <w:tr w14:paraId="50CC947B">
        <w:tblPrEx>
          <w:shd w:val="clear" w:color="auto" w:fill="FFFFFF" w:themeFill="background1"/>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0E099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934AE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ADB11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70E25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A88CB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2AD8D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8011.01</w:t>
            </w:r>
          </w:p>
        </w:tc>
      </w:tr>
      <w:tr w14:paraId="16C54C2C">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69024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887411">
            <w:pPr>
              <w:widowControl/>
              <w:adjustRightInd/>
              <w:spacing w:line="240" w:lineRule="auto"/>
              <w:jc w:val="center"/>
              <w:textAlignment w:val="auto"/>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D9A510">
            <w:pPr>
              <w:widowControl/>
              <w:adjustRightInd/>
              <w:spacing w:line="240" w:lineRule="auto"/>
              <w:jc w:val="center"/>
              <w:textAlignment w:val="auto"/>
              <w:rPr>
                <w:rFonts w:ascii="华文细黑" w:hAnsi="华文细黑" w:eastAsia="华文细黑" w:cs="Arial"/>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9E3E7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275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CE308B">
            <w:pPr>
              <w:widowControl/>
              <w:adjustRightInd/>
              <w:spacing w:line="240" w:lineRule="auto"/>
              <w:jc w:val="center"/>
              <w:textAlignment w:val="auto"/>
              <w:rPr>
                <w:rFonts w:ascii="华文细黑" w:hAnsi="华文细黑" w:eastAsia="华文细黑" w:cs="Arial"/>
                <w:sz w:val="18"/>
                <w:szCs w:val="18"/>
              </w:rPr>
            </w:pP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2926E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25172.36</w:t>
            </w:r>
          </w:p>
        </w:tc>
      </w:tr>
    </w:tbl>
    <w:p w14:paraId="2A0803EF">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bookmarkStart w:id="25" w:name="OLE_LINK3"/>
      <w:bookmarkStart w:id="26" w:name="OLE_LINK2"/>
    </w:p>
    <w:p w14:paraId="108BBA6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5B7A94F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及卧室（吸顶灯、入门鞋柜、智能锁）、厨房（配备整体橱柜、灶具、排烟机、洗菜盆、节水型龙头）、卫生间（配备洗面盆、盥洗镜、节水座便器、节水型淋浴喷头、电热水器、防臭地漏、洗衣机龙头、冷热水八字阀）等基本家具家电。估价对象作为保障性租赁住房（住宅型）出租使用。</w:t>
      </w:r>
    </w:p>
    <w:p w14:paraId="08B1FDF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中档装修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2F687041">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埝坛华庭建成于2024年6月，</w:t>
      </w:r>
      <w:r>
        <w:rPr>
          <w:rFonts w:hint="eastAsia" w:ascii="Arial" w:hAnsi="Arial" w:cs="Arial"/>
          <w:sz w:val="21"/>
          <w:szCs w:val="21"/>
        </w:rPr>
        <w:t>观察成新度较高，综合成新度为90%-100</w:t>
      </w:r>
      <w:r>
        <w:rPr>
          <w:rFonts w:ascii="Arial" w:hAnsi="Arial" w:cs="Arial"/>
          <w:sz w:val="21"/>
          <w:szCs w:val="21"/>
        </w:rPr>
        <w:t>%</w:t>
      </w:r>
      <w:r>
        <w:rPr>
          <w:rFonts w:hint="eastAsia" w:ascii="Arial" w:hAnsi="Arial" w:cs="Arial"/>
          <w:sz w:val="21"/>
          <w:szCs w:val="21"/>
        </w:rPr>
        <w:t>。</w:t>
      </w:r>
    </w:p>
    <w:p w14:paraId="54A735B2">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7.户型设计：估价对象均为平层结构，分为三种户型，分别为一居室、两居室、三居室。一居室19套、两居室193套、三居室63套。</w:t>
      </w:r>
    </w:p>
    <w:p w14:paraId="2DC3BD77">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ascii="Arial" w:hAnsi="Arial" w:cs="Arial"/>
          <w:sz w:val="21"/>
          <w:szCs w:val="21"/>
        </w:rPr>
        <w:t>朝向：估价对象一居室19套（户型面积区间62.64至62.73平方米），南朝向6套、南北朝向13套；两居室193套（户型面积区间84.11至88.94平方米），南朝向77套、南北朝向116套；三居室63套（户型面积区间115.8至116.74平方米），南朝向15套、南北朝向48套。</w:t>
      </w:r>
    </w:p>
    <w:p w14:paraId="494842D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743A00CF">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bookmarkEnd w:id="25"/>
    <w:bookmarkEnd w:id="26"/>
    <w:p w14:paraId="703DEDF2">
      <w:pPr>
        <w:spacing w:line="480" w:lineRule="auto"/>
        <w:rPr>
          <w:rFonts w:ascii="Arial" w:hAnsi="Arial" w:cs="Arial"/>
          <w:b/>
          <w:kern w:val="2"/>
          <w:sz w:val="21"/>
          <w:szCs w:val="21"/>
        </w:rPr>
      </w:pPr>
      <w:r>
        <w:rPr>
          <w:rFonts w:hint="eastAsia" w:ascii="Arial" w:hAnsi="Arial" w:cs="Arial"/>
          <w:b/>
          <w:kern w:val="2"/>
          <w:sz w:val="21"/>
          <w:szCs w:val="21"/>
        </w:rPr>
        <w:t>（四）对价格影响的分析</w:t>
      </w:r>
    </w:p>
    <w:p w14:paraId="12DE5AB9">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租者的需求，因此</w:t>
      </w:r>
      <w:r>
        <w:rPr>
          <w:rFonts w:hint="eastAsia" w:ascii="Arial" w:hAnsi="Arial" w:cs="Arial"/>
          <w:sz w:val="21"/>
          <w:szCs w:val="21"/>
        </w:rPr>
        <w:t>不会</w:t>
      </w:r>
      <w:r>
        <w:rPr>
          <w:rFonts w:ascii="Arial" w:hAnsi="Arial" w:cs="Arial"/>
          <w:sz w:val="21"/>
          <w:szCs w:val="21"/>
        </w:rPr>
        <w:t>影响其租金价格水平。</w:t>
      </w:r>
    </w:p>
    <w:p w14:paraId="774B1DC8">
      <w:pPr>
        <w:spacing w:line="480" w:lineRule="auto"/>
        <w:rPr>
          <w:rFonts w:ascii="Arial" w:hAnsi="Arial" w:cs="Arial"/>
          <w:b/>
          <w:kern w:val="2"/>
          <w:sz w:val="21"/>
          <w:szCs w:val="21"/>
        </w:rPr>
      </w:pPr>
      <w:r>
        <w:rPr>
          <w:rFonts w:hint="eastAsia" w:ascii="Arial" w:hAnsi="Arial" w:cs="Arial"/>
          <w:b/>
          <w:kern w:val="2"/>
          <w:sz w:val="21"/>
          <w:szCs w:val="21"/>
        </w:rPr>
        <w:t>（五）他项权利状况</w:t>
      </w:r>
    </w:p>
    <w:p w14:paraId="17C272CD">
      <w:pPr>
        <w:spacing w:line="480" w:lineRule="auto"/>
        <w:ind w:firstLine="420" w:firstLineChars="200"/>
        <w:rPr>
          <w:rFonts w:ascii="Arial" w:hAnsi="Arial" w:cs="Arial"/>
          <w:kern w:val="2"/>
          <w:sz w:val="21"/>
          <w:szCs w:val="21"/>
        </w:rPr>
      </w:pPr>
      <w:r>
        <w:rPr>
          <w:rFonts w:hint="eastAsia" w:ascii="Arial" w:hAnsi="Arial" w:cs="Arial"/>
          <w:sz w:val="21"/>
          <w:szCs w:val="21"/>
        </w:rPr>
        <w:t>根据估价委托人提供的《北京市保障性住房收购合同》及其附件、《不动产权证书》[京（2026）大不动产权第0006767、0006768、0006769、0003772、0006911、0006930号]部分及评估专业人员实地查勘，于价值时点，估价对象不存在抵押、</w:t>
      </w:r>
      <w:r>
        <w:rPr>
          <w:rFonts w:hint="eastAsia" w:ascii="Arial" w:hAnsi="Arial" w:cs="Arial"/>
          <w:kern w:val="2"/>
          <w:sz w:val="21"/>
          <w:szCs w:val="21"/>
        </w:rPr>
        <w:t>租赁、地役、查封等限制</w:t>
      </w:r>
      <w:r>
        <w:rPr>
          <w:rFonts w:hint="eastAsia" w:ascii="Arial" w:hAnsi="Arial" w:cs="Arial"/>
          <w:sz w:val="21"/>
          <w:szCs w:val="21"/>
        </w:rPr>
        <w:t>。</w:t>
      </w:r>
    </w:p>
    <w:p w14:paraId="19BAE0BE">
      <w:pPr>
        <w:overflowPunct w:val="0"/>
        <w:spacing w:line="480" w:lineRule="auto"/>
        <w:ind w:firstLine="420" w:firstLineChars="200"/>
        <w:jc w:val="both"/>
        <w:textAlignment w:val="auto"/>
        <w:rPr>
          <w:rFonts w:ascii="Arial" w:hAnsi="Arial" w:cs="Arial"/>
          <w:sz w:val="21"/>
          <w:szCs w:val="21"/>
        </w:rPr>
      </w:pPr>
    </w:p>
    <w:p w14:paraId="314C8A54">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27" w:name="_Toc168225817"/>
      <w:bookmarkStart w:id="28" w:name="_Toc155267090"/>
      <w:r>
        <w:rPr>
          <w:rFonts w:eastAsia="宋体"/>
          <w:kern w:val="2"/>
          <w:sz w:val="21"/>
          <w:szCs w:val="21"/>
        </w:rPr>
        <w:t>五</w:t>
      </w:r>
      <w:bookmarkEnd w:id="27"/>
      <w:r>
        <w:rPr>
          <w:rFonts w:eastAsia="宋体"/>
          <w:kern w:val="2"/>
          <w:sz w:val="21"/>
          <w:szCs w:val="21"/>
        </w:rPr>
        <w:t>、价值时点</w:t>
      </w:r>
      <w:bookmarkEnd w:id="28"/>
    </w:p>
    <w:p w14:paraId="60637FEC">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2026年4月7日</w:t>
      </w:r>
      <w:r>
        <w:rPr>
          <w:rFonts w:ascii="Arial" w:hAnsi="Arial" w:cs="Arial"/>
          <w:sz w:val="21"/>
          <w:szCs w:val="21"/>
        </w:rPr>
        <w:t>（</w:t>
      </w:r>
      <w:r>
        <w:rPr>
          <w:rFonts w:hint="eastAsia" w:ascii="Arial" w:hAnsi="Arial" w:cs="Arial"/>
          <w:sz w:val="21"/>
          <w:szCs w:val="21"/>
        </w:rPr>
        <w:t>根据《估价委托书》确定</w:t>
      </w:r>
      <w:r>
        <w:rPr>
          <w:rFonts w:ascii="Arial" w:hAnsi="Arial" w:cs="Arial"/>
          <w:sz w:val="21"/>
          <w:szCs w:val="21"/>
        </w:rPr>
        <w:t>）</w:t>
      </w:r>
    </w:p>
    <w:p w14:paraId="642F5E8B">
      <w:pPr>
        <w:wordWrap w:val="0"/>
        <w:overflowPunct w:val="0"/>
        <w:spacing w:line="480" w:lineRule="auto"/>
        <w:ind w:firstLine="420" w:firstLineChars="200"/>
        <w:jc w:val="both"/>
        <w:textAlignment w:val="auto"/>
        <w:rPr>
          <w:rFonts w:ascii="Arial" w:hAnsi="Arial" w:cs="Arial"/>
          <w:sz w:val="21"/>
          <w:szCs w:val="21"/>
        </w:rPr>
      </w:pPr>
    </w:p>
    <w:p w14:paraId="084AE439">
      <w:pPr>
        <w:pStyle w:val="3"/>
        <w:numPr>
          <w:ilvl w:val="0"/>
          <w:numId w:val="0"/>
        </w:numPr>
        <w:overflowPunct w:val="0"/>
        <w:spacing w:line="480" w:lineRule="auto"/>
        <w:ind w:left="358" w:hanging="358" w:hangingChars="170"/>
        <w:jc w:val="both"/>
        <w:textAlignment w:val="auto"/>
        <w:rPr>
          <w:rFonts w:eastAsia="宋体"/>
          <w:kern w:val="2"/>
          <w:sz w:val="21"/>
          <w:szCs w:val="21"/>
        </w:rPr>
      </w:pPr>
      <w:bookmarkStart w:id="29" w:name="_Toc168225818"/>
      <w:bookmarkStart w:id="30" w:name="_Toc155267091"/>
      <w:r>
        <w:rPr>
          <w:rFonts w:eastAsia="宋体"/>
          <w:kern w:val="2"/>
          <w:sz w:val="21"/>
          <w:szCs w:val="21"/>
        </w:rPr>
        <w:t>六</w:t>
      </w:r>
      <w:bookmarkEnd w:id="29"/>
      <w:r>
        <w:rPr>
          <w:rFonts w:eastAsia="宋体"/>
          <w:kern w:val="2"/>
          <w:sz w:val="21"/>
          <w:szCs w:val="21"/>
        </w:rPr>
        <w:t>、价值类型</w:t>
      </w:r>
      <w:bookmarkEnd w:id="30"/>
    </w:p>
    <w:p w14:paraId="3C221D7F">
      <w:pPr>
        <w:spacing w:line="480" w:lineRule="auto"/>
        <w:rPr>
          <w:rFonts w:ascii="Arial" w:hAnsi="Arial" w:cs="Arial"/>
          <w:b/>
          <w:kern w:val="2"/>
          <w:sz w:val="21"/>
          <w:szCs w:val="21"/>
        </w:rPr>
      </w:pPr>
      <w:r>
        <w:rPr>
          <w:rFonts w:hint="eastAsia" w:ascii="Arial" w:hAnsi="Arial" w:cs="Arial"/>
          <w:b/>
          <w:kern w:val="2"/>
          <w:sz w:val="21"/>
          <w:szCs w:val="21"/>
        </w:rPr>
        <w:t>（一）价值类型</w:t>
      </w:r>
    </w:p>
    <w:p w14:paraId="03D27339">
      <w:pPr>
        <w:overflowPunct w:val="0"/>
        <w:spacing w:line="480" w:lineRule="auto"/>
        <w:ind w:firstLine="420" w:firstLineChars="200"/>
        <w:jc w:val="both"/>
        <w:rPr>
          <w:rFonts w:ascii="Arial" w:hAnsi="Arial" w:cs="Arial"/>
          <w:sz w:val="21"/>
          <w:szCs w:val="21"/>
        </w:rPr>
      </w:pPr>
      <w:r>
        <w:rPr>
          <w:rFonts w:hint="eastAsia" w:ascii="Arial" w:hAnsi="Arial" w:cs="Arial"/>
          <w:sz w:val="21"/>
          <w:szCs w:val="21"/>
        </w:rPr>
        <w:t>根据房地产评估的技术规程和本次估价目的，本次估价采用的是市场价值标准。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ascii="Arial" w:hAnsi="Arial" w:cs="Arial"/>
          <w:sz w:val="21"/>
          <w:szCs w:val="21"/>
        </w:rPr>
        <w:t xml:space="preserve"> </w:t>
      </w:r>
    </w:p>
    <w:p w14:paraId="3B9AFC44">
      <w:pPr>
        <w:spacing w:line="480" w:lineRule="auto"/>
        <w:rPr>
          <w:rFonts w:ascii="Arial" w:hAnsi="Arial" w:cs="Arial"/>
          <w:b/>
          <w:kern w:val="2"/>
          <w:sz w:val="21"/>
          <w:szCs w:val="21"/>
        </w:rPr>
      </w:pPr>
      <w:r>
        <w:rPr>
          <w:rFonts w:hint="eastAsia" w:ascii="Arial" w:hAnsi="Arial" w:cs="Arial"/>
          <w:b/>
          <w:kern w:val="2"/>
          <w:sz w:val="21"/>
          <w:szCs w:val="21"/>
        </w:rPr>
        <w:t>（二）设定条件</w:t>
      </w:r>
    </w:p>
    <w:p w14:paraId="43CC9D23">
      <w:pPr>
        <w:spacing w:line="480" w:lineRule="auto"/>
        <w:ind w:firstLine="420" w:firstLineChars="200"/>
        <w:rPr>
          <w:rFonts w:ascii="Arial" w:hAnsi="Arial" w:cs="Arial"/>
          <w:sz w:val="21"/>
          <w:szCs w:val="21"/>
        </w:rPr>
      </w:pPr>
      <w:r>
        <w:rPr>
          <w:rFonts w:ascii="Arial" w:hAnsi="Arial" w:cs="Arial"/>
          <w:sz w:val="21"/>
          <w:szCs w:val="21"/>
        </w:rPr>
        <w:t>估价结果中的房地产租金价格是指估价对象</w:t>
      </w:r>
      <w:r>
        <w:rPr>
          <w:rFonts w:hint="eastAsia" w:ascii="Arial" w:hAnsi="Arial" w:cs="Arial"/>
          <w:sz w:val="21"/>
          <w:szCs w:val="21"/>
        </w:rPr>
        <w:t>房地产于价值时点2026年4月7日，</w:t>
      </w:r>
      <w:r>
        <w:rPr>
          <w:rFonts w:ascii="Arial" w:hAnsi="Arial" w:cs="Arial"/>
          <w:sz w:val="21"/>
          <w:szCs w:val="21"/>
        </w:rPr>
        <w:t>估价对象在规划利用条件及下述设定条件下</w:t>
      </w:r>
      <w:r>
        <w:rPr>
          <w:rFonts w:hint="eastAsia" w:ascii="Arial" w:hAnsi="Arial" w:cs="Arial"/>
          <w:sz w:val="21"/>
          <w:szCs w:val="21"/>
        </w:rPr>
        <w:t>项目同地段、同品质住宅（住宅型）房地产</w:t>
      </w:r>
      <w:r>
        <w:rPr>
          <w:rFonts w:ascii="Arial" w:hAnsi="Arial" w:cs="Arial"/>
          <w:sz w:val="21"/>
          <w:szCs w:val="21"/>
        </w:rPr>
        <w:t>的市场租金价格：</w:t>
      </w:r>
    </w:p>
    <w:p w14:paraId="1BB518CA">
      <w:pPr>
        <w:spacing w:line="480" w:lineRule="auto"/>
        <w:ind w:firstLine="420" w:firstLineChars="200"/>
        <w:rPr>
          <w:rFonts w:ascii="Arial" w:hAnsi="Arial" w:cs="Arial"/>
          <w:sz w:val="21"/>
          <w:szCs w:val="21"/>
        </w:rPr>
      </w:pPr>
      <w:r>
        <w:rPr>
          <w:rFonts w:ascii="Arial" w:hAnsi="Arial" w:cs="Arial"/>
          <w:sz w:val="21"/>
          <w:szCs w:val="21"/>
        </w:rPr>
        <w:t>租金估价结果</w:t>
      </w:r>
      <w:r>
        <w:rPr>
          <w:rFonts w:hint="eastAsia" w:ascii="Arial" w:hAnsi="Arial" w:cs="Arial"/>
          <w:sz w:val="21"/>
          <w:szCs w:val="21"/>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0D84C564">
      <w:pPr>
        <w:spacing w:line="480" w:lineRule="auto"/>
        <w:ind w:firstLine="420" w:firstLineChars="200"/>
        <w:rPr>
          <w:rFonts w:ascii="Arial" w:hAnsi="Arial" w:cs="Arial"/>
          <w:sz w:val="21"/>
          <w:szCs w:val="21"/>
        </w:rPr>
      </w:pPr>
    </w:p>
    <w:p w14:paraId="39955629">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1" w:name="_Toc168225819"/>
      <w:bookmarkStart w:id="32" w:name="_Toc155267092"/>
      <w:r>
        <w:rPr>
          <w:rFonts w:eastAsia="宋体"/>
          <w:kern w:val="2"/>
          <w:sz w:val="21"/>
          <w:szCs w:val="21"/>
        </w:rPr>
        <w:t>七、估价原则</w:t>
      </w:r>
      <w:bookmarkEnd w:id="31"/>
      <w:bookmarkEnd w:id="32"/>
    </w:p>
    <w:p w14:paraId="31172BA7">
      <w:pPr>
        <w:wordWrap w:val="0"/>
        <w:overflowPunct w:val="0"/>
        <w:spacing w:line="480" w:lineRule="auto"/>
        <w:ind w:firstLine="424" w:firstLineChars="202"/>
        <w:jc w:val="both"/>
        <w:textAlignment w:val="auto"/>
        <w:rPr>
          <w:rFonts w:ascii="Arial" w:hAnsi="Arial" w:cs="Arial"/>
          <w:sz w:val="21"/>
          <w:szCs w:val="21"/>
        </w:rPr>
      </w:pPr>
      <w:r>
        <w:rPr>
          <w:rFonts w:ascii="Arial" w:hAnsi="Arial" w:cs="Arial"/>
          <w:sz w:val="21"/>
          <w:szCs w:val="21"/>
        </w:rPr>
        <w:t xml:space="preserve">我们在本次估价时遵循了以下原则： </w:t>
      </w:r>
    </w:p>
    <w:p w14:paraId="60F26774">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4E77B969">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独立、客观、公正原则要求</w:t>
      </w:r>
      <w:r>
        <w:rPr>
          <w:rFonts w:hint="eastAsia" w:ascii="Arial" w:hAnsi="Arial" w:cs="Arial"/>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210DD0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w:t>
      </w:r>
      <w:r>
        <w:rPr>
          <w:rFonts w:hint="eastAsia" w:ascii="Arial" w:hAnsi="Arial" w:cs="Arial"/>
          <w:b/>
          <w:sz w:val="21"/>
          <w:szCs w:val="21"/>
        </w:rPr>
        <w:t>合法原则</w:t>
      </w:r>
    </w:p>
    <w:p w14:paraId="3BFCB80D">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692DA861">
      <w:pPr>
        <w:wordWrap w:val="0"/>
        <w:overflowPunct w:val="0"/>
        <w:spacing w:line="480" w:lineRule="auto"/>
        <w:ind w:firstLine="420" w:firstLineChars="200"/>
        <w:jc w:val="both"/>
        <w:textAlignment w:val="auto"/>
        <w:rPr>
          <w:rFonts w:ascii="Arial" w:hAnsi="Arial" w:cs="Arial"/>
          <w:b/>
          <w:sz w:val="21"/>
          <w:szCs w:val="21"/>
        </w:rPr>
      </w:pPr>
      <w:r>
        <w:rPr>
          <w:rFonts w:hint="eastAsia" w:ascii="Arial" w:hAnsi="Arial" w:cs="Arial"/>
          <w:sz w:val="21"/>
          <w:szCs w:val="21"/>
        </w:rPr>
        <w:t>估价对象已取得《不动产权证书》[京（2026）大不动产权第0006767、0006768、0006769、0003772、0006911、0006930号]</w:t>
      </w:r>
      <w:r>
        <w:rPr>
          <w:rFonts w:hint="eastAsia" w:ascii="Arial" w:hAnsi="Arial" w:cs="Arial"/>
          <w:kern w:val="2"/>
          <w:sz w:val="21"/>
          <w:szCs w:val="21"/>
        </w:rPr>
        <w:t>，产权合法，使用合法。</w:t>
      </w:r>
    </w:p>
    <w:p w14:paraId="17A19364">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（三）</w:t>
      </w:r>
      <w:r>
        <w:rPr>
          <w:rFonts w:ascii="Arial" w:hAnsi="Arial" w:cs="Arial"/>
          <w:b/>
          <w:sz w:val="21"/>
          <w:szCs w:val="21"/>
        </w:rPr>
        <w:t>最高最佳利用原则</w:t>
      </w:r>
    </w:p>
    <w:p w14:paraId="2CA02A5D">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785ECC2">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四</w:t>
      </w:r>
      <w:r>
        <w:rPr>
          <w:rFonts w:ascii="Arial" w:hAnsi="Arial" w:cs="Arial"/>
          <w:b/>
          <w:sz w:val="21"/>
          <w:szCs w:val="21"/>
        </w:rPr>
        <w:t>）替代原则</w:t>
      </w:r>
    </w:p>
    <w:p w14:paraId="07D88015">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17B6628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4AEF622F">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五</w:t>
      </w:r>
      <w:r>
        <w:rPr>
          <w:rFonts w:ascii="Arial" w:hAnsi="Arial" w:cs="Arial"/>
          <w:b/>
          <w:sz w:val="21"/>
          <w:szCs w:val="21"/>
        </w:rPr>
        <w:t>）价值时点原则</w:t>
      </w:r>
    </w:p>
    <w:p w14:paraId="5C96904C">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172A8AAE">
      <w:pPr>
        <w:wordWrap w:val="0"/>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5616EB3C">
      <w:pPr>
        <w:wordWrap w:val="0"/>
        <w:overflowPunct w:val="0"/>
        <w:spacing w:line="480" w:lineRule="auto"/>
        <w:jc w:val="both"/>
        <w:textAlignment w:val="auto"/>
        <w:rPr>
          <w:rFonts w:ascii="Arial" w:hAnsi="Arial" w:cs="Arial"/>
          <w:b/>
          <w:sz w:val="21"/>
          <w:szCs w:val="21"/>
        </w:rPr>
      </w:pPr>
      <w:r>
        <w:rPr>
          <w:rFonts w:hint="eastAsia" w:ascii="Arial" w:hAnsi="Arial" w:cs="Arial"/>
          <w:b/>
          <w:sz w:val="21"/>
          <w:szCs w:val="21"/>
        </w:rPr>
        <w:t>（六）一贯性原则</w:t>
      </w:r>
    </w:p>
    <w:p w14:paraId="484B353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在不同时间为了同一估价目的对同一或同类房地产再次或多次进行估价时，应采用相同的估价方法或对待方式。</w:t>
      </w:r>
    </w:p>
    <w:p w14:paraId="08453F59">
      <w:pPr>
        <w:wordWrap w:val="0"/>
        <w:overflowPunct w:val="0"/>
        <w:spacing w:line="480" w:lineRule="auto"/>
        <w:ind w:firstLine="420" w:firstLineChars="200"/>
        <w:jc w:val="both"/>
        <w:textAlignment w:val="auto"/>
        <w:rPr>
          <w:rFonts w:ascii="Arial" w:hAnsi="Arial" w:cs="Arial"/>
          <w:sz w:val="21"/>
          <w:szCs w:val="21"/>
        </w:rPr>
      </w:pPr>
    </w:p>
    <w:p w14:paraId="639BEDEE">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bookmarkStart w:id="33" w:name="_Toc168225820"/>
      <w:bookmarkStart w:id="34" w:name="_Toc155267093"/>
      <w:r>
        <w:rPr>
          <w:rFonts w:eastAsia="宋体"/>
          <w:kern w:val="2"/>
          <w:sz w:val="21"/>
          <w:szCs w:val="21"/>
        </w:rPr>
        <w:t>八、估价</w:t>
      </w:r>
      <w:bookmarkEnd w:id="33"/>
      <w:r>
        <w:rPr>
          <w:rFonts w:eastAsia="宋体"/>
          <w:kern w:val="2"/>
          <w:sz w:val="21"/>
          <w:szCs w:val="21"/>
        </w:rPr>
        <w:t>依据</w:t>
      </w:r>
      <w:bookmarkEnd w:id="34"/>
    </w:p>
    <w:p w14:paraId="7003B0EE">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w:t>
      </w:r>
    </w:p>
    <w:p w14:paraId="58A782C3">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 《中华人民共和国土地管理法》（2019年8月26日第十三届全国人民代表大会常务委员会第十二次会议第三次修正通过，自2020年1月1日起施行）</w:t>
      </w:r>
    </w:p>
    <w:p w14:paraId="2D5046B0">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2.《中华人民共和国资产评估法》（2016年7月2日第十二届全国人民代表大会常务委员会第二十一次会议通过 2016年3月16日中华人民共和国主席令第46号公布 自2016年12月1日起施行）</w:t>
      </w:r>
    </w:p>
    <w:p w14:paraId="7BB48B3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3.《中华人民共和国城镇国有土地使用权出让和转让暂行条例》（1</w:t>
      </w:r>
      <w:r>
        <w:rPr>
          <w:rFonts w:ascii="Arial" w:hAnsi="Arial" w:cs="Arial"/>
          <w:sz w:val="21"/>
          <w:szCs w:val="21"/>
        </w:rPr>
        <w:t>990</w:t>
      </w:r>
      <w:r>
        <w:rPr>
          <w:rFonts w:hint="eastAsia" w:ascii="Arial" w:hAnsi="Arial" w:cs="Arial"/>
          <w:sz w:val="21"/>
          <w:szCs w:val="21"/>
        </w:rPr>
        <w:t>年5月1</w:t>
      </w:r>
      <w:r>
        <w:rPr>
          <w:rFonts w:ascii="Arial" w:hAnsi="Arial" w:cs="Arial"/>
          <w:sz w:val="21"/>
          <w:szCs w:val="21"/>
        </w:rPr>
        <w:t>9</w:t>
      </w:r>
      <w:r>
        <w:rPr>
          <w:rFonts w:hint="eastAsia" w:ascii="Arial" w:hAnsi="Arial" w:cs="Arial"/>
          <w:sz w:val="21"/>
          <w:szCs w:val="21"/>
        </w:rPr>
        <w:t>日中华人民共和国国务院令第5</w:t>
      </w:r>
      <w:r>
        <w:rPr>
          <w:rFonts w:ascii="Arial" w:hAnsi="Arial" w:cs="Arial"/>
          <w:sz w:val="21"/>
          <w:szCs w:val="21"/>
        </w:rPr>
        <w:t>5</w:t>
      </w:r>
      <w:r>
        <w:rPr>
          <w:rFonts w:hint="eastAsia" w:ascii="Arial" w:hAnsi="Arial" w:cs="Arial"/>
          <w:sz w:val="21"/>
          <w:szCs w:val="21"/>
        </w:rPr>
        <w:t>号发布　根据2</w:t>
      </w:r>
      <w:r>
        <w:rPr>
          <w:rFonts w:ascii="Arial" w:hAnsi="Arial" w:cs="Arial"/>
          <w:sz w:val="21"/>
          <w:szCs w:val="21"/>
        </w:rPr>
        <w:t>020</w:t>
      </w:r>
      <w:r>
        <w:rPr>
          <w:rFonts w:hint="eastAsia" w:ascii="Arial" w:hAnsi="Arial" w:cs="Arial"/>
          <w:sz w:val="21"/>
          <w:szCs w:val="21"/>
        </w:rPr>
        <w:t>年1</w:t>
      </w:r>
      <w:r>
        <w:rPr>
          <w:rFonts w:ascii="Arial" w:hAnsi="Arial" w:cs="Arial"/>
          <w:sz w:val="21"/>
          <w:szCs w:val="21"/>
        </w:rPr>
        <w:t>1</w:t>
      </w:r>
      <w:r>
        <w:rPr>
          <w:rFonts w:hint="eastAsia" w:ascii="Arial" w:hAnsi="Arial" w:cs="Arial"/>
          <w:sz w:val="21"/>
          <w:szCs w:val="21"/>
        </w:rPr>
        <w:t>月2</w:t>
      </w:r>
      <w:r>
        <w:rPr>
          <w:rFonts w:ascii="Arial" w:hAnsi="Arial" w:cs="Arial"/>
          <w:sz w:val="21"/>
          <w:szCs w:val="21"/>
        </w:rPr>
        <w:t>9</w:t>
      </w:r>
      <w:r>
        <w:rPr>
          <w:rFonts w:hint="eastAsia" w:ascii="Arial" w:hAnsi="Arial" w:cs="Arial"/>
          <w:sz w:val="21"/>
          <w:szCs w:val="21"/>
        </w:rPr>
        <w:t>日《国务院关于修改和废止部分行政法规的决定》修订）</w:t>
      </w:r>
    </w:p>
    <w:p w14:paraId="584E203D">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4.《中华人民共和国民法典》（2020年5月28日第十三届全国人大三次会议表决通过，自2021年1月1日起施行）</w:t>
      </w:r>
    </w:p>
    <w:p w14:paraId="48379ADA">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5.《中华人民共和国城市房地产管理法》（2019年8月26日第十三届全国人大常委会第十二次会议通过第三次修正，自2020年1月1日起施行）</w:t>
      </w:r>
    </w:p>
    <w:p w14:paraId="183C7D1B">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6</w:t>
      </w:r>
      <w:r>
        <w:rPr>
          <w:rFonts w:ascii="Arial" w:hAnsi="Arial" w:cs="Arial"/>
          <w:sz w:val="21"/>
          <w:szCs w:val="21"/>
        </w:rPr>
        <w:t>.</w:t>
      </w:r>
      <w:r>
        <w:rPr>
          <w:rFonts w:hint="eastAsia" w:ascii="Arial" w:hAnsi="Arial" w:cs="Arial"/>
          <w:sz w:val="21"/>
          <w:szCs w:val="21"/>
        </w:rPr>
        <w:t>《关于完善住房租赁有关税收政策的公告》（财务部 税务总局 住房城乡建设部公告2</w:t>
      </w:r>
      <w:r>
        <w:rPr>
          <w:rFonts w:ascii="Arial" w:hAnsi="Arial" w:cs="Arial"/>
          <w:sz w:val="21"/>
          <w:szCs w:val="21"/>
        </w:rPr>
        <w:t>021</w:t>
      </w:r>
      <w:r>
        <w:rPr>
          <w:rFonts w:hint="eastAsia" w:ascii="Arial" w:hAnsi="Arial" w:cs="Arial"/>
          <w:sz w:val="21"/>
          <w:szCs w:val="21"/>
        </w:rPr>
        <w:t>年第2</w:t>
      </w:r>
      <w:r>
        <w:rPr>
          <w:rFonts w:ascii="Arial" w:hAnsi="Arial" w:cs="Arial"/>
          <w:sz w:val="21"/>
          <w:szCs w:val="21"/>
        </w:rPr>
        <w:t>4</w:t>
      </w:r>
      <w:r>
        <w:rPr>
          <w:rFonts w:hint="eastAsia" w:ascii="Arial" w:hAnsi="Arial" w:cs="Arial"/>
          <w:sz w:val="21"/>
          <w:szCs w:val="21"/>
        </w:rPr>
        <w:t>号）</w:t>
      </w:r>
    </w:p>
    <w:p w14:paraId="63983B77">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7</w:t>
      </w:r>
      <w:r>
        <w:rPr>
          <w:rFonts w:ascii="Arial" w:hAnsi="Arial" w:cs="Arial"/>
          <w:sz w:val="21"/>
          <w:szCs w:val="21"/>
        </w:rPr>
        <w:t>.</w:t>
      </w:r>
      <w:r>
        <w:rPr>
          <w:rFonts w:hint="eastAsia"/>
        </w:rPr>
        <w:t xml:space="preserve"> 《</w:t>
      </w:r>
      <w:r>
        <w:rPr>
          <w:rFonts w:hint="eastAsia" w:ascii="Arial" w:hAnsi="Arial" w:cs="Arial"/>
          <w:sz w:val="21"/>
          <w:szCs w:val="21"/>
        </w:rPr>
        <w:t>国务院办公厅关于加快发展保障性租赁住房的意见</w:t>
      </w:r>
      <w:r>
        <w:rPr>
          <w:rFonts w:hint="eastAsia"/>
        </w:rPr>
        <w:t>》</w:t>
      </w:r>
      <w:r>
        <w:rPr>
          <w:rFonts w:hint="eastAsia" w:ascii="Arial" w:hAnsi="Arial" w:cs="Arial"/>
          <w:sz w:val="21"/>
          <w:szCs w:val="21"/>
        </w:rPr>
        <w:t>（国办发〔2021〕22号）</w:t>
      </w:r>
    </w:p>
    <w:p w14:paraId="622E2915">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8</w:t>
      </w:r>
      <w:r>
        <w:rPr>
          <w:rFonts w:ascii="Arial" w:hAnsi="Arial" w:cs="Arial"/>
          <w:sz w:val="21"/>
          <w:szCs w:val="21"/>
        </w:rPr>
        <w:t>.</w:t>
      </w:r>
      <w:r>
        <w:rPr>
          <w:rFonts w:hint="eastAsia"/>
        </w:rPr>
        <w:t xml:space="preserve"> </w:t>
      </w:r>
      <w:r>
        <w:rPr>
          <w:rFonts w:hint="eastAsia" w:ascii="Arial" w:hAnsi="Arial" w:cs="Arial"/>
          <w:sz w:val="21"/>
          <w:szCs w:val="21"/>
        </w:rPr>
        <w:t>《北京市住房和城乡建设委员会等四部门关于进一步规范本市新供住宅项目配建公租房、保障性租赁住房工作的通知》（京建发〔2021〕389号）</w:t>
      </w:r>
    </w:p>
    <w:p w14:paraId="1FEAF734">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9</w:t>
      </w:r>
      <w:r>
        <w:rPr>
          <w:rFonts w:ascii="Arial" w:hAnsi="Arial" w:cs="Arial"/>
          <w:sz w:val="21"/>
          <w:szCs w:val="21"/>
        </w:rPr>
        <w:t>.</w:t>
      </w:r>
      <w:r>
        <w:rPr>
          <w:rFonts w:hint="eastAsia" w:ascii="Arial" w:hAnsi="Arial" w:cs="Arial"/>
          <w:sz w:val="21"/>
          <w:szCs w:val="21"/>
        </w:rPr>
        <w:t xml:space="preserve"> 《北京市人民政府办公厅印发〈北京市关于加快发展保障性租赁住房的实施方案〉的通知》（京政办发〔2022〕9号）</w:t>
      </w:r>
    </w:p>
    <w:p w14:paraId="7B0421F6">
      <w:pPr>
        <w:wordWrap w:val="0"/>
        <w:overflowPunct w:val="0"/>
        <w:spacing w:line="480" w:lineRule="auto"/>
        <w:jc w:val="both"/>
        <w:textAlignment w:val="auto"/>
        <w:rPr>
          <w:rFonts w:hint="eastAsia" w:ascii="Arial" w:hAnsi="Arial" w:cs="Arial"/>
          <w:sz w:val="21"/>
          <w:szCs w:val="21"/>
        </w:rPr>
      </w:pPr>
      <w:r>
        <w:rPr>
          <w:rFonts w:ascii="Arial" w:hAnsi="Arial" w:cs="Arial"/>
          <w:sz w:val="21"/>
          <w:szCs w:val="21"/>
        </w:rPr>
        <w:t>10.</w:t>
      </w:r>
      <w:r>
        <w:rPr>
          <w:rFonts w:hint="eastAsia" w:ascii="Arial" w:hAnsi="Arial" w:cs="Arial"/>
          <w:sz w:val="21"/>
          <w:szCs w:val="21"/>
        </w:rPr>
        <w:t>《北京市住房和城乡建设委员会 北京市发展和改革委员会 北京市规划和自然资源委员会关于印发2022年全市首</w:t>
      </w:r>
      <w:commentRangeStart w:id="5"/>
      <w:r>
        <w:rPr>
          <w:rFonts w:hint="eastAsia" w:ascii="Arial" w:hAnsi="Arial" w:cs="Arial"/>
          <w:sz w:val="21"/>
          <w:szCs w:val="21"/>
        </w:rPr>
        <w:t>批保障性住房开竣工项目建设计划</w:t>
      </w:r>
      <w:commentRangeEnd w:id="5"/>
      <w:r>
        <w:rPr>
          <w:rStyle w:val="40"/>
        </w:rPr>
        <w:commentReference w:id="5"/>
      </w:r>
      <w:r>
        <w:rPr>
          <w:rFonts w:hint="eastAsia" w:ascii="Arial" w:hAnsi="Arial" w:cs="Arial"/>
          <w:sz w:val="21"/>
          <w:szCs w:val="21"/>
        </w:rPr>
        <w:t>的通知》（京建发[2022]121号）</w:t>
      </w:r>
    </w:p>
    <w:p w14:paraId="7596F658">
      <w:pPr>
        <w:wordWrap w:val="0"/>
        <w:overflowPunct w:val="0"/>
        <w:spacing w:line="480" w:lineRule="auto"/>
        <w:jc w:val="both"/>
        <w:textAlignment w:val="auto"/>
        <w:rPr>
          <w:rFonts w:hint="eastAsia" w:ascii="Arial" w:hAnsi="Arial" w:eastAsia="宋体" w:cs="Arial"/>
          <w:sz w:val="21"/>
          <w:szCs w:val="21"/>
          <w:lang w:eastAsia="zh-CN"/>
        </w:rPr>
      </w:pPr>
      <w:r>
        <w:rPr>
          <w:rFonts w:hint="eastAsia" w:ascii="Arial" w:hAnsi="Arial" w:cs="Arial"/>
          <w:sz w:val="21"/>
          <w:szCs w:val="21"/>
          <w:lang w:val="en-US" w:eastAsia="zh-CN"/>
        </w:rPr>
        <w:t>11.</w:t>
      </w:r>
      <w:r>
        <w:rPr>
          <w:rFonts w:hint="eastAsia" w:ascii="Arial" w:hAnsi="Arial" w:cs="Arial"/>
          <w:sz w:val="21"/>
          <w:szCs w:val="21"/>
        </w:rPr>
        <w:t>《住房租赁条例》</w:t>
      </w:r>
      <w:r>
        <w:rPr>
          <w:rFonts w:hint="eastAsia" w:ascii="Arial" w:hAnsi="Arial" w:cs="Arial"/>
          <w:sz w:val="21"/>
          <w:szCs w:val="21"/>
          <w:lang w:eastAsia="zh-CN"/>
        </w:rPr>
        <w:t>（</w:t>
      </w:r>
      <w:r>
        <w:rPr>
          <w:rFonts w:hint="eastAsia" w:ascii="Arial" w:hAnsi="Arial" w:cs="Arial"/>
          <w:sz w:val="21"/>
          <w:szCs w:val="21"/>
        </w:rPr>
        <w:t>国务院令第812号</w:t>
      </w:r>
      <w:r>
        <w:rPr>
          <w:rFonts w:hint="eastAsia" w:ascii="Arial" w:hAnsi="Arial" w:cs="Arial"/>
          <w:sz w:val="21"/>
          <w:szCs w:val="21"/>
          <w:lang w:eastAsia="zh-CN"/>
        </w:rPr>
        <w:t>）</w:t>
      </w:r>
    </w:p>
    <w:p w14:paraId="4E39EFC2">
      <w:pPr>
        <w:wordWrap w:val="0"/>
        <w:overflowPunct w:val="0"/>
        <w:spacing w:line="480" w:lineRule="auto"/>
        <w:jc w:val="both"/>
        <w:textAlignment w:val="auto"/>
        <w:rPr>
          <w:rFonts w:ascii="Arial" w:hAnsi="Arial" w:cs="Arial"/>
          <w:sz w:val="21"/>
          <w:szCs w:val="21"/>
        </w:rPr>
      </w:pPr>
      <w:r>
        <w:rPr>
          <w:rFonts w:hint="eastAsia" w:ascii="Arial" w:hAnsi="Arial" w:cs="Arial"/>
          <w:sz w:val="21"/>
          <w:szCs w:val="21"/>
        </w:rPr>
        <w:t>1</w:t>
      </w:r>
      <w:r>
        <w:rPr>
          <w:rFonts w:hint="eastAsia" w:ascii="Arial" w:hAnsi="Arial" w:cs="Arial"/>
          <w:sz w:val="21"/>
          <w:szCs w:val="21"/>
          <w:lang w:val="en-US" w:eastAsia="zh-CN"/>
        </w:rPr>
        <w:t>2</w:t>
      </w:r>
      <w:r>
        <w:rPr>
          <w:rFonts w:hint="eastAsia" w:ascii="Arial" w:hAnsi="Arial" w:cs="Arial"/>
          <w:sz w:val="21"/>
          <w:szCs w:val="21"/>
        </w:rPr>
        <w:t>.《北京市保障性租赁住房建设导则（试行）》（京建发〔2022〕105号）</w:t>
      </w:r>
    </w:p>
    <w:p w14:paraId="1FAFC4A3">
      <w:pPr>
        <w:wordWrap w:val="0"/>
        <w:overflowPunct w:val="0"/>
        <w:spacing w:line="480" w:lineRule="auto"/>
        <w:jc w:val="both"/>
        <w:textAlignment w:val="auto"/>
        <w:rPr>
          <w:rFonts w:ascii="Arial" w:hAnsi="Arial" w:cs="Arial"/>
          <w:sz w:val="21"/>
          <w:szCs w:val="21"/>
        </w:rPr>
      </w:pPr>
      <w:r>
        <w:rPr>
          <w:rFonts w:ascii="Arial" w:hAnsi="Arial" w:cs="Arial"/>
          <w:b/>
          <w:sz w:val="21"/>
          <w:szCs w:val="21"/>
        </w:rPr>
        <w:t>（</w:t>
      </w:r>
      <w:r>
        <w:rPr>
          <w:rFonts w:hint="eastAsia" w:ascii="Arial" w:hAnsi="Arial" w:cs="Arial"/>
          <w:b/>
          <w:sz w:val="21"/>
          <w:szCs w:val="21"/>
        </w:rPr>
        <w:t>二</w:t>
      </w:r>
      <w:r>
        <w:rPr>
          <w:rFonts w:ascii="Arial" w:hAnsi="Arial" w:cs="Arial"/>
          <w:b/>
          <w:sz w:val="21"/>
          <w:szCs w:val="21"/>
        </w:rPr>
        <w:t>）</w:t>
      </w:r>
      <w:r>
        <w:rPr>
          <w:rFonts w:hint="eastAsia" w:ascii="Arial" w:hAnsi="Arial" w:cs="Arial"/>
          <w:b/>
          <w:sz w:val="21"/>
          <w:szCs w:val="21"/>
        </w:rPr>
        <w:t>技术标准</w:t>
      </w:r>
    </w:p>
    <w:p w14:paraId="35176EEB">
      <w:pPr>
        <w:numPr>
          <w:ilvl w:val="0"/>
          <w:numId w:val="6"/>
        </w:numPr>
        <w:wordWrap w:val="0"/>
        <w:overflowPunct w:val="0"/>
        <w:spacing w:line="480" w:lineRule="auto"/>
        <w:ind w:left="0" w:firstLine="0"/>
        <w:jc w:val="both"/>
        <w:textAlignment w:val="auto"/>
        <w:rPr>
          <w:rFonts w:ascii="Arial" w:hAnsi="Arial" w:cs="Arial"/>
          <w:sz w:val="21"/>
          <w:szCs w:val="21"/>
        </w:rPr>
      </w:pPr>
      <w:r>
        <w:rPr>
          <w:rFonts w:ascii="Arial" w:hAnsi="Arial" w:cs="Arial"/>
          <w:sz w:val="21"/>
          <w:szCs w:val="21"/>
        </w:rPr>
        <w:t>《房地产估价规范》[GB/T</w:t>
      </w:r>
      <w:r>
        <w:rPr>
          <w:rFonts w:hint="eastAsia" w:ascii="Arial" w:hAnsi="Arial" w:cs="Arial"/>
          <w:sz w:val="21"/>
          <w:szCs w:val="21"/>
        </w:rPr>
        <w:t xml:space="preserve"> </w:t>
      </w:r>
      <w:r>
        <w:rPr>
          <w:rFonts w:ascii="Arial" w:hAnsi="Arial" w:cs="Arial"/>
          <w:sz w:val="21"/>
          <w:szCs w:val="21"/>
        </w:rPr>
        <w:t>50291-2015]</w:t>
      </w:r>
    </w:p>
    <w:p w14:paraId="5F06EEB5">
      <w:pPr>
        <w:numPr>
          <w:ilvl w:val="0"/>
          <w:numId w:val="6"/>
        </w:numPr>
        <w:wordWrap w:val="0"/>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w:t>
      </w:r>
      <w:r>
        <w:rPr>
          <w:rFonts w:ascii="Arial" w:hAnsi="Arial" w:cs="Arial"/>
          <w:sz w:val="21"/>
          <w:szCs w:val="21"/>
        </w:rPr>
        <w:t>房地产估价基本术语标</w:t>
      </w:r>
      <w:r>
        <w:rPr>
          <w:rFonts w:hint="eastAsia" w:ascii="Arial" w:hAnsi="Arial" w:cs="Arial"/>
          <w:sz w:val="21"/>
          <w:szCs w:val="21"/>
        </w:rPr>
        <w:t>准》</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50899-2013]</w:t>
      </w:r>
    </w:p>
    <w:p w14:paraId="28007E95">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hint="eastAsia" w:ascii="Arial" w:hAnsi="Arial" w:cs="Arial"/>
          <w:b/>
          <w:sz w:val="21"/>
          <w:szCs w:val="21"/>
        </w:rPr>
        <w:t>三</w:t>
      </w:r>
      <w:r>
        <w:rPr>
          <w:rFonts w:ascii="Arial" w:hAnsi="Arial" w:cs="Arial"/>
          <w:b/>
          <w:sz w:val="21"/>
          <w:szCs w:val="21"/>
        </w:rPr>
        <w:t>）估价委托人提供的资料</w:t>
      </w:r>
    </w:p>
    <w:p w14:paraId="3604D207">
      <w:pPr>
        <w:numPr>
          <w:ilvl w:val="0"/>
          <w:numId w:val="7"/>
        </w:numPr>
        <w:overflowPunct w:val="0"/>
        <w:spacing w:line="480" w:lineRule="auto"/>
        <w:ind w:left="0" w:firstLine="0"/>
        <w:jc w:val="both"/>
        <w:textAlignment w:val="auto"/>
        <w:rPr>
          <w:rFonts w:ascii="Arial" w:hAnsi="Arial" w:cs="Arial"/>
          <w:sz w:val="21"/>
          <w:szCs w:val="21"/>
        </w:rPr>
      </w:pPr>
      <w:r>
        <w:rPr>
          <w:rFonts w:hint="eastAsia" w:ascii="Arial" w:hAnsi="Arial" w:cs="Arial"/>
          <w:sz w:val="21"/>
          <w:szCs w:val="21"/>
        </w:rPr>
        <w:t>《估价委托书》</w:t>
      </w:r>
    </w:p>
    <w:p w14:paraId="71FA1D59">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2344D220">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223DD398">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38EB2A03">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《北京市保障性住房收购合同》及其附件复印件</w:t>
      </w:r>
    </w:p>
    <w:p w14:paraId="30B78CFB">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《不动产权证书》[京（2026）大不动产权第0006767、0006768、0006769、0003772、0006911、0006930号]部分复印件</w:t>
      </w:r>
    </w:p>
    <w:p w14:paraId="0CA85580">
      <w:pPr>
        <w:numPr>
          <w:ilvl w:val="0"/>
          <w:numId w:val="7"/>
        </w:numPr>
        <w:overflowPunct w:val="0"/>
        <w:spacing w:line="480" w:lineRule="auto"/>
        <w:jc w:val="both"/>
        <w:textAlignment w:val="auto"/>
        <w:rPr>
          <w:rFonts w:ascii="Arial" w:hAnsi="Arial" w:cs="Arial"/>
          <w:sz w:val="21"/>
          <w:szCs w:val="21"/>
        </w:rPr>
      </w:pPr>
      <w:r>
        <w:rPr>
          <w:rFonts w:hint="eastAsia" w:ascii="Arial" w:hAnsi="Arial" w:cs="Arial"/>
          <w:sz w:val="21"/>
          <w:szCs w:val="21"/>
        </w:rPr>
        <w:t>估价委托人《营业执照（副本）》复印件</w:t>
      </w:r>
    </w:p>
    <w:p w14:paraId="30E4BA96">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（四）评估专业人员实地查勘的有关资料</w:t>
      </w:r>
    </w:p>
    <w:p w14:paraId="51D6D0FA">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w:t>
      </w:r>
      <w:r>
        <w:rPr>
          <w:rFonts w:hint="eastAsia" w:ascii="Arial" w:hAnsi="Arial" w:cs="Arial"/>
          <w:b/>
          <w:sz w:val="21"/>
          <w:szCs w:val="21"/>
        </w:rPr>
        <w:t>房地产</w:t>
      </w:r>
      <w:r>
        <w:rPr>
          <w:rFonts w:ascii="Arial" w:hAnsi="Arial" w:cs="Arial"/>
          <w:b/>
          <w:sz w:val="21"/>
          <w:szCs w:val="21"/>
        </w:rPr>
        <w:t>估价机构资质证书</w:t>
      </w:r>
    </w:p>
    <w:p w14:paraId="391BE169">
      <w:pPr>
        <w:wordWrap w:val="0"/>
        <w:overflowPunct w:val="0"/>
        <w:spacing w:line="360" w:lineRule="auto"/>
        <w:ind w:firstLine="420" w:firstLineChars="200"/>
        <w:jc w:val="both"/>
        <w:textAlignment w:val="auto"/>
        <w:rPr>
          <w:rFonts w:ascii="Arial" w:hAnsi="Arial" w:cs="Arial"/>
          <w:sz w:val="21"/>
          <w:szCs w:val="21"/>
        </w:rPr>
      </w:pPr>
      <w:bookmarkStart w:id="35" w:name="_Toc168225821"/>
    </w:p>
    <w:p w14:paraId="7DA343C5">
      <w:pPr>
        <w:pStyle w:val="3"/>
        <w:numPr>
          <w:ilvl w:val="0"/>
          <w:numId w:val="8"/>
        </w:numPr>
        <w:wordWrap w:val="0"/>
        <w:overflowPunct w:val="0"/>
        <w:spacing w:line="480" w:lineRule="auto"/>
        <w:ind w:left="358" w:hanging="358"/>
        <w:jc w:val="both"/>
        <w:textAlignment w:val="auto"/>
        <w:rPr>
          <w:rFonts w:eastAsia="宋体"/>
          <w:kern w:val="2"/>
          <w:sz w:val="21"/>
          <w:szCs w:val="21"/>
        </w:rPr>
      </w:pPr>
      <w:bookmarkStart w:id="36" w:name="_Toc155267094"/>
      <w:r>
        <w:rPr>
          <w:rFonts w:eastAsia="宋体"/>
          <w:kern w:val="2"/>
          <w:sz w:val="21"/>
          <w:szCs w:val="21"/>
        </w:rPr>
        <w:t>估价方法</w:t>
      </w:r>
      <w:bookmarkEnd w:id="35"/>
      <w:bookmarkEnd w:id="36"/>
    </w:p>
    <w:p w14:paraId="7B6BD978">
      <w:pPr>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p>
    <w:p w14:paraId="7382C900">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（一）估价思路</w:t>
      </w:r>
      <w:r>
        <w:rPr>
          <w:rFonts w:ascii="Arial" w:hAnsi="Arial" w:cs="Arial"/>
          <w:b/>
          <w:sz w:val="21"/>
          <w:szCs w:val="21"/>
        </w:rPr>
        <w:t xml:space="preserve"> </w:t>
      </w:r>
    </w:p>
    <w:p w14:paraId="7B66014E">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134CF45E">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566"/>
        <w:gridCol w:w="1693"/>
        <w:gridCol w:w="1557"/>
        <w:gridCol w:w="1491"/>
        <w:gridCol w:w="1491"/>
      </w:tblGrid>
      <w:tr w14:paraId="0F3DF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A476456">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566" w:type="dxa"/>
          </w:tcPr>
          <w:p w14:paraId="6FE0F4D5">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241D750F">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192086A9">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0FDABC71">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557BF39F">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00D9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7A9A06F">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566" w:type="dxa"/>
          </w:tcPr>
          <w:p w14:paraId="217CAA07">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4693910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62.64</w:t>
            </w:r>
          </w:p>
        </w:tc>
        <w:tc>
          <w:tcPr>
            <w:tcW w:w="1557" w:type="dxa"/>
          </w:tcPr>
          <w:p w14:paraId="262EB1A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68610DEE">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E605640">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11B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3BB144FF">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566" w:type="dxa"/>
          </w:tcPr>
          <w:p w14:paraId="1AB0C98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w:t>
            </w:r>
            <w:r>
              <w:rPr>
                <w:rFonts w:ascii="Arial" w:hAnsi="Arial" w:eastAsia="华文细黑" w:cs="Arial"/>
                <w:sz w:val="18"/>
                <w:szCs w:val="18"/>
              </w:rPr>
              <w:t>居室</w:t>
            </w:r>
          </w:p>
        </w:tc>
        <w:tc>
          <w:tcPr>
            <w:tcW w:w="1693" w:type="dxa"/>
          </w:tcPr>
          <w:p w14:paraId="0B2EF0CB">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84.11</w:t>
            </w:r>
          </w:p>
        </w:tc>
        <w:tc>
          <w:tcPr>
            <w:tcW w:w="1557" w:type="dxa"/>
          </w:tcPr>
          <w:p w14:paraId="22D8658D">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62BCA8D7">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AA6190B">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B56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DA79F58">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566" w:type="dxa"/>
          </w:tcPr>
          <w:p w14:paraId="1298CAA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0AA296A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115.8</w:t>
            </w:r>
          </w:p>
        </w:tc>
        <w:tc>
          <w:tcPr>
            <w:tcW w:w="1557" w:type="dxa"/>
          </w:tcPr>
          <w:p w14:paraId="1A792F9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3622DDC4">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2A266FE">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0D58740F">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1569247D">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p>
    <w:p w14:paraId="7DA99C5C">
      <w:pPr>
        <w:pStyle w:val="60"/>
        <w:wordWrap w:val="0"/>
        <w:overflowPunct w:val="0"/>
        <w:autoSpaceDE w:val="0"/>
        <w:autoSpaceDN w:val="0"/>
        <w:spacing w:line="480" w:lineRule="auto"/>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6EE0642A">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316F8B15">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1F3766CB">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p>
    <w:p w14:paraId="2B6F3C22">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6562BBA4">
      <w:pPr>
        <w:pStyle w:val="60"/>
        <w:wordWrap w:val="0"/>
        <w:overflowPunct w:val="0"/>
        <w:autoSpaceDE w:val="0"/>
        <w:autoSpaceDN w:val="0"/>
        <w:spacing w:line="480" w:lineRule="auto"/>
        <w:ind w:firstLine="420"/>
        <w:jc w:val="both"/>
        <w:textAlignment w:val="auto"/>
        <w:rPr>
          <w:rFonts w:ascii="Arial" w:hAnsi="Arial" w:cs="Arial"/>
          <w:sz w:val="21"/>
          <w:szCs w:val="21"/>
        </w:rPr>
      </w:pPr>
      <w:r>
        <w:rPr>
          <w:rFonts w:hint="eastAsia" w:hAnsi="宋体" w:cs="Arial"/>
          <w:sz w:val="21"/>
          <w:szCs w:val="21"/>
        </w:rPr>
        <w:t>（1）估价对象适用比较法，且已优先采用比较法进行评估，故不再采用成本法进行测算。</w:t>
      </w:r>
    </w:p>
    <w:p w14:paraId="17C573DF">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0CFAFE11">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hint="eastAsia" w:hAnsi="宋体" w:cs="Arial"/>
          <w:sz w:val="21"/>
          <w:szCs w:val="21"/>
        </w:rPr>
        <w:t>（3）</w:t>
      </w:r>
      <w:r>
        <w:rPr>
          <w:rFonts w:ascii="Arial" w:hAnsi="Arial" w:cs="Arial"/>
          <w:sz w:val="21"/>
          <w:szCs w:val="21"/>
        </w:rPr>
        <w:t>收益法适用于有现实收益或潜在收益的土地或房地产估价。估价对象用途</w:t>
      </w:r>
      <w:r>
        <w:rPr>
          <w:rFonts w:hint="eastAsia" w:ascii="Arial" w:hAnsi="Arial" w:cs="Arial"/>
          <w:kern w:val="2"/>
          <w:sz w:val="21"/>
          <w:szCs w:val="21"/>
        </w:rPr>
        <w:t>设定为保障性租赁住房</w:t>
      </w:r>
      <w:r>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ascii="Arial" w:hAnsi="Arial" w:cs="Arial"/>
          <w:sz w:val="21"/>
          <w:szCs w:val="21"/>
        </w:rPr>
        <w:t>公寓</w:t>
      </w:r>
      <w:r>
        <w:rPr>
          <w:rFonts w:ascii="Arial" w:hAnsi="Arial" w:cs="Arial"/>
          <w:sz w:val="21"/>
          <w:szCs w:val="21"/>
        </w:rPr>
        <w:t>业态租售比差距较大，采用房屋交易价格测算出的房屋租金不能反映正常的市场租金水平，故未采用收益法</w:t>
      </w:r>
      <w:r>
        <w:rPr>
          <w:rFonts w:hint="eastAsia" w:ascii="Arial" w:hAnsi="Arial" w:cs="Arial"/>
          <w:sz w:val="21"/>
          <w:szCs w:val="21"/>
        </w:rPr>
        <w:t>。</w:t>
      </w:r>
      <w:r>
        <w:rPr>
          <w:rFonts w:ascii="Arial" w:hAnsi="Arial" w:cs="Arial"/>
          <w:sz w:val="21"/>
          <w:szCs w:val="21"/>
        </w:rPr>
        <w:t xml:space="preserve"> </w:t>
      </w:r>
    </w:p>
    <w:p w14:paraId="274FCABD">
      <w:pPr>
        <w:rPr>
          <w:rFonts w:eastAsia="宋体"/>
          <w:kern w:val="2"/>
          <w:sz w:val="21"/>
          <w:szCs w:val="21"/>
        </w:rPr>
      </w:pPr>
      <w:bookmarkStart w:id="37" w:name="_Toc155267095"/>
      <w:bookmarkStart w:id="38" w:name="_Toc168225822"/>
      <w:r>
        <w:rPr>
          <w:rFonts w:eastAsia="宋体"/>
          <w:kern w:val="2"/>
          <w:sz w:val="21"/>
          <w:szCs w:val="21"/>
        </w:rPr>
        <w:br w:type="page"/>
      </w:r>
    </w:p>
    <w:p w14:paraId="13F193AB">
      <w:pPr>
        <w:pStyle w:val="3"/>
        <w:numPr>
          <w:ilvl w:val="0"/>
          <w:numId w:val="0"/>
        </w:numPr>
        <w:wordWrap w:val="0"/>
        <w:overflowPunct w:val="0"/>
        <w:spacing w:line="480" w:lineRule="auto"/>
        <w:ind w:left="358" w:hanging="358" w:hangingChars="170"/>
        <w:jc w:val="both"/>
        <w:textAlignment w:val="auto"/>
        <w:rPr>
          <w:rFonts w:eastAsia="宋体"/>
          <w:kern w:val="2"/>
          <w:sz w:val="21"/>
          <w:szCs w:val="21"/>
        </w:rPr>
      </w:pPr>
      <w:r>
        <w:rPr>
          <w:rFonts w:eastAsia="宋体"/>
          <w:kern w:val="2"/>
          <w:sz w:val="21"/>
          <w:szCs w:val="21"/>
        </w:rPr>
        <w:t>十、估价结果</w:t>
      </w:r>
      <w:bookmarkEnd w:id="37"/>
      <w:bookmarkEnd w:id="38"/>
    </w:p>
    <w:p w14:paraId="35BAB128">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 xml:space="preserve">（埝坛华庭）保障性租赁住房（住宅型）项目于价值时点2026年4月7日同地段、同品质市场租赁住房租金为： </w:t>
      </w:r>
    </w:p>
    <w:p w14:paraId="562B218C">
      <w:pPr>
        <w:tabs>
          <w:tab w:val="left" w:pos="3360"/>
        </w:tabs>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一居室（62.64-62.73</w:t>
      </w:r>
      <w:r>
        <w:rPr>
          <w:rFonts w:ascii="Arial" w:hAnsi="Arial" w:cs="Arial"/>
          <w:b/>
          <w:bCs/>
          <w:sz w:val="21"/>
          <w:szCs w:val="21"/>
        </w:rPr>
        <w:t>平方米）</w:t>
      </w:r>
      <w:r>
        <w:rPr>
          <w:rFonts w:hint="eastAsia" w:ascii="Arial" w:hAnsi="Arial" w:cs="Arial"/>
          <w:b/>
          <w:bCs/>
          <w:sz w:val="21"/>
          <w:szCs w:val="21"/>
        </w:rPr>
        <w:t>：49.73元/平方米·月</w:t>
      </w:r>
    </w:p>
    <w:p w14:paraId="4FB2E5C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两居室（84.11-88.94</w:t>
      </w:r>
      <w:r>
        <w:rPr>
          <w:rFonts w:ascii="Arial" w:hAnsi="Arial" w:cs="Arial"/>
          <w:b/>
          <w:bCs/>
          <w:sz w:val="21"/>
          <w:szCs w:val="21"/>
        </w:rPr>
        <w:t>平方米）</w:t>
      </w:r>
      <w:r>
        <w:rPr>
          <w:rFonts w:hint="eastAsia" w:ascii="Arial" w:hAnsi="Arial" w:cs="Arial"/>
          <w:b/>
          <w:bCs/>
          <w:sz w:val="21"/>
          <w:szCs w:val="21"/>
        </w:rPr>
        <w:t>：41.74元/平方米·月</w:t>
      </w:r>
    </w:p>
    <w:p w14:paraId="1D25EF0B">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三居室（115.8-116.74</w:t>
      </w:r>
      <w:r>
        <w:rPr>
          <w:rFonts w:ascii="Arial" w:hAnsi="Arial" w:cs="Arial"/>
          <w:b/>
          <w:bCs/>
          <w:sz w:val="21"/>
          <w:szCs w:val="21"/>
        </w:rPr>
        <w:t>平方米</w:t>
      </w:r>
      <w:r>
        <w:rPr>
          <w:rFonts w:hint="eastAsia" w:ascii="Arial" w:hAnsi="Arial" w:cs="Arial"/>
          <w:b/>
          <w:bCs/>
          <w:sz w:val="21"/>
          <w:szCs w:val="21"/>
        </w:rPr>
        <w:t>）：40.76元/平方米·月</w:t>
      </w:r>
    </w:p>
    <w:p w14:paraId="5350341D">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综合租金：41.83元/平方米·月</w:t>
      </w:r>
    </w:p>
    <w:p w14:paraId="46EC2270">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6BF1FDB9">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r>
        <w:rPr>
          <w:rFonts w:ascii="Arial" w:hAnsi="Arial" w:cs="Arial"/>
          <w:sz w:val="18"/>
          <w:szCs w:val="18"/>
        </w:rPr>
        <w:t xml:space="preserve"> </w:t>
      </w:r>
    </w:p>
    <w:p w14:paraId="3D9F96A5">
      <w:pPr>
        <w:pStyle w:val="3"/>
        <w:numPr>
          <w:ilvl w:val="0"/>
          <w:numId w:val="0"/>
        </w:numPr>
        <w:overflowPunct w:val="0"/>
        <w:spacing w:line="480" w:lineRule="auto"/>
        <w:jc w:val="both"/>
        <w:textAlignment w:val="auto"/>
        <w:rPr>
          <w:rFonts w:eastAsia="宋体"/>
          <w:kern w:val="2"/>
          <w:sz w:val="21"/>
          <w:szCs w:val="21"/>
        </w:rPr>
      </w:pPr>
      <w:bookmarkStart w:id="39" w:name="_Toc168225824"/>
      <w:bookmarkStart w:id="40" w:name="_Toc155267096"/>
      <w:r>
        <w:rPr>
          <w:rFonts w:eastAsia="宋体"/>
          <w:kern w:val="2"/>
          <w:sz w:val="21"/>
          <w:szCs w:val="21"/>
        </w:rPr>
        <w:br w:type="page"/>
      </w:r>
      <w:r>
        <w:rPr>
          <w:rFonts w:eastAsia="宋体"/>
          <w:kern w:val="2"/>
          <w:sz w:val="21"/>
          <w:szCs w:val="21"/>
        </w:rPr>
        <w:t>十</w:t>
      </w:r>
      <w:bookmarkEnd w:id="39"/>
      <w:r>
        <w:rPr>
          <w:rFonts w:eastAsia="宋体"/>
          <w:kern w:val="2"/>
          <w:sz w:val="21"/>
          <w:szCs w:val="21"/>
        </w:rPr>
        <w:t>一、参与本次估价工作的</w:t>
      </w:r>
      <w:r>
        <w:rPr>
          <w:rFonts w:hint="eastAsia" w:eastAsia="宋体"/>
          <w:kern w:val="2"/>
          <w:sz w:val="21"/>
          <w:szCs w:val="21"/>
        </w:rPr>
        <w:t>评估专业</w:t>
      </w:r>
      <w:r>
        <w:rPr>
          <w:rFonts w:eastAsia="宋体"/>
          <w:kern w:val="2"/>
          <w:sz w:val="21"/>
          <w:szCs w:val="21"/>
        </w:rPr>
        <w:t>人员</w:t>
      </w:r>
      <w:bookmarkEnd w:id="40"/>
    </w:p>
    <w:tbl>
      <w:tblPr>
        <w:tblStyle w:val="33"/>
        <w:tblW w:w="9299" w:type="dxa"/>
        <w:jc w:val="center"/>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Layout w:type="fixed"/>
        <w:tblCellMar>
          <w:top w:w="85" w:type="dxa"/>
          <w:left w:w="28" w:type="dxa"/>
          <w:bottom w:w="85" w:type="dxa"/>
          <w:right w:w="28" w:type="dxa"/>
        </w:tblCellMar>
      </w:tblPr>
      <w:tblGrid>
        <w:gridCol w:w="1746"/>
        <w:gridCol w:w="2197"/>
        <w:gridCol w:w="2774"/>
        <w:gridCol w:w="2582"/>
      </w:tblGrid>
      <w:tr w14:paraId="2B406539">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tcBorders>
              <w:bottom w:val="single" w:color="404040" w:sz="2" w:space="0"/>
            </w:tcBorders>
            <w:vAlign w:val="center"/>
          </w:tcPr>
          <w:p w14:paraId="2E631C46">
            <w:pPr>
              <w:tabs>
                <w:tab w:val="left" w:pos="5160"/>
              </w:tabs>
              <w:overflowPunct w:val="0"/>
              <w:spacing w:line="240" w:lineRule="auto"/>
              <w:rPr>
                <w:rFonts w:ascii="Arial" w:hAnsi="Arial" w:cs="Arial"/>
                <w:b/>
                <w:sz w:val="21"/>
                <w:szCs w:val="21"/>
              </w:rPr>
            </w:pPr>
            <w:r>
              <w:rPr>
                <w:rFonts w:ascii="Arial" w:hAnsi="Arial" w:cs="Arial"/>
                <w:b/>
                <w:kern w:val="2"/>
                <w:sz w:val="21"/>
                <w:szCs w:val="21"/>
              </w:rPr>
              <w:t>注册房地产估价师</w:t>
            </w:r>
          </w:p>
        </w:tc>
      </w:tr>
      <w:tr w14:paraId="1E363A4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60781399">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7994B0E4">
            <w:pPr>
              <w:tabs>
                <w:tab w:val="left" w:pos="5160"/>
              </w:tabs>
              <w:overflowPunct w:val="0"/>
              <w:spacing w:line="240" w:lineRule="auto"/>
              <w:rPr>
                <w:rFonts w:ascii="Arial" w:hAnsi="Arial" w:cs="Arial"/>
                <w:sz w:val="21"/>
                <w:szCs w:val="21"/>
              </w:rPr>
            </w:pPr>
            <w:r>
              <w:rPr>
                <w:rFonts w:ascii="Arial" w:hAnsi="Arial" w:cs="Arial"/>
                <w:sz w:val="21"/>
                <w:szCs w:val="21"/>
              </w:rPr>
              <w:t>注册号</w:t>
            </w:r>
          </w:p>
        </w:tc>
        <w:tc>
          <w:tcPr>
            <w:tcW w:w="2774" w:type="dxa"/>
            <w:vAlign w:val="center"/>
          </w:tcPr>
          <w:p w14:paraId="585312A3">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05FEE224">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2E54D5C7">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216655F0">
            <w:pPr>
              <w:tabs>
                <w:tab w:val="left" w:pos="5160"/>
              </w:tabs>
              <w:overflowPunct w:val="0"/>
              <w:spacing w:line="240" w:lineRule="auto"/>
              <w:rPr>
                <w:rFonts w:ascii="Arial" w:hAnsi="Arial" w:cs="Arial"/>
                <w:sz w:val="21"/>
                <w:szCs w:val="21"/>
              </w:rPr>
            </w:pPr>
            <w:r>
              <w:rPr>
                <w:rFonts w:hint="eastAsia" w:ascii="Arial" w:hAnsi="Arial" w:cs="Arial"/>
                <w:sz w:val="21"/>
                <w:szCs w:val="21"/>
              </w:rPr>
              <w:t>常  畅</w:t>
            </w:r>
          </w:p>
        </w:tc>
        <w:tc>
          <w:tcPr>
            <w:tcW w:w="2197" w:type="dxa"/>
            <w:vAlign w:val="center"/>
          </w:tcPr>
          <w:p w14:paraId="6DFBAF1A">
            <w:pPr>
              <w:tabs>
                <w:tab w:val="left" w:pos="5160"/>
              </w:tabs>
              <w:overflowPunct w:val="0"/>
              <w:spacing w:line="240" w:lineRule="auto"/>
              <w:rPr>
                <w:rFonts w:ascii="Arial" w:hAnsi="Arial" w:cs="Arial"/>
                <w:sz w:val="21"/>
                <w:szCs w:val="21"/>
              </w:rPr>
            </w:pPr>
            <w:r>
              <w:rPr>
                <w:rFonts w:hint="eastAsia" w:ascii="Arial" w:hAnsi="Arial" w:eastAsia="方正黑体简体"/>
                <w:sz w:val="21"/>
                <w:szCs w:val="21"/>
              </w:rPr>
              <w:t>1120250061</w:t>
            </w:r>
          </w:p>
        </w:tc>
        <w:tc>
          <w:tcPr>
            <w:tcW w:w="2774" w:type="dxa"/>
            <w:vAlign w:val="center"/>
          </w:tcPr>
          <w:p w14:paraId="6B796D42">
            <w:pPr>
              <w:tabs>
                <w:tab w:val="left" w:pos="5160"/>
              </w:tabs>
              <w:overflowPunct w:val="0"/>
              <w:spacing w:line="240" w:lineRule="auto"/>
              <w:rPr>
                <w:rFonts w:ascii="Arial" w:hAnsi="Arial" w:cs="Arial"/>
                <w:sz w:val="21"/>
                <w:szCs w:val="21"/>
              </w:rPr>
            </w:pPr>
          </w:p>
        </w:tc>
        <w:tc>
          <w:tcPr>
            <w:tcW w:w="2582" w:type="dxa"/>
            <w:vAlign w:val="center"/>
          </w:tcPr>
          <w:p w14:paraId="2C615DB6">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424EA3C6">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0799F1C9">
            <w:pPr>
              <w:tabs>
                <w:tab w:val="left" w:pos="5160"/>
              </w:tabs>
              <w:overflowPunct w:val="0"/>
              <w:spacing w:line="240" w:lineRule="auto"/>
              <w:rPr>
                <w:rFonts w:ascii="Arial" w:hAnsi="Arial" w:cs="Arial"/>
                <w:sz w:val="21"/>
                <w:szCs w:val="21"/>
              </w:rPr>
            </w:pPr>
            <w:r>
              <w:rPr>
                <w:rFonts w:hint="eastAsia" w:ascii="Arial" w:hAnsi="Arial" w:cs="Arial"/>
                <w:sz w:val="21"/>
                <w:szCs w:val="21"/>
              </w:rPr>
              <w:t>许皓源</w:t>
            </w:r>
          </w:p>
        </w:tc>
        <w:tc>
          <w:tcPr>
            <w:tcW w:w="2197" w:type="dxa"/>
            <w:vAlign w:val="center"/>
          </w:tcPr>
          <w:p w14:paraId="37DD723A">
            <w:pPr>
              <w:tabs>
                <w:tab w:val="left" w:pos="5160"/>
              </w:tabs>
              <w:overflowPunct w:val="0"/>
              <w:spacing w:line="240" w:lineRule="auto"/>
              <w:rPr>
                <w:rFonts w:ascii="Arial" w:hAnsi="Arial" w:cs="Arial"/>
                <w:sz w:val="21"/>
                <w:szCs w:val="21"/>
              </w:rPr>
            </w:pPr>
            <w:r>
              <w:rPr>
                <w:rFonts w:ascii="Arial" w:hAnsi="Arial" w:eastAsia="方正黑体简体"/>
                <w:sz w:val="21"/>
                <w:szCs w:val="21"/>
              </w:rPr>
              <w:t>1119980019</w:t>
            </w:r>
          </w:p>
        </w:tc>
        <w:tc>
          <w:tcPr>
            <w:tcW w:w="2774" w:type="dxa"/>
            <w:vAlign w:val="center"/>
          </w:tcPr>
          <w:p w14:paraId="4573FC7A">
            <w:pPr>
              <w:tabs>
                <w:tab w:val="left" w:pos="5160"/>
              </w:tabs>
              <w:overflowPunct w:val="0"/>
              <w:spacing w:line="240" w:lineRule="auto"/>
              <w:rPr>
                <w:rFonts w:ascii="Arial" w:hAnsi="Arial" w:cs="Arial"/>
                <w:sz w:val="21"/>
                <w:szCs w:val="21"/>
              </w:rPr>
            </w:pPr>
          </w:p>
        </w:tc>
        <w:tc>
          <w:tcPr>
            <w:tcW w:w="2582" w:type="dxa"/>
            <w:vAlign w:val="center"/>
          </w:tcPr>
          <w:p w14:paraId="0DA9B342">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r w14:paraId="029DF831">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9299" w:type="dxa"/>
            <w:gridSpan w:val="4"/>
            <w:vAlign w:val="center"/>
          </w:tcPr>
          <w:p w14:paraId="5DEDB0A1">
            <w:pPr>
              <w:tabs>
                <w:tab w:val="left" w:pos="5160"/>
              </w:tabs>
              <w:overflowPunct w:val="0"/>
              <w:spacing w:line="240" w:lineRule="auto"/>
              <w:rPr>
                <w:rFonts w:ascii="Arial" w:hAnsi="Arial" w:cs="Arial"/>
                <w:b/>
                <w:kern w:val="2"/>
                <w:sz w:val="21"/>
                <w:szCs w:val="21"/>
              </w:rPr>
            </w:pPr>
            <w:r>
              <w:rPr>
                <w:rFonts w:hint="eastAsia" w:ascii="Arial" w:hAnsi="Arial" w:cs="Arial"/>
                <w:b/>
                <w:kern w:val="2"/>
                <w:sz w:val="21"/>
                <w:szCs w:val="21"/>
              </w:rPr>
              <w:t>其他评估专业</w:t>
            </w:r>
            <w:r>
              <w:rPr>
                <w:rFonts w:ascii="Arial" w:hAnsi="Arial" w:cs="Arial"/>
                <w:b/>
                <w:kern w:val="2"/>
                <w:sz w:val="21"/>
                <w:szCs w:val="21"/>
              </w:rPr>
              <w:t>人员</w:t>
            </w:r>
            <w:r>
              <w:rPr>
                <w:rFonts w:hint="eastAsia" w:ascii="Arial" w:hAnsi="Arial" w:cs="Arial"/>
                <w:b/>
                <w:kern w:val="2"/>
                <w:sz w:val="21"/>
                <w:szCs w:val="21"/>
              </w:rPr>
              <w:t xml:space="preserve"> </w:t>
            </w:r>
          </w:p>
        </w:tc>
      </w:tr>
      <w:tr w14:paraId="6274BE1D">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454" w:hRule="exact"/>
          <w:jc w:val="center"/>
        </w:trPr>
        <w:tc>
          <w:tcPr>
            <w:tcW w:w="1746" w:type="dxa"/>
            <w:vAlign w:val="center"/>
          </w:tcPr>
          <w:p w14:paraId="01473244">
            <w:pPr>
              <w:tabs>
                <w:tab w:val="left" w:pos="5160"/>
              </w:tabs>
              <w:overflowPunct w:val="0"/>
              <w:spacing w:line="240" w:lineRule="auto"/>
              <w:rPr>
                <w:rFonts w:ascii="Arial" w:hAnsi="Arial" w:cs="Arial"/>
                <w:sz w:val="21"/>
                <w:szCs w:val="21"/>
              </w:rPr>
            </w:pPr>
            <w:r>
              <w:rPr>
                <w:rFonts w:ascii="Arial" w:hAnsi="Arial" w:cs="Arial"/>
                <w:sz w:val="21"/>
                <w:szCs w:val="21"/>
              </w:rPr>
              <w:t>姓</w:t>
            </w:r>
            <w:r>
              <w:rPr>
                <w:rFonts w:hint="eastAsia" w:ascii="Arial" w:hAnsi="Arial" w:cs="Arial"/>
                <w:sz w:val="21"/>
                <w:szCs w:val="21"/>
              </w:rPr>
              <w:t xml:space="preserve">  </w:t>
            </w:r>
            <w:r>
              <w:rPr>
                <w:rFonts w:ascii="Arial" w:hAnsi="Arial" w:cs="Arial"/>
                <w:sz w:val="21"/>
                <w:szCs w:val="21"/>
              </w:rPr>
              <w:t>名</w:t>
            </w:r>
          </w:p>
        </w:tc>
        <w:tc>
          <w:tcPr>
            <w:tcW w:w="2197" w:type="dxa"/>
            <w:vAlign w:val="center"/>
          </w:tcPr>
          <w:p w14:paraId="2360129B">
            <w:pPr>
              <w:tabs>
                <w:tab w:val="left" w:pos="5160"/>
              </w:tabs>
              <w:overflowPunct w:val="0"/>
              <w:spacing w:line="240" w:lineRule="auto"/>
              <w:rPr>
                <w:rFonts w:ascii="Arial" w:hAnsi="Arial" w:cs="Arial"/>
                <w:sz w:val="21"/>
                <w:szCs w:val="21"/>
              </w:rPr>
            </w:pPr>
            <w:r>
              <w:rPr>
                <w:rFonts w:ascii="Arial" w:hAnsi="Arial" w:cs="Arial"/>
                <w:kern w:val="2"/>
                <w:sz w:val="21"/>
                <w:szCs w:val="21"/>
              </w:rPr>
              <w:t>相关资格或职称</w:t>
            </w:r>
          </w:p>
        </w:tc>
        <w:tc>
          <w:tcPr>
            <w:tcW w:w="2774" w:type="dxa"/>
            <w:vAlign w:val="center"/>
          </w:tcPr>
          <w:p w14:paraId="37B67BC0">
            <w:pPr>
              <w:tabs>
                <w:tab w:val="left" w:pos="5160"/>
              </w:tabs>
              <w:overflowPunct w:val="0"/>
              <w:spacing w:line="240" w:lineRule="auto"/>
              <w:rPr>
                <w:rFonts w:ascii="Arial" w:hAnsi="Arial" w:cs="Arial"/>
                <w:sz w:val="21"/>
                <w:szCs w:val="21"/>
              </w:rPr>
            </w:pPr>
            <w:r>
              <w:rPr>
                <w:rFonts w:ascii="Arial" w:hAnsi="Arial" w:cs="Arial"/>
                <w:sz w:val="21"/>
                <w:szCs w:val="21"/>
              </w:rPr>
              <w:t>签名</w:t>
            </w:r>
          </w:p>
        </w:tc>
        <w:tc>
          <w:tcPr>
            <w:tcW w:w="2582" w:type="dxa"/>
            <w:vAlign w:val="center"/>
          </w:tcPr>
          <w:p w14:paraId="6EB64B54">
            <w:pPr>
              <w:tabs>
                <w:tab w:val="left" w:pos="5160"/>
              </w:tabs>
              <w:overflowPunct w:val="0"/>
              <w:spacing w:line="240" w:lineRule="auto"/>
              <w:rPr>
                <w:rFonts w:ascii="Arial" w:hAnsi="Arial" w:cs="Arial"/>
                <w:sz w:val="21"/>
                <w:szCs w:val="21"/>
              </w:rPr>
            </w:pPr>
            <w:r>
              <w:rPr>
                <w:rFonts w:ascii="Arial" w:hAnsi="Arial" w:cs="Arial"/>
                <w:sz w:val="21"/>
                <w:szCs w:val="21"/>
              </w:rPr>
              <w:t>签名日期</w:t>
            </w:r>
          </w:p>
        </w:tc>
      </w:tr>
      <w:tr w14:paraId="35B49CD2">
        <w:tblPrEx>
          <w:tblBorders>
            <w:top w:val="single" w:color="404040" w:sz="2" w:space="0"/>
            <w:left w:val="single" w:color="404040" w:sz="2" w:space="0"/>
            <w:bottom w:val="single" w:color="404040" w:sz="2" w:space="0"/>
            <w:right w:val="single" w:color="404040" w:sz="2" w:space="0"/>
            <w:insideH w:val="single" w:color="404040" w:sz="2" w:space="0"/>
            <w:insideV w:val="single" w:color="404040" w:sz="2" w:space="0"/>
          </w:tblBorders>
          <w:tblCellMar>
            <w:top w:w="85" w:type="dxa"/>
            <w:left w:w="28" w:type="dxa"/>
            <w:bottom w:w="85" w:type="dxa"/>
            <w:right w:w="28" w:type="dxa"/>
          </w:tblCellMar>
        </w:tblPrEx>
        <w:trPr>
          <w:cantSplit/>
          <w:trHeight w:val="1134" w:hRule="exact"/>
          <w:jc w:val="center"/>
        </w:trPr>
        <w:tc>
          <w:tcPr>
            <w:tcW w:w="1746" w:type="dxa"/>
            <w:vAlign w:val="center"/>
          </w:tcPr>
          <w:p w14:paraId="33AE4E41">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197" w:type="dxa"/>
            <w:vAlign w:val="center"/>
          </w:tcPr>
          <w:p w14:paraId="40FCE6C9">
            <w:pPr>
              <w:tabs>
                <w:tab w:val="left" w:pos="5160"/>
              </w:tabs>
              <w:overflowPunct w:val="0"/>
              <w:spacing w:line="240" w:lineRule="auto"/>
              <w:rPr>
                <w:rFonts w:ascii="Arial" w:hAnsi="Arial" w:cs="Arial"/>
                <w:sz w:val="21"/>
                <w:szCs w:val="21"/>
              </w:rPr>
            </w:pPr>
            <w:r>
              <w:rPr>
                <w:rFonts w:hint="eastAsia" w:ascii="Arial" w:hAnsi="Arial" w:cs="Arial"/>
                <w:sz w:val="21"/>
                <w:szCs w:val="21"/>
              </w:rPr>
              <w:t>——</w:t>
            </w:r>
          </w:p>
        </w:tc>
        <w:tc>
          <w:tcPr>
            <w:tcW w:w="2774" w:type="dxa"/>
            <w:vAlign w:val="center"/>
          </w:tcPr>
          <w:p w14:paraId="412E7853">
            <w:pPr>
              <w:tabs>
                <w:tab w:val="left" w:pos="5160"/>
              </w:tabs>
              <w:overflowPunct w:val="0"/>
              <w:spacing w:line="240" w:lineRule="auto"/>
              <w:rPr>
                <w:rFonts w:ascii="Arial" w:hAnsi="Arial" w:cs="Arial"/>
                <w:sz w:val="21"/>
                <w:szCs w:val="21"/>
              </w:rPr>
            </w:pPr>
          </w:p>
        </w:tc>
        <w:tc>
          <w:tcPr>
            <w:tcW w:w="2582" w:type="dxa"/>
            <w:vAlign w:val="center"/>
          </w:tcPr>
          <w:p w14:paraId="2ECAD0AF">
            <w:pPr>
              <w:tabs>
                <w:tab w:val="left" w:pos="5160"/>
              </w:tabs>
              <w:wordWrap w:val="0"/>
              <w:overflowPunct w:val="0"/>
              <w:spacing w:line="240" w:lineRule="auto"/>
              <w:ind w:firstLine="420" w:firstLineChars="200"/>
              <w:jc w:val="right"/>
              <w:rPr>
                <w:rFonts w:ascii="Arial" w:hAnsi="Arial" w:cs="Arial"/>
                <w:sz w:val="21"/>
                <w:szCs w:val="21"/>
              </w:rPr>
            </w:pPr>
            <w:r>
              <w:rPr>
                <w:rFonts w:ascii="Arial" w:hAnsi="Arial" w:cs="Arial"/>
                <w:sz w:val="21"/>
                <w:szCs w:val="21"/>
              </w:rPr>
              <w:t>年</w:t>
            </w:r>
            <w:r>
              <w:rPr>
                <w:rFonts w:hint="eastAsia" w:ascii="Arial" w:hAnsi="Arial" w:cs="Arial"/>
                <w:sz w:val="21"/>
                <w:szCs w:val="21"/>
              </w:rPr>
              <w:t xml:space="preserve">    </w:t>
            </w:r>
            <w:r>
              <w:rPr>
                <w:rFonts w:ascii="Arial" w:hAnsi="Arial" w:cs="Arial"/>
                <w:sz w:val="21"/>
                <w:szCs w:val="21"/>
              </w:rPr>
              <w:t>月</w:t>
            </w:r>
            <w:r>
              <w:rPr>
                <w:rFonts w:hint="eastAsia" w:ascii="Arial" w:hAnsi="Arial" w:cs="Arial"/>
                <w:sz w:val="21"/>
                <w:szCs w:val="21"/>
              </w:rPr>
              <w:t xml:space="preserve">    </w:t>
            </w:r>
            <w:r>
              <w:rPr>
                <w:rFonts w:ascii="Arial" w:hAnsi="Arial" w:cs="Arial"/>
                <w:sz w:val="21"/>
                <w:szCs w:val="21"/>
              </w:rPr>
              <w:t>日</w:t>
            </w:r>
          </w:p>
        </w:tc>
      </w:tr>
    </w:tbl>
    <w:p w14:paraId="6CF0F68F">
      <w:pPr>
        <w:overflowPunct w:val="0"/>
        <w:spacing w:line="480" w:lineRule="auto"/>
        <w:jc w:val="both"/>
        <w:textAlignment w:val="auto"/>
        <w:rPr>
          <w:rFonts w:ascii="Arial" w:hAnsi="Arial" w:cs="Arial"/>
          <w:kern w:val="2"/>
          <w:sz w:val="21"/>
          <w:szCs w:val="21"/>
        </w:rPr>
      </w:pPr>
    </w:p>
    <w:p w14:paraId="732FB6B8">
      <w:pPr>
        <w:pStyle w:val="3"/>
        <w:numPr>
          <w:ilvl w:val="0"/>
          <w:numId w:val="0"/>
        </w:numPr>
        <w:overflowPunct w:val="0"/>
        <w:spacing w:line="480" w:lineRule="auto"/>
        <w:jc w:val="both"/>
        <w:textAlignment w:val="auto"/>
        <w:rPr>
          <w:rFonts w:eastAsia="宋体"/>
          <w:kern w:val="2"/>
          <w:sz w:val="21"/>
          <w:szCs w:val="21"/>
        </w:rPr>
      </w:pPr>
      <w:bookmarkStart w:id="41" w:name="_Toc155267097"/>
      <w:r>
        <w:rPr>
          <w:rFonts w:eastAsia="宋体"/>
          <w:kern w:val="2"/>
          <w:sz w:val="21"/>
          <w:szCs w:val="21"/>
        </w:rPr>
        <w:t>十二、实地查勘期</w:t>
      </w:r>
      <w:bookmarkEnd w:id="41"/>
    </w:p>
    <w:p w14:paraId="0881AAE8">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w:t>
      </w:r>
    </w:p>
    <w:p w14:paraId="718635B5">
      <w:pPr>
        <w:overflowPunct w:val="0"/>
        <w:spacing w:line="480" w:lineRule="auto"/>
        <w:jc w:val="both"/>
        <w:textAlignment w:val="auto"/>
        <w:rPr>
          <w:rFonts w:ascii="Arial" w:hAnsi="Arial" w:cs="Arial"/>
          <w:kern w:val="2"/>
          <w:sz w:val="21"/>
          <w:szCs w:val="21"/>
        </w:rPr>
      </w:pPr>
    </w:p>
    <w:p w14:paraId="44C76022">
      <w:pPr>
        <w:pStyle w:val="3"/>
        <w:numPr>
          <w:ilvl w:val="0"/>
          <w:numId w:val="0"/>
        </w:numPr>
        <w:overflowPunct w:val="0"/>
        <w:spacing w:line="480" w:lineRule="auto"/>
        <w:jc w:val="both"/>
        <w:textAlignment w:val="auto"/>
        <w:rPr>
          <w:rFonts w:eastAsia="宋体"/>
          <w:kern w:val="2"/>
          <w:sz w:val="21"/>
          <w:szCs w:val="21"/>
        </w:rPr>
      </w:pPr>
      <w:bookmarkStart w:id="42" w:name="_Toc168225825"/>
      <w:bookmarkStart w:id="43" w:name="_Toc155267098"/>
      <w:r>
        <w:rPr>
          <w:rFonts w:eastAsia="宋体"/>
          <w:kern w:val="2"/>
          <w:sz w:val="21"/>
          <w:szCs w:val="21"/>
        </w:rPr>
        <w:t>十三、估价作业期</w:t>
      </w:r>
      <w:bookmarkEnd w:id="42"/>
      <w:bookmarkEnd w:id="43"/>
      <w:r>
        <w:rPr>
          <w:rFonts w:hint="eastAsia" w:eastAsia="宋体"/>
          <w:kern w:val="2"/>
          <w:sz w:val="21"/>
          <w:szCs w:val="21"/>
        </w:rPr>
        <w:t xml:space="preserve">  </w:t>
      </w:r>
    </w:p>
    <w:p w14:paraId="2FBFCA1A">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7</w:t>
      </w:r>
      <w:r>
        <w:rPr>
          <w:rFonts w:ascii="Arial" w:hAnsi="Arial" w:cs="Arial"/>
          <w:sz w:val="21"/>
          <w:szCs w:val="21"/>
        </w:rPr>
        <w:t>日至202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4</w:t>
      </w:r>
      <w:r>
        <w:rPr>
          <w:rFonts w:ascii="Arial" w:hAnsi="Arial" w:cs="Arial"/>
          <w:sz w:val="21"/>
          <w:szCs w:val="21"/>
        </w:rPr>
        <w:t>月</w:t>
      </w:r>
      <w:r>
        <w:rPr>
          <w:rFonts w:hint="eastAsia" w:ascii="Arial" w:hAnsi="Arial" w:cs="Arial"/>
          <w:sz w:val="21"/>
          <w:szCs w:val="21"/>
        </w:rPr>
        <w:t>16</w:t>
      </w:r>
      <w:r>
        <w:rPr>
          <w:rFonts w:ascii="Arial" w:hAnsi="Arial" w:cs="Arial"/>
          <w:sz w:val="21"/>
          <w:szCs w:val="21"/>
        </w:rPr>
        <w:t>日</w:t>
      </w:r>
    </w:p>
    <w:p w14:paraId="6BB90170">
      <w:pPr>
        <w:overflowPunct w:val="0"/>
        <w:spacing w:line="480" w:lineRule="auto"/>
        <w:jc w:val="both"/>
        <w:textAlignment w:val="auto"/>
        <w:outlineLvl w:val="0"/>
        <w:rPr>
          <w:rFonts w:ascii="Arial" w:hAnsi="Arial" w:cs="Arial"/>
          <w:b/>
          <w:kern w:val="2"/>
          <w:sz w:val="21"/>
          <w:szCs w:val="21"/>
        </w:rPr>
        <w:sectPr>
          <w:headerReference r:id="rId21" w:type="first"/>
          <w:headerReference r:id="rId19" w:type="default"/>
          <w:footerReference r:id="rId22" w:type="default"/>
          <w:headerReference r:id="rId20" w:type="even"/>
          <w:footerReference r:id="rId23" w:type="even"/>
          <w:pgSz w:w="11907" w:h="16840"/>
          <w:pgMar w:top="1843" w:right="1134" w:bottom="1134" w:left="1134" w:header="1134" w:footer="907" w:gutter="340"/>
          <w:cols w:space="720" w:num="1"/>
          <w:docGrid w:linePitch="326" w:charSpace="0"/>
        </w:sectPr>
      </w:pPr>
    </w:p>
    <w:p w14:paraId="33791628">
      <w:pPr>
        <w:pStyle w:val="2"/>
        <w:spacing w:line="480" w:lineRule="auto"/>
        <w:jc w:val="center"/>
        <w:rPr>
          <w:rFonts w:eastAsia="方正黑体简体"/>
          <w:b w:val="0"/>
          <w:kern w:val="2"/>
          <w:sz w:val="32"/>
          <w:szCs w:val="32"/>
        </w:rPr>
      </w:pPr>
      <w:bookmarkStart w:id="44" w:name="_Toc155267099"/>
      <w:bookmarkStart w:id="45" w:name="_Toc525655431"/>
      <w:r>
        <w:rPr>
          <w:rFonts w:hint="eastAsia" w:eastAsia="方正黑体简体"/>
          <w:b w:val="0"/>
          <w:kern w:val="2"/>
          <w:sz w:val="32"/>
          <w:szCs w:val="32"/>
        </w:rPr>
        <w:t>估价技术报告</w:t>
      </w:r>
      <w:bookmarkEnd w:id="44"/>
      <w:bookmarkEnd w:id="45"/>
    </w:p>
    <w:p w14:paraId="4753C8BC">
      <w:pPr>
        <w:pStyle w:val="3"/>
        <w:numPr>
          <w:ilvl w:val="0"/>
          <w:numId w:val="0"/>
        </w:numPr>
        <w:spacing w:line="480" w:lineRule="auto"/>
        <w:ind w:left="358" w:hanging="358" w:hangingChars="170"/>
        <w:jc w:val="both"/>
        <w:rPr>
          <w:rFonts w:eastAsia="宋体"/>
          <w:kern w:val="2"/>
          <w:sz w:val="21"/>
          <w:szCs w:val="21"/>
        </w:rPr>
      </w:pPr>
      <w:bookmarkStart w:id="46" w:name="_Toc525655432"/>
      <w:bookmarkStart w:id="47" w:name="_Toc155267100"/>
      <w:r>
        <w:rPr>
          <w:rFonts w:eastAsia="宋体"/>
          <w:kern w:val="2"/>
          <w:sz w:val="21"/>
          <w:szCs w:val="21"/>
        </w:rPr>
        <w:t>一、估价对象描述与分析</w:t>
      </w:r>
      <w:bookmarkEnd w:id="46"/>
      <w:bookmarkEnd w:id="47"/>
    </w:p>
    <w:p w14:paraId="7448A3B8">
      <w:pPr>
        <w:pStyle w:val="3"/>
        <w:numPr>
          <w:ilvl w:val="0"/>
          <w:numId w:val="0"/>
        </w:numPr>
        <w:spacing w:line="480" w:lineRule="auto"/>
        <w:ind w:left="360" w:hanging="361" w:hangingChars="171"/>
        <w:jc w:val="both"/>
        <w:rPr>
          <w:rFonts w:eastAsia="宋体"/>
          <w:kern w:val="2"/>
          <w:sz w:val="21"/>
          <w:szCs w:val="21"/>
        </w:rPr>
      </w:pPr>
      <w:bookmarkStart w:id="48" w:name="_Toc525655433"/>
      <w:bookmarkStart w:id="49" w:name="_Toc155267101"/>
      <w:r>
        <w:rPr>
          <w:rFonts w:eastAsia="宋体"/>
          <w:kern w:val="2"/>
          <w:sz w:val="21"/>
          <w:szCs w:val="21"/>
        </w:rPr>
        <w:t>（</w:t>
      </w:r>
      <w:r>
        <w:rPr>
          <w:rFonts w:hint="eastAsia" w:eastAsia="宋体"/>
          <w:kern w:val="2"/>
          <w:sz w:val="21"/>
          <w:szCs w:val="21"/>
        </w:rPr>
        <w:t>一</w:t>
      </w:r>
      <w:r>
        <w:rPr>
          <w:rFonts w:eastAsia="宋体"/>
          <w:kern w:val="2"/>
          <w:sz w:val="21"/>
          <w:szCs w:val="21"/>
        </w:rPr>
        <w:t>）区位状况分析</w:t>
      </w:r>
      <w:bookmarkEnd w:id="48"/>
      <w:bookmarkEnd w:id="49"/>
    </w:p>
    <w:p w14:paraId="21BDB85D">
      <w:pPr>
        <w:spacing w:line="480" w:lineRule="auto"/>
        <w:ind w:firstLine="420" w:firstLineChars="200"/>
        <w:jc w:val="both"/>
        <w:rPr>
          <w:rFonts w:ascii="Arial" w:hAnsi="Arial" w:cs="Arial"/>
          <w:kern w:val="2"/>
          <w:sz w:val="21"/>
          <w:szCs w:val="21"/>
        </w:rPr>
      </w:pPr>
      <w:r>
        <w:rPr>
          <w:rFonts w:ascii="Arial" w:hAnsi="Arial" w:cs="Arial"/>
          <w:sz w:val="21"/>
          <w:szCs w:val="21"/>
        </w:rPr>
        <w:t>1.位置状况</w:t>
      </w:r>
      <w:r>
        <w:rPr>
          <w:rFonts w:hint="eastAsia" w:ascii="Arial" w:hAnsi="Arial" w:cs="Arial"/>
          <w:sz w:val="21"/>
          <w:szCs w:val="21"/>
        </w:rPr>
        <w:t xml:space="preserve">  </w:t>
      </w:r>
      <w:r>
        <w:rPr>
          <w:rFonts w:hint="eastAsia" w:ascii="Arial" w:hAnsi="Arial" w:cs="Arial"/>
          <w:kern w:val="2"/>
          <w:sz w:val="21"/>
          <w:szCs w:val="21"/>
        </w:rPr>
        <w:t xml:space="preserve">  </w:t>
      </w:r>
    </w:p>
    <w:p w14:paraId="06569EA2">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估价对象所属埝坛华庭</w:t>
      </w:r>
      <w:r>
        <w:rPr>
          <w:rFonts w:ascii="Arial" w:hAnsi="Arial" w:cs="Arial"/>
          <w:sz w:val="21"/>
          <w:szCs w:val="21"/>
        </w:rPr>
        <w:t>项目</w:t>
      </w:r>
      <w:r>
        <w:rPr>
          <w:rFonts w:hint="eastAsia" w:ascii="Arial" w:hAnsi="Arial" w:cs="Arial"/>
          <w:sz w:val="21"/>
          <w:szCs w:val="21"/>
        </w:rPr>
        <w:t>，位于大兴区林校路街道，紧邻念坛公园约400米，距离地铁4号线义和庄站1.2公里，距离南六环天水大街入口收费站1公里，距离念坛国际金融商务区800米，距离生物医药产业基地1公里</w:t>
      </w:r>
      <w:r>
        <w:rPr>
          <w:rFonts w:hint="eastAsia" w:ascii="Arial" w:hAnsi="Arial" w:cs="Arial"/>
          <w:kern w:val="2"/>
          <w:sz w:val="21"/>
          <w:szCs w:val="21"/>
        </w:rPr>
        <w:t>，</w:t>
      </w:r>
      <w:r>
        <w:rPr>
          <w:rFonts w:ascii="Arial" w:hAnsi="Arial" w:cs="Arial"/>
          <w:kern w:val="2"/>
          <w:sz w:val="21"/>
          <w:szCs w:val="21"/>
        </w:rPr>
        <w:t>地理位置状况</w:t>
      </w:r>
      <w:r>
        <w:rPr>
          <w:rFonts w:hint="eastAsia" w:ascii="Arial" w:hAnsi="Arial" w:cs="Arial"/>
          <w:kern w:val="2"/>
          <w:sz w:val="21"/>
          <w:szCs w:val="21"/>
        </w:rPr>
        <w:t>较好</w:t>
      </w:r>
      <w:r>
        <w:rPr>
          <w:rFonts w:ascii="Arial" w:hAnsi="Arial" w:cs="Arial"/>
          <w:kern w:val="2"/>
          <w:sz w:val="21"/>
          <w:szCs w:val="21"/>
        </w:rPr>
        <w:t>。</w:t>
      </w:r>
    </w:p>
    <w:p w14:paraId="44104DF8">
      <w:pPr>
        <w:spacing w:line="480" w:lineRule="auto"/>
        <w:ind w:firstLine="420" w:firstLineChars="200"/>
        <w:jc w:val="both"/>
        <w:rPr>
          <w:rFonts w:ascii="Arial" w:hAnsi="Arial" w:cs="Arial"/>
          <w:sz w:val="21"/>
          <w:szCs w:val="21"/>
        </w:rPr>
      </w:pPr>
      <w:r>
        <w:rPr>
          <w:rFonts w:ascii="Arial" w:hAnsi="Arial" w:cs="Arial"/>
          <w:sz w:val="21"/>
          <w:szCs w:val="21"/>
        </w:rPr>
        <w:t>2.居住社区成熟度</w:t>
      </w:r>
    </w:p>
    <w:p w14:paraId="408C07DF">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估价对象周边2公里内有德贤华府、兴水家园、漪景园、矿林庄小区、锦华园小区、义和庄东里等居住项目，居住小区规模适中，入住率较好，综合评价居住社区成熟度较好。</w:t>
      </w:r>
    </w:p>
    <w:p w14:paraId="5716DB9D">
      <w:pPr>
        <w:spacing w:line="480" w:lineRule="auto"/>
        <w:ind w:firstLine="420" w:firstLineChars="200"/>
        <w:jc w:val="both"/>
        <w:rPr>
          <w:rFonts w:ascii="Arial" w:hAnsi="Arial" w:cs="Arial"/>
          <w:sz w:val="21"/>
          <w:szCs w:val="21"/>
        </w:rPr>
      </w:pPr>
      <w:r>
        <w:rPr>
          <w:rFonts w:ascii="Arial" w:hAnsi="Arial" w:cs="Arial"/>
          <w:sz w:val="21"/>
          <w:szCs w:val="21"/>
        </w:rPr>
        <w:t>3.</w:t>
      </w:r>
      <w:r>
        <w:rPr>
          <w:rFonts w:hint="eastAsia" w:ascii="Arial" w:hAnsi="Arial" w:cs="Arial"/>
          <w:sz w:val="21"/>
          <w:szCs w:val="21"/>
        </w:rPr>
        <w:t>交</w:t>
      </w:r>
      <w:r>
        <w:rPr>
          <w:rFonts w:ascii="Arial" w:hAnsi="Arial" w:cs="Arial"/>
          <w:sz w:val="21"/>
          <w:szCs w:val="21"/>
        </w:rPr>
        <w:t>通状况</w:t>
      </w:r>
    </w:p>
    <w:p w14:paraId="22F3FB9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紧邻城市主干道——兴良路，周边路网较密集；2公里范围内有轨道交通站点（地铁4号线义和庄站），周边1公里内有456路、827路、829路、840路、兴11路、兴21路等公交线路途径并设立站点，综合评价交通便捷度较好。</w:t>
      </w:r>
    </w:p>
    <w:p w14:paraId="0506A1E0">
      <w:pPr>
        <w:spacing w:line="480" w:lineRule="auto"/>
        <w:ind w:firstLine="420" w:firstLineChars="200"/>
        <w:jc w:val="both"/>
        <w:rPr>
          <w:rFonts w:ascii="Arial" w:hAnsi="Arial" w:cs="Arial"/>
          <w:sz w:val="21"/>
          <w:szCs w:val="21"/>
        </w:rPr>
      </w:pPr>
      <w:r>
        <w:rPr>
          <w:rFonts w:hint="eastAsia" w:ascii="Arial" w:hAnsi="Arial" w:cs="Arial"/>
          <w:sz w:val="21"/>
          <w:szCs w:val="21"/>
        </w:rPr>
        <w:t>4.</w:t>
      </w:r>
      <w:r>
        <w:rPr>
          <w:rFonts w:ascii="Arial" w:hAnsi="Arial" w:cs="Arial"/>
          <w:sz w:val="21"/>
          <w:szCs w:val="21"/>
        </w:rPr>
        <w:t>环境状况</w:t>
      </w:r>
    </w:p>
    <w:p w14:paraId="6A7CCAB1">
      <w:pPr>
        <w:spacing w:line="480" w:lineRule="auto"/>
        <w:ind w:firstLine="420" w:firstLineChars="200"/>
        <w:jc w:val="both"/>
        <w:rPr>
          <w:rFonts w:ascii="Arial" w:hAnsi="Arial" w:cs="Arial"/>
          <w:kern w:val="2"/>
          <w:sz w:val="21"/>
          <w:szCs w:val="21"/>
        </w:rPr>
      </w:pPr>
      <w:r>
        <w:rPr>
          <w:rFonts w:hint="eastAsia" w:ascii="Arial" w:hAnsi="Arial" w:cs="Arial"/>
          <w:kern w:val="2"/>
          <w:sz w:val="21"/>
          <w:szCs w:val="21"/>
        </w:rPr>
        <w:t>估价对象周边2公里有念坛公园、兴良路公园、永定公园、小龙河等自然景观，有首都医科大学（大兴校区）、金隅高新产业园等人文环境、综合评价自然与人文环境较好</w:t>
      </w:r>
      <w:r>
        <w:rPr>
          <w:rFonts w:hint="eastAsia" w:ascii="Arial" w:hAnsi="Arial" w:cs="Arial"/>
          <w:sz w:val="21"/>
          <w:szCs w:val="21"/>
        </w:rPr>
        <w:t>。</w:t>
      </w:r>
    </w:p>
    <w:p w14:paraId="5078CA9B">
      <w:pPr>
        <w:spacing w:line="480" w:lineRule="auto"/>
        <w:ind w:firstLine="420" w:firstLineChars="200"/>
        <w:jc w:val="both"/>
        <w:rPr>
          <w:rFonts w:ascii="Arial" w:hAnsi="Arial" w:cs="Arial"/>
          <w:i/>
          <w:sz w:val="21"/>
          <w:szCs w:val="21"/>
        </w:rPr>
      </w:pPr>
      <w:r>
        <w:rPr>
          <w:rFonts w:hint="eastAsia" w:ascii="Arial" w:hAnsi="Arial" w:cs="Arial"/>
          <w:sz w:val="21"/>
          <w:szCs w:val="21"/>
        </w:rPr>
        <w:t>5.</w:t>
      </w:r>
      <w:r>
        <w:rPr>
          <w:rFonts w:ascii="Arial" w:hAnsi="Arial" w:cs="Arial"/>
          <w:sz w:val="21"/>
          <w:szCs w:val="21"/>
        </w:rPr>
        <w:t>外部配套设施状况</w:t>
      </w:r>
    </w:p>
    <w:p w14:paraId="45018223">
      <w:pPr>
        <w:spacing w:line="480" w:lineRule="auto"/>
        <w:ind w:firstLine="420" w:firstLineChars="200"/>
        <w:jc w:val="both"/>
        <w:rPr>
          <w:rFonts w:ascii="Arial" w:hAnsi="Arial" w:cs="Arial"/>
          <w:sz w:val="21"/>
          <w:szCs w:val="21"/>
        </w:rPr>
      </w:pPr>
      <w:r>
        <w:rPr>
          <w:rFonts w:hint="eastAsia" w:ascii="Arial" w:hAnsi="Arial" w:cs="Arial"/>
          <w:kern w:val="2"/>
          <w:sz w:val="21"/>
          <w:szCs w:val="21"/>
        </w:rPr>
        <w:t>估价对象</w:t>
      </w:r>
      <w:r>
        <w:rPr>
          <w:rFonts w:ascii="Arial" w:hAnsi="Arial" w:cs="Arial"/>
          <w:sz w:val="21"/>
          <w:szCs w:val="21"/>
        </w:rPr>
        <w:t>所处区域目前已拥有完善的基础设施配套保障，区内大部分区域基础设施配套目前可达到</w:t>
      </w:r>
      <w:r>
        <w:rPr>
          <w:rFonts w:hint="eastAsia" w:ascii="Arial" w:hAnsi="Arial" w:cs="Arial"/>
          <w:sz w:val="21"/>
          <w:szCs w:val="21"/>
        </w:rPr>
        <w:t>“七通”</w:t>
      </w:r>
      <w:r>
        <w:rPr>
          <w:rFonts w:ascii="Arial" w:hAnsi="Arial" w:cs="Arial"/>
          <w:sz w:val="21"/>
          <w:szCs w:val="21"/>
        </w:rPr>
        <w:t>（通路、通电、通讯、供水、排水</w:t>
      </w:r>
      <w:r>
        <w:rPr>
          <w:rFonts w:hint="eastAsia" w:ascii="Arial" w:hAnsi="Arial" w:cs="Arial"/>
          <w:sz w:val="21"/>
          <w:szCs w:val="21"/>
        </w:rPr>
        <w:t>、通暖、通燃气</w:t>
      </w:r>
      <w:r>
        <w:rPr>
          <w:rFonts w:ascii="Arial" w:hAnsi="Arial" w:cs="Arial"/>
          <w:sz w:val="21"/>
          <w:szCs w:val="21"/>
        </w:rPr>
        <w:t>）条件，且保证程度高。</w:t>
      </w:r>
    </w:p>
    <w:p w14:paraId="65EA4CC8">
      <w:pPr>
        <w:spacing w:line="480" w:lineRule="auto"/>
        <w:ind w:firstLine="420" w:firstLineChars="200"/>
        <w:jc w:val="both"/>
        <w:rPr>
          <w:rFonts w:ascii="Arial" w:hAnsi="Arial" w:cs="Arial"/>
          <w:kern w:val="2"/>
          <w:sz w:val="21"/>
          <w:szCs w:val="21"/>
        </w:rPr>
      </w:pPr>
      <w:bookmarkStart w:id="50" w:name="_Toc525655434"/>
      <w:r>
        <w:rPr>
          <w:rFonts w:hint="eastAsia" w:ascii="Arial" w:hAnsi="Arial" w:cs="Arial"/>
          <w:kern w:val="2"/>
          <w:sz w:val="21"/>
          <w:szCs w:val="21"/>
        </w:rPr>
        <w:t>估价对象所在区域周边2公里范围内有龙湖北京大兴天街、北京明发广场等商业场所；有北京市邮政学校、北京育才学校（大兴分校）、新星双语艺术幼儿园等教育机构，有北京市大兴区心康医院、天宫院街道社区卫生服务中心等医疗机构；有中国银行、中国工商银行等金融网点，公共配套设施状况较好。</w:t>
      </w:r>
    </w:p>
    <w:p w14:paraId="68908D37">
      <w:pPr>
        <w:spacing w:line="480" w:lineRule="auto"/>
        <w:ind w:firstLine="420" w:firstLineChars="200"/>
        <w:jc w:val="both"/>
        <w:rPr>
          <w:rFonts w:ascii="Arial" w:hAnsi="Arial" w:cs="Arial"/>
          <w:sz w:val="21"/>
          <w:szCs w:val="21"/>
        </w:rPr>
      </w:pPr>
      <w:r>
        <w:rPr>
          <w:rFonts w:hint="eastAsia" w:ascii="Arial" w:hAnsi="Arial" w:cs="Arial"/>
          <w:sz w:val="21"/>
          <w:szCs w:val="21"/>
        </w:rPr>
        <w:t>6.总体评价</w:t>
      </w:r>
    </w:p>
    <w:bookmarkEnd w:id="50"/>
    <w:p w14:paraId="0C865ACA">
      <w:pPr>
        <w:spacing w:line="480" w:lineRule="auto"/>
        <w:ind w:firstLine="420" w:firstLineChars="200"/>
        <w:jc w:val="both"/>
        <w:rPr>
          <w:rFonts w:ascii="Arial" w:hAnsi="Arial" w:cs="Arial"/>
          <w:kern w:val="2"/>
          <w:sz w:val="21"/>
          <w:szCs w:val="21"/>
        </w:rPr>
      </w:pPr>
      <w:r>
        <w:rPr>
          <w:rFonts w:hint="eastAsia" w:ascii="Arial" w:hAnsi="Arial" w:cs="Arial"/>
          <w:sz w:val="21"/>
          <w:szCs w:val="21"/>
        </w:rPr>
        <w:t>估价对象地理位置状况</w:t>
      </w:r>
      <w:r>
        <w:rPr>
          <w:rFonts w:hint="eastAsia" w:ascii="Arial" w:hAnsi="Arial" w:cs="Arial"/>
          <w:kern w:val="2"/>
          <w:sz w:val="21"/>
          <w:szCs w:val="21"/>
        </w:rPr>
        <w:t>较好</w:t>
      </w:r>
      <w:r>
        <w:rPr>
          <w:rFonts w:hint="eastAsia" w:ascii="Arial" w:hAnsi="Arial" w:cs="Arial"/>
          <w:sz w:val="21"/>
          <w:szCs w:val="21"/>
        </w:rPr>
        <w:t>，居住社区成熟度</w:t>
      </w:r>
      <w:r>
        <w:rPr>
          <w:rFonts w:hint="eastAsia" w:ascii="Arial" w:hAnsi="Arial" w:cs="Arial"/>
          <w:kern w:val="2"/>
          <w:sz w:val="21"/>
          <w:szCs w:val="21"/>
        </w:rPr>
        <w:t>较好</w:t>
      </w:r>
      <w:r>
        <w:rPr>
          <w:rFonts w:hint="eastAsia" w:ascii="Arial" w:hAnsi="Arial" w:cs="Arial"/>
          <w:sz w:val="21"/>
          <w:szCs w:val="21"/>
        </w:rPr>
        <w:t>，交通便捷度</w:t>
      </w:r>
      <w:r>
        <w:rPr>
          <w:rFonts w:hint="eastAsia" w:ascii="Arial" w:hAnsi="Arial" w:cs="Arial"/>
          <w:kern w:val="2"/>
          <w:sz w:val="21"/>
          <w:szCs w:val="21"/>
        </w:rPr>
        <w:t>较好</w:t>
      </w:r>
      <w:r>
        <w:rPr>
          <w:rFonts w:hint="eastAsia" w:ascii="Arial" w:hAnsi="Arial" w:cs="Arial"/>
          <w:sz w:val="21"/>
          <w:szCs w:val="21"/>
        </w:rPr>
        <w:t>，环境状况</w:t>
      </w:r>
      <w:r>
        <w:rPr>
          <w:rFonts w:hint="eastAsia" w:ascii="Arial" w:hAnsi="Arial" w:cs="Arial"/>
          <w:kern w:val="2"/>
          <w:sz w:val="21"/>
          <w:szCs w:val="21"/>
        </w:rPr>
        <w:t>较好</w:t>
      </w:r>
      <w:r>
        <w:rPr>
          <w:rFonts w:ascii="Arial" w:hAnsi="Arial" w:cs="Arial"/>
          <w:sz w:val="21"/>
          <w:szCs w:val="21"/>
        </w:rPr>
        <w:t>，区内大部分区域基础设施配套目前可达到</w:t>
      </w:r>
      <w:r>
        <w:rPr>
          <w:rFonts w:hint="eastAsia" w:ascii="Arial" w:hAnsi="Arial" w:cs="Arial"/>
          <w:sz w:val="21"/>
          <w:szCs w:val="21"/>
        </w:rPr>
        <w:t>“七</w:t>
      </w:r>
      <w:r>
        <w:rPr>
          <w:rFonts w:ascii="Arial" w:hAnsi="Arial" w:cs="Arial"/>
          <w:sz w:val="21"/>
          <w:szCs w:val="21"/>
        </w:rPr>
        <w:t>通</w:t>
      </w:r>
      <w:r>
        <w:rPr>
          <w:rFonts w:hint="eastAsia" w:ascii="Arial" w:hAnsi="Arial" w:cs="Arial"/>
          <w:sz w:val="21"/>
          <w:szCs w:val="21"/>
        </w:rPr>
        <w:t>”，公共配套设施状况</w:t>
      </w:r>
      <w:r>
        <w:rPr>
          <w:rFonts w:hint="eastAsia" w:ascii="Arial" w:hAnsi="Arial" w:cs="Arial"/>
          <w:kern w:val="2"/>
          <w:sz w:val="21"/>
          <w:szCs w:val="21"/>
        </w:rPr>
        <w:t>较好</w:t>
      </w:r>
      <w:r>
        <w:rPr>
          <w:rFonts w:hint="eastAsia" w:ascii="Arial" w:hAnsi="Arial" w:cs="Arial"/>
          <w:sz w:val="21"/>
          <w:szCs w:val="21"/>
        </w:rPr>
        <w:t>。</w:t>
      </w:r>
      <w:r>
        <w:rPr>
          <w:rFonts w:ascii="Arial" w:hAnsi="Arial" w:cs="Arial"/>
          <w:sz w:val="21"/>
          <w:szCs w:val="21"/>
        </w:rPr>
        <w:t>区域规划</w:t>
      </w:r>
      <w:r>
        <w:rPr>
          <w:rFonts w:hint="eastAsia" w:ascii="Arial" w:hAnsi="Arial" w:cs="Arial"/>
          <w:sz w:val="21"/>
          <w:szCs w:val="21"/>
        </w:rPr>
        <w:t>无特殊限制</w:t>
      </w:r>
      <w:r>
        <w:rPr>
          <w:rFonts w:ascii="Arial" w:hAnsi="Arial" w:cs="Arial"/>
          <w:sz w:val="21"/>
          <w:szCs w:val="21"/>
        </w:rPr>
        <w:t>。总体评价影响估价对象的</w:t>
      </w:r>
      <w:r>
        <w:rPr>
          <w:rFonts w:hint="eastAsia" w:ascii="Arial" w:hAnsi="Arial" w:cs="Arial"/>
          <w:sz w:val="21"/>
          <w:szCs w:val="21"/>
        </w:rPr>
        <w:t>区位条件</w:t>
      </w:r>
      <w:r>
        <w:rPr>
          <w:rFonts w:hint="eastAsia" w:ascii="Arial" w:hAnsi="Arial" w:cs="Arial"/>
          <w:kern w:val="2"/>
          <w:sz w:val="21"/>
          <w:szCs w:val="21"/>
        </w:rPr>
        <w:t>较好</w:t>
      </w:r>
      <w:r>
        <w:rPr>
          <w:rFonts w:hint="eastAsia" w:ascii="Arial" w:hAnsi="Arial" w:cs="Arial"/>
          <w:sz w:val="21"/>
          <w:szCs w:val="21"/>
        </w:rPr>
        <w:t>。</w:t>
      </w:r>
    </w:p>
    <w:p w14:paraId="1955A8C3">
      <w:pPr>
        <w:pStyle w:val="3"/>
        <w:numPr>
          <w:ilvl w:val="0"/>
          <w:numId w:val="0"/>
        </w:numPr>
        <w:spacing w:line="480" w:lineRule="auto"/>
        <w:ind w:left="360" w:hanging="361" w:hangingChars="171"/>
        <w:jc w:val="both"/>
        <w:rPr>
          <w:rFonts w:eastAsia="宋体"/>
          <w:kern w:val="2"/>
          <w:sz w:val="21"/>
          <w:szCs w:val="21"/>
        </w:rPr>
      </w:pPr>
      <w:bookmarkStart w:id="51" w:name="_Toc155267102"/>
      <w:bookmarkStart w:id="52" w:name="_Toc525655435"/>
      <w:r>
        <w:rPr>
          <w:rFonts w:eastAsia="宋体"/>
          <w:kern w:val="2"/>
          <w:sz w:val="21"/>
          <w:szCs w:val="21"/>
        </w:rPr>
        <w:t>（</w:t>
      </w:r>
      <w:r>
        <w:rPr>
          <w:rFonts w:hint="eastAsia" w:eastAsia="宋体"/>
          <w:kern w:val="2"/>
          <w:sz w:val="21"/>
          <w:szCs w:val="21"/>
        </w:rPr>
        <w:t>二</w:t>
      </w:r>
      <w:r>
        <w:rPr>
          <w:rFonts w:eastAsia="宋体"/>
          <w:kern w:val="2"/>
          <w:sz w:val="21"/>
          <w:szCs w:val="21"/>
        </w:rPr>
        <w:t>）实物状况分析</w:t>
      </w:r>
      <w:bookmarkEnd w:id="51"/>
      <w:bookmarkEnd w:id="52"/>
    </w:p>
    <w:p w14:paraId="06380F38">
      <w:pPr>
        <w:spacing w:line="480" w:lineRule="auto"/>
        <w:ind w:firstLine="420" w:firstLineChars="200"/>
        <w:jc w:val="both"/>
        <w:rPr>
          <w:rFonts w:ascii="Arial" w:hAnsi="Arial" w:cs="Arial"/>
          <w:sz w:val="21"/>
          <w:szCs w:val="21"/>
        </w:rPr>
      </w:pPr>
      <w:r>
        <w:rPr>
          <w:rFonts w:ascii="Arial" w:hAnsi="Arial" w:cs="Arial"/>
          <w:sz w:val="21"/>
          <w:szCs w:val="21"/>
        </w:rPr>
        <w:t>1.土地实物状况</w:t>
      </w:r>
    </w:p>
    <w:p w14:paraId="2FAC8AAC">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kern w:val="2"/>
          <w:sz w:val="21"/>
          <w:szCs w:val="21"/>
        </w:rPr>
        <w:t>（1）</w:t>
      </w:r>
      <w:r>
        <w:rPr>
          <w:rFonts w:hint="eastAsia" w:ascii="Arial" w:hAnsi="Arial" w:cs="Arial"/>
          <w:sz w:val="21"/>
          <w:szCs w:val="21"/>
        </w:rPr>
        <w:t>根据《不动产权证书》[京（2026）大不动产权第0006768、0006911、0006930号]，估价对象为北京市大兴区义和庄南街25号院1号楼9层一单元903等122套（埝坛华庭西区）保障性租赁住房（住宅型），总建筑</w:t>
      </w:r>
      <w:r>
        <w:rPr>
          <w:rFonts w:hint="eastAsia" w:ascii="Arial" w:hAnsi="Arial" w:cs="Arial"/>
          <w:kern w:val="2"/>
          <w:sz w:val="21"/>
          <w:szCs w:val="21"/>
        </w:rPr>
        <w:t>面积17161.35平方米，权利人为北京市燕兴保障性住房建设投资有限公司，共有情况为单独所有，权利类型为国有建设用地使用权/房屋所有权，权利性质为划拨/按经济适用住房管理，用途为城镇住宅用地/住房，共有宗地面积10733.04平方米，</w:t>
      </w:r>
      <w:commentRangeStart w:id="6"/>
      <w:commentRangeStart w:id="7"/>
      <w:r>
        <w:rPr>
          <w:rFonts w:hint="eastAsia" w:ascii="Arial" w:hAnsi="Arial" w:cs="Arial"/>
          <w:kern w:val="2"/>
          <w:sz w:val="21"/>
          <w:szCs w:val="21"/>
        </w:rPr>
        <w:t>所属宗地现状四至为东至义锦南街27号院，南至兴良路，西至新源大街，北至小龙河。</w:t>
      </w:r>
      <w:commentRangeEnd w:id="6"/>
      <w:r>
        <w:rPr>
          <w:rStyle w:val="40"/>
        </w:rPr>
        <w:commentReference w:id="6"/>
      </w:r>
      <w:commentRangeEnd w:id="7"/>
      <w:r>
        <w:commentReference w:id="7"/>
      </w:r>
    </w:p>
    <w:p w14:paraId="0950AC39">
      <w:pPr>
        <w:wordWrap w:val="0"/>
        <w:overflowPunct w:val="0"/>
        <w:spacing w:line="480" w:lineRule="auto"/>
        <w:ind w:firstLine="420" w:firstLineChars="200"/>
        <w:jc w:val="both"/>
        <w:textAlignment w:val="auto"/>
        <w:rPr>
          <w:rFonts w:ascii="Arial" w:hAnsi="Arial" w:cs="Arial"/>
          <w:kern w:val="2"/>
          <w:sz w:val="21"/>
          <w:szCs w:val="21"/>
        </w:rPr>
      </w:pPr>
      <w:r>
        <w:rPr>
          <w:rFonts w:hint="eastAsia" w:ascii="Arial" w:hAnsi="Arial" w:cs="Arial"/>
          <w:sz w:val="21"/>
          <w:szCs w:val="21"/>
        </w:rPr>
        <w:t>根据《不动产权证书》[京（2026）大不动产权第0006767、0006769、0003772号]，估价对象为北京市大兴区义锦南街27号院1号楼1层一单元103等85套（埝坛华庭东区）保障性租赁住房（住宅型），总建筑</w:t>
      </w:r>
      <w:r>
        <w:rPr>
          <w:rFonts w:hint="eastAsia" w:ascii="Arial" w:hAnsi="Arial" w:cs="Arial"/>
          <w:kern w:val="2"/>
          <w:sz w:val="21"/>
          <w:szCs w:val="21"/>
        </w:rPr>
        <w:t>面积8011.01平方米，权利人为北京市燕兴保障性住房建设投资有限公司，共有情况为单独所有，权利类型为国有建设用地使用权/房屋所有权，权利性质为划拨/按经济适用住房管理，用途为城镇住宅用地/住房，共有宗地面积11667.31平方米，</w:t>
      </w:r>
      <w:commentRangeStart w:id="8"/>
      <w:r>
        <w:rPr>
          <w:rFonts w:hint="eastAsia" w:ascii="Arial" w:hAnsi="Arial" w:cs="Arial"/>
          <w:kern w:val="2"/>
          <w:sz w:val="21"/>
          <w:szCs w:val="21"/>
        </w:rPr>
        <w:t>所属宗地现状四至为东至现状空地，南至兴良路，西至义和庄南街25号院，北至小龙河。</w:t>
      </w:r>
      <w:commentRangeEnd w:id="8"/>
      <w:r>
        <w:rPr>
          <w:rStyle w:val="40"/>
        </w:rPr>
        <w:commentReference w:id="8"/>
      </w:r>
    </w:p>
    <w:p w14:paraId="76EBC1F9">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估价对象所属项目用地呈</w:t>
      </w:r>
      <w:r>
        <w:rPr>
          <w:rFonts w:hint="eastAsia" w:ascii="Arial" w:hAnsi="Arial" w:cs="Arial"/>
          <w:sz w:val="21"/>
          <w:szCs w:val="21"/>
        </w:rPr>
        <w:t>较</w:t>
      </w:r>
      <w:r>
        <w:rPr>
          <w:rFonts w:ascii="Arial" w:hAnsi="Arial" w:cs="Arial"/>
          <w:sz w:val="21"/>
          <w:szCs w:val="21"/>
        </w:rPr>
        <w:t>规则形状，</w:t>
      </w:r>
      <w:r>
        <w:rPr>
          <w:rFonts w:hint="eastAsia" w:ascii="Arial" w:hAnsi="Arial" w:cs="Arial"/>
          <w:sz w:val="21"/>
          <w:szCs w:val="21"/>
        </w:rPr>
        <w:t>对利用无不良影响，</w:t>
      </w:r>
      <w:r>
        <w:rPr>
          <w:rFonts w:ascii="Arial" w:hAnsi="Arial" w:cs="Arial"/>
          <w:sz w:val="21"/>
          <w:szCs w:val="21"/>
        </w:rPr>
        <w:t>场地</w:t>
      </w:r>
      <w:r>
        <w:rPr>
          <w:rFonts w:hint="eastAsia" w:ascii="Arial" w:hAnsi="Arial" w:cs="Arial"/>
          <w:sz w:val="21"/>
          <w:szCs w:val="21"/>
        </w:rPr>
        <w:t>呈</w:t>
      </w:r>
      <w:r>
        <w:rPr>
          <w:rFonts w:ascii="Arial" w:hAnsi="Arial" w:cs="Arial"/>
          <w:sz w:val="21"/>
          <w:szCs w:val="21"/>
        </w:rPr>
        <w:t>较平坦地势</w:t>
      </w:r>
      <w:r>
        <w:rPr>
          <w:rFonts w:hint="eastAsia" w:ascii="Arial" w:hAnsi="Arial" w:cs="Arial"/>
          <w:sz w:val="21"/>
          <w:szCs w:val="21"/>
        </w:rPr>
        <w:t>，工程地质条件良好，无不良地质现象</w:t>
      </w:r>
      <w:r>
        <w:rPr>
          <w:rFonts w:ascii="Arial" w:hAnsi="Arial" w:cs="Arial"/>
          <w:sz w:val="21"/>
          <w:szCs w:val="21"/>
        </w:rPr>
        <w:t>。</w:t>
      </w:r>
      <w:r>
        <w:rPr>
          <w:rFonts w:hint="eastAsia" w:ascii="Arial" w:hAnsi="Arial" w:cs="Arial"/>
          <w:sz w:val="21"/>
          <w:szCs w:val="21"/>
        </w:rPr>
        <w:t>估价对象现状已完成开发建设，土地利用程度高。</w:t>
      </w:r>
    </w:p>
    <w:p w14:paraId="4D7D614C">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（3）开发程度</w:t>
      </w:r>
      <w:r>
        <w:rPr>
          <w:rFonts w:ascii="Arial" w:hAnsi="Arial" w:cs="Arial"/>
          <w:sz w:val="21"/>
          <w:szCs w:val="21"/>
        </w:rPr>
        <w:t>：</w:t>
      </w:r>
    </w:p>
    <w:p w14:paraId="5E0A738E">
      <w:pPr>
        <w:overflowPunct w:val="0"/>
        <w:spacing w:line="480" w:lineRule="auto"/>
        <w:ind w:firstLine="420" w:firstLineChars="200"/>
        <w:jc w:val="both"/>
        <w:textAlignment w:val="auto"/>
        <w:rPr>
          <w:rFonts w:ascii="Arial" w:hAnsi="Arial" w:cs="Arial"/>
          <w:kern w:val="2"/>
          <w:sz w:val="21"/>
          <w:szCs w:val="21"/>
        </w:rPr>
      </w:pPr>
      <w:r>
        <w:rPr>
          <w:rFonts w:ascii="Arial" w:hAnsi="Arial" w:cs="Arial"/>
          <w:kern w:val="2"/>
          <w:sz w:val="21"/>
          <w:szCs w:val="21"/>
        </w:rPr>
        <w:t>估价对象所在区域市政基础设施完备，为</w:t>
      </w:r>
      <w:r>
        <w:rPr>
          <w:rFonts w:hint="eastAsia" w:ascii="Arial" w:hAnsi="Arial" w:cs="Arial"/>
          <w:kern w:val="2"/>
          <w:sz w:val="21"/>
          <w:szCs w:val="21"/>
        </w:rPr>
        <w:t>“七通”</w:t>
      </w:r>
      <w:r>
        <w:rPr>
          <w:rFonts w:ascii="Arial" w:hAnsi="Arial" w:cs="Arial"/>
          <w:kern w:val="2"/>
          <w:sz w:val="21"/>
          <w:szCs w:val="21"/>
        </w:rPr>
        <w:t>（即通路、通电、通讯</w:t>
      </w:r>
      <w:r>
        <w:rPr>
          <w:rFonts w:hint="eastAsia" w:ascii="Arial" w:hAnsi="Arial" w:cs="Arial"/>
          <w:kern w:val="2"/>
          <w:sz w:val="21"/>
          <w:szCs w:val="21"/>
        </w:rPr>
        <w:t>、</w:t>
      </w:r>
      <w:r>
        <w:rPr>
          <w:rFonts w:ascii="Arial" w:hAnsi="Arial" w:cs="Arial"/>
          <w:kern w:val="2"/>
          <w:sz w:val="21"/>
          <w:szCs w:val="21"/>
        </w:rPr>
        <w:t>通上水、通下水、通燃气、通热力），且保证程度高。</w:t>
      </w:r>
    </w:p>
    <w:p w14:paraId="51FFEB59">
      <w:pPr>
        <w:overflowPunct w:val="0"/>
        <w:spacing w:line="480" w:lineRule="auto"/>
        <w:ind w:firstLine="420" w:firstLineChars="200"/>
        <w:jc w:val="both"/>
        <w:textAlignment w:val="auto"/>
        <w:rPr>
          <w:rFonts w:ascii="Arial" w:hAnsi="Arial" w:cs="Arial"/>
          <w:sz w:val="21"/>
          <w:szCs w:val="21"/>
        </w:rPr>
      </w:pPr>
      <w:r>
        <w:rPr>
          <w:rFonts w:hint="eastAsia" w:ascii="Arial" w:hAnsi="Arial" w:cs="Arial"/>
          <w:kern w:val="2"/>
          <w:sz w:val="21"/>
          <w:szCs w:val="21"/>
        </w:rPr>
        <w:t>综上所述，</w:t>
      </w:r>
      <w:r>
        <w:rPr>
          <w:rFonts w:ascii="Arial" w:hAnsi="Arial" w:cs="Arial"/>
          <w:kern w:val="2"/>
          <w:sz w:val="21"/>
          <w:szCs w:val="21"/>
        </w:rPr>
        <w:t>估价对象</w:t>
      </w:r>
      <w:r>
        <w:rPr>
          <w:rFonts w:hint="eastAsia" w:ascii="Arial" w:hAnsi="Arial" w:cs="Arial"/>
          <w:kern w:val="2"/>
          <w:sz w:val="21"/>
          <w:szCs w:val="21"/>
        </w:rPr>
        <w:t>所在区域</w:t>
      </w:r>
      <w:r>
        <w:rPr>
          <w:rFonts w:ascii="Arial" w:hAnsi="Arial" w:cs="Arial"/>
          <w:kern w:val="2"/>
          <w:sz w:val="21"/>
          <w:szCs w:val="21"/>
        </w:rPr>
        <w:t>土地实物状况较好，场地地势平坦，地质条件良好，基础设施完备，宗地条件有利于估价对象利用，对估价对象租赁价格无不良影响</w:t>
      </w:r>
      <w:r>
        <w:rPr>
          <w:rFonts w:hint="eastAsia" w:ascii="Arial" w:hAnsi="Arial" w:cs="Arial"/>
          <w:sz w:val="21"/>
          <w:szCs w:val="21"/>
        </w:rPr>
        <w:t>。</w:t>
      </w:r>
    </w:p>
    <w:p w14:paraId="61F48A39">
      <w:pPr>
        <w:spacing w:line="480" w:lineRule="auto"/>
        <w:ind w:firstLine="420" w:firstLineChars="200"/>
        <w:jc w:val="both"/>
        <w:rPr>
          <w:rFonts w:ascii="Arial" w:hAnsi="Arial" w:cs="Arial"/>
          <w:sz w:val="21"/>
          <w:szCs w:val="21"/>
        </w:rPr>
      </w:pPr>
      <w:r>
        <w:rPr>
          <w:rFonts w:ascii="Arial" w:hAnsi="Arial" w:cs="Arial"/>
          <w:sz w:val="21"/>
          <w:szCs w:val="21"/>
        </w:rPr>
        <w:t>2.建筑物实物状况</w:t>
      </w:r>
    </w:p>
    <w:p w14:paraId="7D67A530">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（1）建设规模：估价对象所属埝坛华庭</w:t>
      </w:r>
      <w:r>
        <w:rPr>
          <w:rFonts w:ascii="Arial" w:hAnsi="Arial" w:cs="Arial"/>
          <w:sz w:val="21"/>
          <w:szCs w:val="21"/>
        </w:rPr>
        <w:t>项目</w:t>
      </w:r>
      <w:r>
        <w:rPr>
          <w:rFonts w:hint="eastAsia" w:ascii="Arial" w:hAnsi="Arial" w:cs="Arial"/>
          <w:sz w:val="21"/>
          <w:szCs w:val="21"/>
        </w:rPr>
        <w:t>，位于大兴区林校路街道，紧邻念坛公园约400米，距离地铁4号线义和庄站1.2公里，距离南六环天水大街入口收费站1公里，距离念坛国际金融商务区800米，距离生物医药产业基地1公里。收购房屋套数275套，总建筑</w:t>
      </w:r>
      <w:r>
        <w:rPr>
          <w:rFonts w:hint="eastAsia" w:ascii="Arial" w:hAnsi="Arial" w:cs="Arial"/>
          <w:kern w:val="2"/>
          <w:sz w:val="21"/>
          <w:szCs w:val="21"/>
        </w:rPr>
        <w:t>面积25172.36平方米，</w:t>
      </w:r>
      <w:r>
        <w:rPr>
          <w:rFonts w:hint="eastAsia" w:ascii="Arial" w:hAnsi="Arial" w:cs="Arial"/>
          <w:sz w:val="21"/>
          <w:szCs w:val="21"/>
        </w:rPr>
        <w:t>其中，一居室19套（户型面积区间62.64至62.73平方米），南朝向6套、南北朝向13套；两居室193套（户型面积区间84.11至88.94平方米），南朝向77套、南北朝向116套；三居室63套（户型面积区间115.8至116.74平方米），南朝向15套、南北朝向48套。估价对象具体情况如下：</w:t>
      </w:r>
    </w:p>
    <w:p w14:paraId="0C3925A4">
      <w:pPr>
        <w:overflowPunct w:val="0"/>
        <w:spacing w:after="120" w:afterLines="50" w:line="240" w:lineRule="auto"/>
        <w:jc w:val="center"/>
        <w:textAlignment w:val="auto"/>
        <w:rPr>
          <w:rFonts w:ascii="Arial" w:hAnsi="Arial" w:cs="Arial"/>
          <w:b/>
          <w:bCs/>
          <w:sz w:val="21"/>
          <w:szCs w:val="21"/>
        </w:rPr>
      </w:pPr>
      <w:r>
        <w:rPr>
          <w:rFonts w:hint="eastAsia" w:ascii="Arial" w:hAnsi="Arial" w:cs="Arial"/>
          <w:b/>
          <w:bCs/>
          <w:sz w:val="21"/>
          <w:szCs w:val="21"/>
        </w:rPr>
        <w:t>估价对象明细表</w:t>
      </w:r>
    </w:p>
    <w:tbl>
      <w:tblPr>
        <w:tblStyle w:val="33"/>
        <w:tblW w:w="4994" w:type="pct"/>
        <w:tblInd w:w="0" w:type="dxa"/>
        <w:shd w:val="clear" w:color="auto" w:fill="FFFFFF" w:themeFill="background1"/>
        <w:tblLayout w:type="autofit"/>
        <w:tblCellMar>
          <w:top w:w="0" w:type="dxa"/>
          <w:left w:w="108" w:type="dxa"/>
          <w:bottom w:w="0" w:type="dxa"/>
          <w:right w:w="108" w:type="dxa"/>
        </w:tblCellMar>
      </w:tblPr>
      <w:tblGrid>
        <w:gridCol w:w="2290"/>
        <w:gridCol w:w="1040"/>
        <w:gridCol w:w="1700"/>
        <w:gridCol w:w="1242"/>
        <w:gridCol w:w="1010"/>
        <w:gridCol w:w="2222"/>
      </w:tblGrid>
      <w:tr w14:paraId="47D865F0">
        <w:tblPrEx>
          <w:shd w:val="clear" w:color="auto" w:fill="FFFFFF" w:themeFill="background1"/>
          <w:tblCellMar>
            <w:top w:w="0" w:type="dxa"/>
            <w:left w:w="108" w:type="dxa"/>
            <w:bottom w:w="0" w:type="dxa"/>
            <w:right w:w="108" w:type="dxa"/>
          </w:tblCellMar>
        </w:tblPrEx>
        <w:trPr>
          <w:trHeight w:val="570"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65BA28">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位置及楼号</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A33F22">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户型</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B9FAC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面积（平方米）</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AD7898D">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套数（套）</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9C4C276">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朝向</w:t>
            </w:r>
          </w:p>
        </w:tc>
        <w:tc>
          <w:tcPr>
            <w:tcW w:w="116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C64F358">
            <w:pPr>
              <w:widowControl/>
              <w:adjustRightInd/>
              <w:spacing w:line="240" w:lineRule="auto"/>
              <w:jc w:val="center"/>
              <w:textAlignment w:val="auto"/>
              <w:rPr>
                <w:rFonts w:ascii="华文细黑" w:hAnsi="华文细黑" w:eastAsia="华文细黑" w:cs="Arial"/>
                <w:b/>
                <w:bCs/>
                <w:sz w:val="18"/>
                <w:szCs w:val="18"/>
              </w:rPr>
            </w:pPr>
            <w:r>
              <w:rPr>
                <w:rFonts w:hint="eastAsia" w:ascii="华文细黑" w:hAnsi="华文细黑" w:eastAsia="华文细黑" w:cs="Arial"/>
                <w:b/>
                <w:bCs/>
                <w:sz w:val="18"/>
                <w:szCs w:val="18"/>
              </w:rPr>
              <w:t>总建筑面积（平方米）</w:t>
            </w:r>
          </w:p>
        </w:tc>
      </w:tr>
      <w:tr w14:paraId="3877EBDB">
        <w:tblPrEx>
          <w:shd w:val="clear" w:color="auto" w:fill="FFFFFF" w:themeFill="background1"/>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3CB827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义和庄南街25号院1、2、3号楼（埝坛华庭西区）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159577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7C4AB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A4B1EF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EEF53A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680AE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188.19</w:t>
            </w:r>
          </w:p>
        </w:tc>
      </w:tr>
      <w:tr w14:paraId="4F8DC62A">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00E84">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59D59C">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64C50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62.73</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7E73AB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C3651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0A774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376.38</w:t>
            </w:r>
          </w:p>
        </w:tc>
      </w:tr>
      <w:tr w14:paraId="578E35B0">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F8131A">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240177C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75C008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F8C231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E2AF51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109FF2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564.57</w:t>
            </w:r>
          </w:p>
        </w:tc>
      </w:tr>
      <w:tr w14:paraId="38406AB7">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5AE7576">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DCDF2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697FE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5BDB1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F0E0F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7F334E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5428.84</w:t>
            </w:r>
          </w:p>
        </w:tc>
      </w:tr>
      <w:tr w14:paraId="55A18CB2">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4AB331">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EC927EE">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60DBA1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84.11-88.92</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A8DC0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40D999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8C9ED4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7444.69</w:t>
            </w:r>
          </w:p>
        </w:tc>
      </w:tr>
      <w:tr w14:paraId="16AED9A2">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9F6DD2">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4C44CD0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67996A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1953EB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149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94A9B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40594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12873.53</w:t>
            </w:r>
          </w:p>
        </w:tc>
      </w:tr>
      <w:tr w14:paraId="3465CCAE">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DFDC97">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31E644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FA907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855C2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2C46A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29FB81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1047.83</w:t>
            </w:r>
          </w:p>
        </w:tc>
      </w:tr>
      <w:tr w14:paraId="4EF79D52">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9FAE4">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CCAC1D6">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7B13BF">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115.97-116.91</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1B15A8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EAEC9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827CB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2675.42</w:t>
            </w:r>
          </w:p>
        </w:tc>
      </w:tr>
      <w:tr w14:paraId="71EC644E">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C5B4402">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44CC5D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4D822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87A20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32</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65F004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59A0CD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3723.25</w:t>
            </w:r>
          </w:p>
        </w:tc>
      </w:tr>
      <w:tr w14:paraId="364F613C">
        <w:tblPrEx>
          <w:shd w:val="clear" w:color="auto" w:fill="FFFFFF" w:themeFill="background1"/>
          <w:tblCellMar>
            <w:top w:w="0" w:type="dxa"/>
            <w:left w:w="108" w:type="dxa"/>
            <w:bottom w:w="0" w:type="dxa"/>
            <w:right w:w="108" w:type="dxa"/>
          </w:tblCellMar>
        </w:tblPrEx>
        <w:trPr>
          <w:trHeight w:val="264" w:hRule="atLeast"/>
        </w:trPr>
        <w:tc>
          <w:tcPr>
            <w:tcW w:w="1204" w:type="pct"/>
            <w:tcBorders>
              <w:top w:val="nil"/>
              <w:left w:val="single" w:color="000000" w:sz="4" w:space="0"/>
              <w:bottom w:val="nil"/>
              <w:right w:val="single" w:color="000000" w:sz="4" w:space="0"/>
            </w:tcBorders>
            <w:shd w:val="clear" w:color="auto" w:fill="FFFFFF" w:themeFill="background1"/>
            <w:vAlign w:val="center"/>
          </w:tcPr>
          <w:p w14:paraId="14D1055E">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1C7928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4D4BC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060684F">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190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8E6AD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BA50F7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17161.35</w:t>
            </w:r>
          </w:p>
        </w:tc>
      </w:tr>
      <w:tr w14:paraId="47B97584">
        <w:tblPrEx>
          <w:shd w:val="clear" w:color="auto" w:fill="FFFFFF" w:themeFill="background1"/>
          <w:tblCellMar>
            <w:top w:w="0" w:type="dxa"/>
            <w:left w:w="108" w:type="dxa"/>
            <w:bottom w:w="0" w:type="dxa"/>
            <w:right w:w="108" w:type="dxa"/>
          </w:tblCellMar>
        </w:tblPrEx>
        <w:trPr>
          <w:trHeight w:val="264" w:hRule="atLeast"/>
        </w:trPr>
        <w:tc>
          <w:tcPr>
            <w:tcW w:w="1204"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52115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义锦南街27号院1、2、3、4号楼（埝坛华庭东区）</w:t>
            </w: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D700894">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一居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E05E4A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32231DD">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1DFB88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B7440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187.92</w:t>
            </w:r>
          </w:p>
        </w:tc>
      </w:tr>
      <w:tr w14:paraId="23ADBF48">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0DE32E7">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7539B9D">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85ABC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62.64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1ADD2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7</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DA343C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6B6FD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438.48</w:t>
            </w:r>
          </w:p>
        </w:tc>
      </w:tr>
      <w:tr w14:paraId="0B058626">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8FE786">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nil"/>
              <w:right w:val="single" w:color="000000" w:sz="4" w:space="0"/>
            </w:tcBorders>
            <w:shd w:val="clear" w:color="auto" w:fill="FFFFFF" w:themeFill="background1"/>
            <w:vAlign w:val="center"/>
          </w:tcPr>
          <w:p w14:paraId="3AB1ECA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6CF940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46E016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10</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B3946E7">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61EE73">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626.4</w:t>
            </w:r>
          </w:p>
        </w:tc>
      </w:tr>
      <w:tr w14:paraId="098EE7C4">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F82782">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4109FE9">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两居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CD386E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9EA72C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2412A4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FEFF25">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1306.91</w:t>
            </w:r>
          </w:p>
        </w:tc>
      </w:tr>
      <w:tr w14:paraId="4B895A1A">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5E12F5">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60A2928">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ED9A971">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84.11-88.94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F46199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29</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F50588C">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861D08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2474.74</w:t>
            </w:r>
          </w:p>
        </w:tc>
      </w:tr>
      <w:tr w14:paraId="6D2DFBD6">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F5284D7">
            <w:pPr>
              <w:spacing w:line="240" w:lineRule="auto"/>
              <w:jc w:val="center"/>
              <w:rPr>
                <w:rFonts w:ascii="华文细黑" w:hAnsi="华文细黑" w:eastAsia="华文细黑" w:cs="Arial"/>
                <w:sz w:val="18"/>
                <w:szCs w:val="18"/>
              </w:rPr>
            </w:pPr>
          </w:p>
        </w:tc>
        <w:tc>
          <w:tcPr>
            <w:tcW w:w="547" w:type="pct"/>
            <w:tcBorders>
              <w:top w:val="nil"/>
              <w:left w:val="single" w:color="000000" w:sz="4" w:space="0"/>
              <w:bottom w:val="single" w:color="000000" w:sz="4" w:space="0"/>
              <w:right w:val="single" w:color="000000" w:sz="4" w:space="0"/>
            </w:tcBorders>
            <w:shd w:val="clear" w:color="auto" w:fill="FFFFFF" w:themeFill="background1"/>
            <w:vAlign w:val="center"/>
          </w:tcPr>
          <w:p w14:paraId="4BBF0D70">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B7359B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3461ED2">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44</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1927A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412B81C">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3781.65</w:t>
            </w:r>
          </w:p>
        </w:tc>
      </w:tr>
      <w:tr w14:paraId="20500617">
        <w:tblPrEx>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232FA4">
            <w:pPr>
              <w:spacing w:line="240" w:lineRule="auto"/>
              <w:jc w:val="center"/>
              <w:rPr>
                <w:rFonts w:ascii="华文细黑" w:hAnsi="华文细黑" w:eastAsia="华文细黑" w:cs="Arial"/>
                <w:sz w:val="18"/>
                <w:szCs w:val="18"/>
              </w:rPr>
            </w:pPr>
          </w:p>
        </w:tc>
        <w:tc>
          <w:tcPr>
            <w:tcW w:w="547" w:type="pct"/>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8E75376">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三居</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79A823">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F34317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6</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05B5C1B">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BE94D86">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697.62</w:t>
            </w:r>
          </w:p>
        </w:tc>
      </w:tr>
      <w:tr w14:paraId="596BCF04">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9067639">
            <w:pPr>
              <w:spacing w:line="240" w:lineRule="auto"/>
              <w:jc w:val="center"/>
              <w:rPr>
                <w:rFonts w:ascii="华文细黑" w:hAnsi="华文细黑" w:eastAsia="华文细黑" w:cs="Arial"/>
                <w:sz w:val="18"/>
                <w:szCs w:val="18"/>
              </w:rPr>
            </w:pPr>
          </w:p>
        </w:tc>
        <w:tc>
          <w:tcPr>
            <w:tcW w:w="547"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7F248B1">
            <w:pPr>
              <w:spacing w:line="240" w:lineRule="auto"/>
              <w:jc w:val="center"/>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4DB7BED">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115.8-116.74</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32E13D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25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BB98F5">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南北</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E7F34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2905.34</w:t>
            </w:r>
          </w:p>
        </w:tc>
      </w:tr>
      <w:tr w14:paraId="4F187CA7">
        <w:tblPrEx>
          <w:shd w:val="clear" w:color="auto" w:fill="FFFFFF" w:themeFill="background1"/>
          <w:tblCellMar>
            <w:top w:w="0" w:type="dxa"/>
            <w:left w:w="108" w:type="dxa"/>
            <w:bottom w:w="0" w:type="dxa"/>
            <w:right w:w="108" w:type="dxa"/>
          </w:tblCellMar>
        </w:tblPrEx>
        <w:trPr>
          <w:trHeight w:val="264" w:hRule="atLeast"/>
        </w:trPr>
        <w:tc>
          <w:tcPr>
            <w:tcW w:w="1204" w:type="pct"/>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7F1B475">
            <w:pPr>
              <w:spacing w:line="240" w:lineRule="auto"/>
              <w:jc w:val="center"/>
              <w:rPr>
                <w:rFonts w:ascii="华文细黑" w:hAnsi="华文细黑" w:eastAsia="华文细黑" w:cs="Arial"/>
                <w:sz w:val="18"/>
                <w:szCs w:val="18"/>
              </w:rPr>
            </w:pP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EA4A47A">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D46AA18">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AF84964">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31</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2243FBE">
            <w:pPr>
              <w:widowControl/>
              <w:spacing w:line="240" w:lineRule="auto"/>
              <w:jc w:val="center"/>
              <w:textAlignment w:val="center"/>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3AE41A1">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3602.96</w:t>
            </w:r>
          </w:p>
        </w:tc>
      </w:tr>
      <w:tr w14:paraId="307BE20B">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972F13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小计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9D20C0">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BFE482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52206C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56B1CF9">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w:t>
            </w: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94328AA">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8011.01</w:t>
            </w:r>
          </w:p>
        </w:tc>
      </w:tr>
      <w:tr w14:paraId="11A17F59">
        <w:tblPrEx>
          <w:tblCellMar>
            <w:top w:w="0" w:type="dxa"/>
            <w:left w:w="108" w:type="dxa"/>
            <w:bottom w:w="0" w:type="dxa"/>
            <w:right w:w="108" w:type="dxa"/>
          </w:tblCellMar>
        </w:tblPrEx>
        <w:trPr>
          <w:trHeight w:val="264" w:hRule="atLeast"/>
        </w:trPr>
        <w:tc>
          <w:tcPr>
            <w:tcW w:w="120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B9B8322">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合计</w:t>
            </w:r>
          </w:p>
        </w:tc>
        <w:tc>
          <w:tcPr>
            <w:tcW w:w="54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38027F9A">
            <w:pPr>
              <w:widowControl/>
              <w:adjustRightInd/>
              <w:spacing w:line="240" w:lineRule="auto"/>
              <w:jc w:val="center"/>
              <w:textAlignment w:val="auto"/>
              <w:rPr>
                <w:rFonts w:ascii="华文细黑" w:hAnsi="华文细黑" w:eastAsia="华文细黑" w:cs="Arial"/>
                <w:sz w:val="18"/>
                <w:szCs w:val="18"/>
              </w:rPr>
            </w:pPr>
          </w:p>
        </w:tc>
        <w:tc>
          <w:tcPr>
            <w:tcW w:w="894"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2E5FF07">
            <w:pPr>
              <w:widowControl/>
              <w:adjustRightInd/>
              <w:spacing w:line="240" w:lineRule="auto"/>
              <w:jc w:val="center"/>
              <w:textAlignment w:val="auto"/>
              <w:rPr>
                <w:rFonts w:ascii="华文细黑" w:hAnsi="华文细黑" w:eastAsia="华文细黑" w:cs="Arial"/>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C757F57">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275</w:t>
            </w:r>
          </w:p>
        </w:tc>
        <w:tc>
          <w:tcPr>
            <w:tcW w:w="53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2A3179B">
            <w:pPr>
              <w:widowControl/>
              <w:adjustRightInd/>
              <w:spacing w:line="240" w:lineRule="auto"/>
              <w:jc w:val="center"/>
              <w:textAlignment w:val="auto"/>
              <w:rPr>
                <w:rFonts w:ascii="华文细黑" w:hAnsi="华文细黑" w:eastAsia="华文细黑" w:cs="Arial"/>
                <w:sz w:val="18"/>
                <w:szCs w:val="18"/>
              </w:rPr>
            </w:pPr>
          </w:p>
        </w:tc>
        <w:tc>
          <w:tcPr>
            <w:tcW w:w="222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5CD5778">
            <w:pPr>
              <w:widowControl/>
              <w:adjustRightInd/>
              <w:spacing w:line="240" w:lineRule="auto"/>
              <w:jc w:val="center"/>
              <w:textAlignment w:val="auto"/>
              <w:rPr>
                <w:rFonts w:ascii="华文细黑" w:hAnsi="华文细黑" w:eastAsia="华文细黑" w:cs="Arial"/>
                <w:sz w:val="18"/>
                <w:szCs w:val="18"/>
              </w:rPr>
            </w:pPr>
            <w:r>
              <w:rPr>
                <w:rFonts w:hint="eastAsia" w:ascii="华文细黑" w:hAnsi="华文细黑" w:eastAsia="华文细黑" w:cs="Arial"/>
                <w:sz w:val="18"/>
                <w:szCs w:val="18"/>
              </w:rPr>
              <w:t>25172.36</w:t>
            </w:r>
          </w:p>
        </w:tc>
      </w:tr>
    </w:tbl>
    <w:p w14:paraId="7B9F2A42">
      <w:pPr>
        <w:overflowPunct w:val="0"/>
        <w:spacing w:before="240" w:beforeLines="100" w:line="480" w:lineRule="auto"/>
        <w:ind w:firstLine="420" w:firstLineChars="200"/>
        <w:jc w:val="both"/>
        <w:textAlignment w:val="auto"/>
        <w:rPr>
          <w:rFonts w:ascii="Arial" w:hAnsi="Arial" w:cs="Arial"/>
          <w:sz w:val="21"/>
          <w:szCs w:val="21"/>
        </w:rPr>
      </w:pPr>
      <w:r>
        <w:rPr>
          <w:rFonts w:hint="eastAsia" w:ascii="Arial" w:hAnsi="Arial" w:cs="Arial"/>
          <w:sz w:val="21"/>
          <w:szCs w:val="21"/>
        </w:rPr>
        <w:t>（2）建筑结构：估价对象所属楼宇建筑结构为</w:t>
      </w:r>
      <w:r>
        <w:rPr>
          <w:rFonts w:hint="eastAsia" w:ascii="Arial" w:hAnsi="Arial" w:cs="Arial"/>
          <w:kern w:val="2"/>
          <w:sz w:val="21"/>
          <w:szCs w:val="21"/>
        </w:rPr>
        <w:t>钢筋混凝土结构</w:t>
      </w:r>
      <w:r>
        <w:rPr>
          <w:rFonts w:hint="eastAsia" w:ascii="Arial" w:hAnsi="Arial" w:cs="Arial"/>
          <w:sz w:val="21"/>
          <w:szCs w:val="21"/>
        </w:rPr>
        <w:t>。</w:t>
      </w:r>
    </w:p>
    <w:p w14:paraId="24251745">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（3）建筑外观：</w:t>
      </w:r>
      <w:r>
        <w:rPr>
          <w:rFonts w:hint="eastAsia" w:ascii="Arial" w:hAnsi="Arial" w:cs="Arial"/>
          <w:kern w:val="2"/>
          <w:sz w:val="21"/>
          <w:szCs w:val="21"/>
        </w:rPr>
        <w:t>估价对象为高层板楼</w:t>
      </w:r>
      <w:r>
        <w:rPr>
          <w:rFonts w:hint="eastAsia" w:ascii="Arial" w:hAnsi="Arial" w:cs="Arial"/>
          <w:sz w:val="21"/>
          <w:szCs w:val="21"/>
        </w:rPr>
        <w:t>。</w:t>
      </w:r>
    </w:p>
    <w:p w14:paraId="3DFA7E1E">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4）设施设备及家具家电：估价对象所在项目配套设施完备，给排水、电力、电讯、暖通等齐全；防火栓、安防系统等设备齐全；估价对象内部配备客厅及卧室（吸顶灯、入门鞋柜、智能锁）、厨房（配备整体橱柜、灶具、排烟机、洗菜盆、节水型龙头）、卫生间（配备洗面盆、盥洗镜、节水座便器、节水型淋浴喷头、电热水器、防臭地漏、洗衣机龙头、冷热水八字阀）等基本家具家电。估价对象作为保障性租赁住房（住宅型）出租使用。</w:t>
      </w:r>
    </w:p>
    <w:p w14:paraId="4DC52CC0">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（5）装饰装修：根据《估价委托书》及估价人员实地查勘，估价对象均为</w:t>
      </w:r>
      <w:r>
        <w:rPr>
          <w:rFonts w:hint="eastAsia" w:ascii="Arial" w:hAnsi="Arial" w:cs="Arial"/>
          <w:sz w:val="21"/>
          <w:szCs w:val="21"/>
          <w:lang w:eastAsia="zh-CN"/>
        </w:rPr>
        <w:t>中档装修</w:t>
      </w:r>
      <w:r>
        <w:rPr>
          <w:rFonts w:hint="eastAsia" w:ascii="Arial" w:hAnsi="Arial" w:cs="Arial"/>
          <w:sz w:val="21"/>
          <w:szCs w:val="21"/>
        </w:rPr>
        <w:t>，外立面为涂料，公共部分首层地面贴砖，顶棚为涂料，墙面为涂料。室内地面铺设地砖，墙面为涂料，顶棚为涂料；卫生间有陶瓷洗手池、坐便器，地面铺设地砖，墙面为墙砖，顶棚为铝扣板；厨房有整体橱柜、不锈钢洗菜池，地面铺设地砖，墙面为墙砖，顶棚为铝扣板，阳台地面铺设地砖，墙面为涂料，顶棚为涂料。</w:t>
      </w:r>
    </w:p>
    <w:p w14:paraId="20529226">
      <w:pPr>
        <w:wordWrap w:val="0"/>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（6）新旧程度：《北京市大兴区住房和城乡建设委员会 关于向燕兴公司出售我区安置房剩余房源资产的请示》[京兴建文（2026）20号]及其附件2——项目房源汇总表，</w:t>
      </w:r>
      <w:r>
        <w:rPr>
          <w:rFonts w:hint="eastAsia" w:ascii="Arial" w:hAnsi="Arial" w:cs="Arial"/>
          <w:kern w:val="2"/>
          <w:sz w:val="21"/>
          <w:szCs w:val="21"/>
        </w:rPr>
        <w:t>埝坛华庭建成于2024年6月</w:t>
      </w:r>
      <w:r>
        <w:rPr>
          <w:rFonts w:hint="eastAsia" w:ascii="Arial" w:hAnsi="Arial" w:cs="Arial"/>
          <w:sz w:val="21"/>
          <w:szCs w:val="21"/>
        </w:rPr>
        <w:t>观察成新度较高，综合成新度为90%-100</w:t>
      </w:r>
      <w:r>
        <w:rPr>
          <w:rFonts w:ascii="Arial" w:hAnsi="Arial" w:cs="Arial"/>
          <w:sz w:val="21"/>
          <w:szCs w:val="21"/>
        </w:rPr>
        <w:t>%</w:t>
      </w:r>
      <w:r>
        <w:rPr>
          <w:rFonts w:hint="eastAsia" w:ascii="Arial" w:hAnsi="Arial" w:cs="Arial"/>
          <w:sz w:val="21"/>
          <w:szCs w:val="21"/>
        </w:rPr>
        <w:t>。</w:t>
      </w:r>
    </w:p>
    <w:p w14:paraId="1ABD91D3">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（7）户型设计：估价对象均为平层结构，分为三种户型，分别为一居室、两居室、三居室。一居室19套、两居室193套、三居室63套。</w:t>
      </w:r>
    </w:p>
    <w:p w14:paraId="75901335">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8）朝向：估价对象一居室19套（户型面积区间62.64至62.73平方米），南朝向6套、南北朝向13套；两居室193套（户型面积区间84.11至88.94平方米），南朝向77套、南北朝向116套；三居室63套（户型面积区间115.8至116.74平方米），南朝向15套、南北朝向48套。</w:t>
      </w:r>
    </w:p>
    <w:p w14:paraId="333DC400">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（9）综合服务管理设施：估价对象所属小区为封闭式管理，门口设有快递柜、小区内设有垃圾分类收集点。</w:t>
      </w:r>
    </w:p>
    <w:p w14:paraId="639515A1">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（10）水电气费执行标准：估价对象执行民水民电标准。</w:t>
      </w:r>
    </w:p>
    <w:p w14:paraId="696BB553">
      <w:pPr>
        <w:spacing w:line="480" w:lineRule="auto"/>
        <w:ind w:firstLine="420" w:firstLineChars="200"/>
        <w:rPr>
          <w:rFonts w:ascii="Arial" w:hAnsi="Arial" w:cs="Arial"/>
          <w:sz w:val="21"/>
          <w:szCs w:val="21"/>
        </w:rPr>
      </w:pPr>
      <w:r>
        <w:rPr>
          <w:rFonts w:hint="eastAsia" w:ascii="Arial" w:hAnsi="Arial" w:cs="Arial"/>
          <w:sz w:val="21"/>
          <w:szCs w:val="21"/>
        </w:rPr>
        <w:t>3</w:t>
      </w:r>
      <w:r>
        <w:rPr>
          <w:rFonts w:ascii="Arial" w:hAnsi="Arial" w:cs="Arial"/>
          <w:sz w:val="21"/>
          <w:szCs w:val="21"/>
        </w:rPr>
        <w:t>.</w:t>
      </w:r>
      <w:r>
        <w:rPr>
          <w:rFonts w:hint="eastAsia" w:ascii="Arial" w:hAnsi="Arial" w:cs="Arial"/>
          <w:sz w:val="21"/>
          <w:szCs w:val="21"/>
        </w:rPr>
        <w:t>对价格影响的分析</w:t>
      </w:r>
    </w:p>
    <w:p w14:paraId="64182A4F">
      <w:pPr>
        <w:spacing w:line="480" w:lineRule="auto"/>
        <w:ind w:firstLine="420" w:firstLineChars="200"/>
        <w:rPr>
          <w:rFonts w:ascii="Arial" w:hAnsi="Arial" w:cs="Arial"/>
          <w:sz w:val="21"/>
          <w:szCs w:val="21"/>
        </w:rPr>
      </w:pPr>
      <w:r>
        <w:rPr>
          <w:rFonts w:ascii="Arial" w:hAnsi="Arial" w:cs="Arial"/>
          <w:sz w:val="21"/>
          <w:szCs w:val="21"/>
        </w:rPr>
        <w:t>估价对象作为</w:t>
      </w:r>
      <w:r>
        <w:rPr>
          <w:rFonts w:hint="eastAsia" w:ascii="Arial" w:hAnsi="Arial" w:cs="Arial"/>
          <w:kern w:val="2"/>
          <w:sz w:val="21"/>
          <w:szCs w:val="21"/>
        </w:rPr>
        <w:t>保障性租赁住房（住宅型）</w:t>
      </w:r>
      <w:r>
        <w:rPr>
          <w:rFonts w:ascii="Arial" w:hAnsi="Arial" w:cs="Arial"/>
          <w:sz w:val="21"/>
          <w:szCs w:val="21"/>
        </w:rPr>
        <w:t>使用，通用性相对较好，能完全满足大部分</w:t>
      </w:r>
      <w:r>
        <w:rPr>
          <w:rFonts w:hint="eastAsia" w:ascii="Arial" w:hAnsi="Arial" w:cs="Arial"/>
          <w:sz w:val="21"/>
          <w:szCs w:val="21"/>
        </w:rPr>
        <w:t>承</w:t>
      </w:r>
      <w:r>
        <w:rPr>
          <w:rFonts w:ascii="Arial" w:hAnsi="Arial" w:cs="Arial"/>
          <w:sz w:val="21"/>
          <w:szCs w:val="21"/>
        </w:rPr>
        <w:t>租者的需求，</w:t>
      </w:r>
      <w:r>
        <w:rPr>
          <w:rFonts w:hint="eastAsia" w:ascii="Arial" w:hAnsi="Arial" w:cs="Arial"/>
          <w:sz w:val="21"/>
          <w:szCs w:val="21"/>
        </w:rPr>
        <w:t>不</w:t>
      </w:r>
      <w:r>
        <w:rPr>
          <w:rFonts w:ascii="Arial" w:hAnsi="Arial" w:cs="Arial"/>
          <w:sz w:val="21"/>
          <w:szCs w:val="21"/>
        </w:rPr>
        <w:t>影响其租金价格水平。</w:t>
      </w:r>
    </w:p>
    <w:p w14:paraId="0E1C0DE4">
      <w:pPr>
        <w:pStyle w:val="3"/>
        <w:numPr>
          <w:ilvl w:val="0"/>
          <w:numId w:val="0"/>
        </w:numPr>
        <w:spacing w:line="480" w:lineRule="auto"/>
        <w:ind w:left="360" w:hanging="361" w:hangingChars="171"/>
        <w:jc w:val="both"/>
        <w:rPr>
          <w:rFonts w:eastAsia="宋体"/>
          <w:kern w:val="2"/>
          <w:sz w:val="21"/>
          <w:szCs w:val="21"/>
        </w:rPr>
      </w:pPr>
      <w:bookmarkStart w:id="53" w:name="_Toc525655436"/>
      <w:bookmarkStart w:id="54" w:name="_Toc155267103"/>
      <w:r>
        <w:rPr>
          <w:rFonts w:eastAsia="宋体"/>
          <w:kern w:val="2"/>
          <w:sz w:val="21"/>
          <w:szCs w:val="21"/>
        </w:rPr>
        <w:t>（</w:t>
      </w:r>
      <w:r>
        <w:rPr>
          <w:rFonts w:hint="eastAsia" w:eastAsia="宋体"/>
          <w:kern w:val="2"/>
          <w:sz w:val="21"/>
          <w:szCs w:val="21"/>
        </w:rPr>
        <w:t>三</w:t>
      </w:r>
      <w:r>
        <w:rPr>
          <w:rFonts w:eastAsia="宋体"/>
          <w:kern w:val="2"/>
          <w:sz w:val="21"/>
          <w:szCs w:val="21"/>
        </w:rPr>
        <w:t>）权益状况分析</w:t>
      </w:r>
      <w:bookmarkEnd w:id="53"/>
      <w:bookmarkEnd w:id="54"/>
    </w:p>
    <w:p w14:paraId="654D9A99">
      <w:pPr>
        <w:spacing w:line="480" w:lineRule="auto"/>
        <w:ind w:firstLine="420" w:firstLineChars="200"/>
        <w:rPr>
          <w:rFonts w:ascii="Arial" w:hAnsi="Arial" w:cs="Arial"/>
          <w:kern w:val="2"/>
          <w:sz w:val="21"/>
          <w:szCs w:val="21"/>
        </w:rPr>
      </w:pPr>
      <w:bookmarkStart w:id="55" w:name="_Toc525655437"/>
      <w:r>
        <w:rPr>
          <w:rFonts w:hint="eastAsia" w:ascii="Arial" w:hAnsi="Arial" w:cs="Arial"/>
          <w:sz w:val="21"/>
          <w:szCs w:val="21"/>
        </w:rPr>
        <w:t>根据估价委托人提供的《北京市保障性住房收购合同》及其附件、《不动产权证书》[京（2026）大不动产权第0006767、0006768、0006769、0003772、0006911、0006930号]部分及评估专业人员实地查勘，于价值时点，估价对象不存在抵押、</w:t>
      </w:r>
      <w:r>
        <w:rPr>
          <w:rFonts w:hint="eastAsia" w:ascii="Arial" w:hAnsi="Arial" w:cs="Arial"/>
          <w:kern w:val="2"/>
          <w:sz w:val="21"/>
          <w:szCs w:val="21"/>
        </w:rPr>
        <w:t>租赁、地役、查封等限制。</w:t>
      </w:r>
      <w:bookmarkStart w:id="56" w:name="_Toc155267104"/>
    </w:p>
    <w:p w14:paraId="6D30D751">
      <w:pPr>
        <w:spacing w:line="480" w:lineRule="auto"/>
        <w:ind w:firstLine="420" w:firstLineChars="200"/>
        <w:rPr>
          <w:rFonts w:ascii="Arial" w:hAnsi="Arial" w:cs="Arial"/>
          <w:kern w:val="2"/>
          <w:sz w:val="21"/>
          <w:szCs w:val="21"/>
        </w:rPr>
      </w:pPr>
    </w:p>
    <w:p w14:paraId="05C1224F">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二、市场背景描述与分析</w:t>
      </w:r>
      <w:bookmarkEnd w:id="55"/>
      <w:bookmarkEnd w:id="56"/>
    </w:p>
    <w:p w14:paraId="5D4DE91E">
      <w:pPr>
        <w:overflowPunct w:val="0"/>
        <w:spacing w:line="480" w:lineRule="auto"/>
        <w:ind w:right="205"/>
        <w:jc w:val="both"/>
        <w:textAlignment w:val="auto"/>
        <w:rPr>
          <w:rFonts w:ascii="Arial" w:hAnsi="Arial"/>
          <w:b/>
          <w:bCs/>
          <w:sz w:val="21"/>
          <w:szCs w:val="21"/>
        </w:rPr>
      </w:pPr>
      <w:bookmarkStart w:id="57" w:name="_Toc525655438"/>
      <w:r>
        <w:rPr>
          <w:rFonts w:hint="eastAsia" w:ascii="Arial" w:hAnsi="Arial"/>
          <w:b/>
          <w:bCs/>
          <w:sz w:val="21"/>
          <w:szCs w:val="21"/>
        </w:rPr>
        <w:t>（一）类似房地产市场状况</w:t>
      </w:r>
    </w:p>
    <w:p w14:paraId="10F51B7D">
      <w:pPr>
        <w:overflowPunct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1.宏观环境</w:t>
      </w:r>
    </w:p>
    <w:p w14:paraId="262C39FE">
      <w:pPr>
        <w:widowControl/>
        <w:adjustRightInd/>
        <w:spacing w:line="480" w:lineRule="auto"/>
        <w:ind w:firstLine="525" w:firstLineChars="250"/>
        <w:jc w:val="both"/>
        <w:textAlignment w:val="auto"/>
        <w:rPr>
          <w:rFonts w:ascii="Arial" w:hAnsi="Arial"/>
          <w:color w:val="000000"/>
          <w:sz w:val="21"/>
          <w:szCs w:val="21"/>
        </w:rPr>
      </w:pPr>
      <w:bookmarkStart w:id="58" w:name="OLE_LINK34"/>
      <w:bookmarkStart w:id="59" w:name="OLE_LINK33"/>
      <w:r>
        <w:rPr>
          <w:rFonts w:hint="eastAsia" w:ascii="Arial" w:hAnsi="Arial"/>
          <w:color w:val="000000"/>
          <w:sz w:val="21"/>
          <w:szCs w:val="21"/>
        </w:rPr>
        <w:t>北京市位于北纬39度56分，东经116度20分，地处华北大平原的北部，北京市土地面积16410.54平方公里。北京地势西北高耸，东南低缓。西部、北部和东北部是连绵不断的群山，东南是一片缓缓向渤海倾斜的平原。北京市东部与天津市毗邻，其余均与河北省交界。北京市目前为16区格局，即东城、西城、海淀、朝阳、丰台、顺义、昌平、通州、门头沟、石景山、房山、大兴、怀柔、平谷、密云、延庆。</w:t>
      </w:r>
    </w:p>
    <w:p w14:paraId="09B985DE">
      <w:pPr>
        <w:widowControl/>
        <w:adjustRightInd/>
        <w:spacing w:line="480" w:lineRule="auto"/>
        <w:ind w:firstLine="525" w:firstLineChars="250"/>
        <w:jc w:val="both"/>
        <w:textAlignment w:val="auto"/>
        <w:rPr>
          <w:rFonts w:ascii="Arial" w:hAnsi="Arial"/>
          <w:color w:val="000000"/>
          <w:sz w:val="21"/>
          <w:szCs w:val="21"/>
        </w:rPr>
      </w:pPr>
      <w:r>
        <w:rPr>
          <w:rFonts w:ascii="Arial" w:hAnsi="Arial"/>
          <w:sz w:val="21"/>
          <w:szCs w:val="21"/>
        </w:rPr>
        <w:t>截至2024年年末，北京市常住人口为2183.2万人，从年龄构成看，0-14岁常住人口261.2万人，占全市常住人口的比重为12.0%；15-59岁常住人口1408.0万人，占64.5%；60岁及以上常住人口514.0万人，占23.5%</w:t>
      </w:r>
      <w:r>
        <w:rPr>
          <w:rFonts w:hint="eastAsia" w:ascii="Arial" w:hAnsi="Arial"/>
          <w:color w:val="000000"/>
          <w:sz w:val="21"/>
          <w:szCs w:val="21"/>
        </w:rPr>
        <w:t>。</w:t>
      </w:r>
    </w:p>
    <w:p w14:paraId="2D5138CB">
      <w:pPr>
        <w:overflowPunct w:val="0"/>
        <w:spacing w:line="240" w:lineRule="auto"/>
        <w:jc w:val="center"/>
        <w:rPr>
          <w:rFonts w:ascii="Arial" w:hAnsi="Arial" w:eastAsia="方正黑体简体"/>
          <w:bCs/>
          <w:color w:val="000000"/>
          <w:szCs w:val="24"/>
        </w:rPr>
      </w:pPr>
      <w:r>
        <w:rPr>
          <w:rFonts w:ascii="Arial" w:hAnsi="Arial" w:eastAsia="方正黑体简体"/>
          <w:bCs/>
          <w:color w:val="000000"/>
          <w:szCs w:val="24"/>
        </w:rPr>
        <w:t>20</w:t>
      </w:r>
      <w:r>
        <w:rPr>
          <w:rFonts w:hint="eastAsia" w:ascii="Arial" w:hAnsi="Arial" w:eastAsia="方正黑体简体"/>
          <w:bCs/>
          <w:color w:val="000000"/>
          <w:szCs w:val="24"/>
        </w:rPr>
        <w:t>20</w:t>
      </w:r>
      <w:r>
        <w:rPr>
          <w:rFonts w:ascii="Arial" w:hAnsi="Arial" w:eastAsia="方正黑体简体"/>
          <w:bCs/>
          <w:color w:val="000000"/>
          <w:szCs w:val="24"/>
        </w:rPr>
        <w:t>-202</w:t>
      </w:r>
      <w:r>
        <w:rPr>
          <w:rFonts w:hint="eastAsia" w:ascii="Arial" w:hAnsi="Arial" w:eastAsia="方正黑体简体"/>
          <w:bCs/>
          <w:color w:val="000000"/>
          <w:szCs w:val="24"/>
        </w:rPr>
        <w:t>4年常住人口增量及增长速度</w:t>
      </w:r>
    </w:p>
    <w:p w14:paraId="1FFC7E7E">
      <w:pPr>
        <w:widowControl/>
        <w:adjustRightInd/>
        <w:spacing w:line="480" w:lineRule="auto"/>
        <w:jc w:val="center"/>
        <w:textAlignment w:val="auto"/>
        <w:rPr>
          <w:rFonts w:ascii="Arial" w:hAnsi="Arial"/>
          <w:color w:val="000000"/>
          <w:sz w:val="21"/>
          <w:szCs w:val="21"/>
        </w:rPr>
      </w:pPr>
      <w:r>
        <w:rPr>
          <w:rFonts w:ascii="Arial" w:hAnsi="Arial" w:eastAsia="仿宋" w:cs="Arial"/>
          <w:sz w:val="28"/>
          <w:szCs w:val="28"/>
        </w:rPr>
        <w:drawing>
          <wp:inline distT="0" distB="0" distL="114300" distR="114300">
            <wp:extent cx="5905500" cy="2171700"/>
            <wp:effectExtent l="4445" t="4445" r="18415" b="1841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bookmarkEnd w:id="58"/>
    <w:bookmarkEnd w:id="59"/>
    <w:p w14:paraId="348D6AD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根据北京市统计局地区生产总值统一核算结果，2025年全年，北京市实现地区生产总值52073.4亿元，按不变价格计算，比上年增长5.4%。分产业看，第一产业实现增加值109.2亿元，下降0.7%；第二产业实现增加值7187.4亿元，增长3.5%；第三产业实现增加值44776.9亿元，增长5.8%。</w:t>
      </w:r>
    </w:p>
    <w:p w14:paraId="30485D06">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固定资产投资（不含农户）比上年增长5.5%。其中，反映企业生产能力扩大的设备购置投资增长66.0%，占固定资产投资的比重为32.3%，同比提高11.7个百分点，新一代信息技术、集成电路领域相关项目是主要带动力量。分领域看，基础设施投资下降1.6%，房地产开发投资下降15.5%。分产业看，第一产业投资增长6.3%；第二产业投资增长4.3%；第三产业投资增长5.6%，其中，信息传输、软件和信息技术服务业，科学研究和技术服务业投资分别增长83.0%和8.5%；“投资于人”稳步推进，教育、文化体育和娱乐业投资分别增长30.7%和30.1%。高技术产业投资保持活跃，增长40.1%，其中高技术服务业投资增长64.9%，互联网企业算力设备更新等领域加大投入。</w:t>
      </w:r>
    </w:p>
    <w:p w14:paraId="63257B61">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2025年末，北京市房屋施工面积10307.8万平方米，比上年末下降8.9%，其中，住宅施工面积5149.6万平方米，下降9.1%。全年商品房销售面积1041.0万平方米，下降6.9%，其中，住宅销售面积724.0万平方米，下降7.9%。</w:t>
      </w:r>
    </w:p>
    <w:p w14:paraId="2FFB2E07">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2025年，北京市房地产开发企业房屋新开工面积1156.6万平方米，同比下降10.1%。其中，住宅新开工面积727.8万平方米，下降4.5%；办公楼35.1万平方米，下降40.2%；商业营业用房58万平方米，下降11.2%。</w:t>
      </w:r>
    </w:p>
    <w:p w14:paraId="52218AB3">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北京市房屋竣工面积1464.8万平方米，同比下降11.4%。其中，住宅竣工面积746.7万平方米，下降18.2%；办公楼53.4万平方米，下降35%；商业营业用房123.8万平方米，增长98.3%。</w:t>
      </w:r>
    </w:p>
    <w:p w14:paraId="6BD2CBCB">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总的来看，2025年北京市坚持稳中求进工作总基调，完整准确全面贯彻新发展理念，落实落细稳经济系列政策措施，积极应对各类风险挑战，全市经济保持平稳运行，生产需求稳中向好，就业物价保持稳定，居民收入稳步增加，新质生产力培育壮大，高质量发展取得积极成效，实现“十四五”圆满收官。</w:t>
      </w:r>
    </w:p>
    <w:p w14:paraId="10E111A0">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w:t>
      </w:r>
      <w:r>
        <w:rPr>
          <w:rFonts w:hint="eastAsia" w:ascii="Arial" w:hAnsi="Arial"/>
          <w:color w:val="000000"/>
          <w:sz w:val="21"/>
          <w:szCs w:val="21"/>
        </w:rPr>
        <w:t>土地市场</w:t>
      </w:r>
    </w:p>
    <w:p w14:paraId="256DE9BD">
      <w:pPr>
        <w:widowControl/>
        <w:overflowPunct w:val="0"/>
        <w:adjustRightInd/>
        <w:spacing w:line="480" w:lineRule="auto"/>
        <w:ind w:firstLine="420" w:firstLineChars="200"/>
        <w:jc w:val="both"/>
        <w:textAlignment w:val="auto"/>
        <w:rPr>
          <w:rFonts w:ascii="Arial" w:hAnsi="Arial"/>
          <w:color w:val="000000"/>
          <w:sz w:val="21"/>
          <w:szCs w:val="21"/>
        </w:rPr>
      </w:pPr>
      <w:r>
        <w:rPr>
          <w:rFonts w:hint="eastAsia" w:ascii="Arial" w:hAnsi="Arial"/>
          <w:color w:val="000000"/>
          <w:sz w:val="21"/>
          <w:szCs w:val="21"/>
        </w:rPr>
        <w:t>（1）土地供求情况</w:t>
      </w:r>
    </w:p>
    <w:p w14:paraId="04ACBD7F">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供应减量提质，核心区优质地块供应力度明显加大，</w:t>
      </w:r>
      <w:r>
        <w:rPr>
          <w:rFonts w:ascii="Arial" w:hAnsi="Arial"/>
          <w:color w:val="000000"/>
          <w:sz w:val="21"/>
          <w:szCs w:val="21"/>
        </w:rPr>
        <w:t>共推出</w:t>
      </w:r>
      <w:r>
        <w:rPr>
          <w:rFonts w:hint="eastAsia" w:ascii="Arial" w:hAnsi="Arial"/>
          <w:color w:val="000000"/>
          <w:sz w:val="21"/>
          <w:szCs w:val="21"/>
        </w:rPr>
        <w:t>36</w:t>
      </w:r>
      <w:r>
        <w:rPr>
          <w:rFonts w:ascii="Arial" w:hAnsi="Arial"/>
          <w:color w:val="000000"/>
          <w:sz w:val="21"/>
          <w:szCs w:val="21"/>
        </w:rPr>
        <w:t>宗住宅用地，累计供应规划建面</w:t>
      </w:r>
      <w:r>
        <w:rPr>
          <w:rFonts w:hint="eastAsia" w:ascii="Arial" w:hAnsi="Arial"/>
          <w:color w:val="000000"/>
          <w:sz w:val="21"/>
          <w:szCs w:val="21"/>
        </w:rPr>
        <w:t>306.95</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w:t>
      </w:r>
      <w:r>
        <w:rPr>
          <w:rFonts w:hint="eastAsia" w:ascii="Arial" w:hAnsi="Arial"/>
          <w:color w:val="000000"/>
          <w:sz w:val="21"/>
          <w:szCs w:val="21"/>
        </w:rPr>
        <w:t>下降37.6</w:t>
      </w:r>
      <w:r>
        <w:rPr>
          <w:rFonts w:ascii="Arial" w:hAnsi="Arial"/>
          <w:color w:val="000000"/>
          <w:sz w:val="21"/>
          <w:szCs w:val="21"/>
        </w:rPr>
        <w:t>%</w:t>
      </w:r>
      <w:r>
        <w:rPr>
          <w:rFonts w:hint="eastAsia" w:ascii="Arial" w:hAnsi="Arial"/>
          <w:color w:val="000000"/>
          <w:sz w:val="21"/>
          <w:szCs w:val="21"/>
        </w:rPr>
        <w:t>。</w:t>
      </w:r>
      <w:r>
        <w:rPr>
          <w:rFonts w:ascii="Arial" w:hAnsi="Arial"/>
          <w:color w:val="000000"/>
          <w:sz w:val="21"/>
          <w:szCs w:val="21"/>
        </w:rPr>
        <w:t>202</w:t>
      </w:r>
      <w:r>
        <w:rPr>
          <w:rFonts w:hint="eastAsia" w:ascii="Arial" w:hAnsi="Arial"/>
          <w:color w:val="000000"/>
          <w:sz w:val="21"/>
          <w:szCs w:val="21"/>
        </w:rPr>
        <w:t>5</w:t>
      </w:r>
      <w:r>
        <w:rPr>
          <w:rFonts w:ascii="Arial" w:hAnsi="Arial"/>
          <w:color w:val="000000"/>
          <w:sz w:val="21"/>
          <w:szCs w:val="21"/>
        </w:rPr>
        <w:t>年北京商品住宅用地</w:t>
      </w:r>
      <w:r>
        <w:rPr>
          <w:rFonts w:hint="eastAsia" w:ascii="Arial" w:hAnsi="Arial"/>
          <w:color w:val="000000"/>
          <w:sz w:val="21"/>
          <w:szCs w:val="21"/>
        </w:rPr>
        <w:t>共</w:t>
      </w:r>
      <w:r>
        <w:rPr>
          <w:rFonts w:ascii="Arial" w:hAnsi="Arial"/>
          <w:color w:val="000000"/>
          <w:sz w:val="21"/>
          <w:szCs w:val="21"/>
        </w:rPr>
        <w:t>成交</w:t>
      </w:r>
      <w:r>
        <w:rPr>
          <w:rFonts w:hint="eastAsia" w:ascii="Arial" w:hAnsi="Arial"/>
          <w:color w:val="000000"/>
          <w:sz w:val="21"/>
          <w:szCs w:val="21"/>
        </w:rPr>
        <w:t>40</w:t>
      </w:r>
      <w:r>
        <w:rPr>
          <w:rFonts w:ascii="Arial" w:hAnsi="Arial"/>
          <w:color w:val="000000"/>
          <w:sz w:val="21"/>
          <w:szCs w:val="21"/>
        </w:rPr>
        <w:t>宗，成交规划建面</w:t>
      </w:r>
      <w:r>
        <w:rPr>
          <w:rFonts w:hint="eastAsia" w:ascii="Arial" w:hAnsi="Arial"/>
          <w:color w:val="000000"/>
          <w:sz w:val="21"/>
          <w:szCs w:val="21"/>
        </w:rPr>
        <w:t>359.07</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，同比下降</w:t>
      </w:r>
      <w:r>
        <w:rPr>
          <w:rFonts w:hint="eastAsia" w:ascii="Arial" w:hAnsi="Arial"/>
          <w:color w:val="000000"/>
          <w:sz w:val="21"/>
          <w:szCs w:val="21"/>
        </w:rPr>
        <w:t>23.7</w:t>
      </w:r>
      <w:r>
        <w:rPr>
          <w:rFonts w:ascii="Arial" w:hAnsi="Arial"/>
          <w:color w:val="000000"/>
          <w:sz w:val="21"/>
          <w:szCs w:val="21"/>
        </w:rPr>
        <w:t>%</w:t>
      </w:r>
      <w:r>
        <w:rPr>
          <w:rFonts w:hint="eastAsia" w:ascii="Arial" w:hAnsi="Arial"/>
          <w:color w:val="000000"/>
          <w:sz w:val="21"/>
          <w:szCs w:val="21"/>
        </w:rPr>
        <w:t>。土地成交价款合计1427.42亿元，同比下降8.2%。成交的40宗住宅用地中，50%地块位于主城六区，其中海淀区共出让7宗住宅用地，累计成交金额超448亿元。</w:t>
      </w:r>
    </w:p>
    <w:p w14:paraId="71EE6FB3">
      <w:pPr>
        <w:overflowPunct w:val="0"/>
        <w:spacing w:line="360" w:lineRule="auto"/>
        <w:jc w:val="center"/>
        <w:rPr>
          <w:rFonts w:ascii="Arial" w:hAnsi="Arial" w:eastAsia="仿宋_GB2312"/>
          <w:b/>
          <w:bCs/>
          <w:color w:val="000000"/>
          <w:szCs w:val="24"/>
        </w:rPr>
      </w:pPr>
      <w:r>
        <w:drawing>
          <wp:inline distT="0" distB="0" distL="114300" distR="114300">
            <wp:extent cx="5182235" cy="2476500"/>
            <wp:effectExtent l="4445" t="4445" r="10160" b="18415"/>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401991">
      <w:pPr>
        <w:widowControl/>
        <w:overflowPunct w:val="0"/>
        <w:adjustRightInd/>
        <w:spacing w:line="480" w:lineRule="auto"/>
        <w:ind w:firstLine="420" w:firstLineChars="200"/>
        <w:jc w:val="both"/>
        <w:textAlignment w:val="auto"/>
        <w:rPr>
          <w:rFonts w:ascii="Arial" w:hAnsi="Arial"/>
          <w:sz w:val="21"/>
          <w:szCs w:val="21"/>
        </w:rPr>
      </w:pPr>
      <w:r>
        <w:rPr>
          <w:rFonts w:hint="eastAsia" w:ascii="Arial" w:hAnsi="Arial"/>
          <w:sz w:val="21"/>
          <w:szCs w:val="21"/>
        </w:rPr>
        <w:t>（2）土地成交情况</w:t>
      </w:r>
    </w:p>
    <w:p w14:paraId="2D21AD1D">
      <w:pPr>
        <w:widowControl/>
        <w:adjustRightInd/>
        <w:spacing w:line="480" w:lineRule="auto"/>
        <w:ind w:firstLine="525" w:firstLineChars="250"/>
        <w:jc w:val="both"/>
        <w:textAlignment w:val="auto"/>
        <w:rPr>
          <w:rFonts w:ascii="Arial" w:hAnsi="Arial"/>
          <w:color w:val="000000"/>
          <w:sz w:val="21"/>
          <w:szCs w:val="21"/>
        </w:rPr>
      </w:pPr>
      <w:r>
        <w:rPr>
          <w:rFonts w:ascii="Arial" w:hAnsi="Arial"/>
          <w:color w:val="000000"/>
          <w:sz w:val="21"/>
          <w:szCs w:val="21"/>
        </w:rPr>
        <w:t>2025年，北京市商品住宅用地</w:t>
      </w:r>
      <w:r>
        <w:rPr>
          <w:rFonts w:hint="eastAsia" w:ascii="Arial" w:hAnsi="Arial"/>
          <w:color w:val="000000"/>
          <w:sz w:val="21"/>
          <w:szCs w:val="21"/>
        </w:rPr>
        <w:t>主城六区</w:t>
      </w:r>
      <w:r>
        <w:rPr>
          <w:rFonts w:ascii="Arial" w:hAnsi="Arial"/>
          <w:color w:val="000000"/>
          <w:sz w:val="21"/>
          <w:szCs w:val="21"/>
        </w:rPr>
        <w:t>成交</w:t>
      </w:r>
      <w:r>
        <w:rPr>
          <w:rFonts w:hint="eastAsia" w:ascii="Arial" w:hAnsi="Arial"/>
          <w:color w:val="000000"/>
          <w:sz w:val="21"/>
          <w:szCs w:val="21"/>
        </w:rPr>
        <w:t>20</w:t>
      </w:r>
      <w:r>
        <w:rPr>
          <w:rFonts w:ascii="Arial" w:hAnsi="Arial"/>
          <w:color w:val="000000"/>
          <w:sz w:val="21"/>
          <w:szCs w:val="21"/>
        </w:rPr>
        <w:t>宗宅地，累计成交规划建面</w:t>
      </w:r>
      <w:r>
        <w:rPr>
          <w:rFonts w:hint="eastAsia" w:ascii="Arial" w:hAnsi="Arial"/>
          <w:color w:val="000000"/>
          <w:sz w:val="21"/>
          <w:szCs w:val="21"/>
        </w:rPr>
        <w:t>183.78</w:t>
      </w:r>
      <w:r>
        <w:rPr>
          <w:rFonts w:ascii="Arial" w:hAnsi="Arial"/>
          <w:color w:val="000000"/>
          <w:sz w:val="21"/>
          <w:szCs w:val="21"/>
        </w:rPr>
        <w:t>万</w:t>
      </w:r>
      <w:r>
        <w:rPr>
          <w:rFonts w:hint="eastAsia" w:ascii="Arial" w:hAnsi="Arial"/>
          <w:color w:val="000000"/>
          <w:sz w:val="21"/>
          <w:szCs w:val="21"/>
        </w:rPr>
        <w:t>平方米</w:t>
      </w:r>
      <w:r>
        <w:rPr>
          <w:rFonts w:ascii="Arial" w:hAnsi="Arial"/>
          <w:color w:val="000000"/>
          <w:sz w:val="21"/>
          <w:szCs w:val="21"/>
        </w:rPr>
        <w:t>，占比</w:t>
      </w:r>
      <w:r>
        <w:rPr>
          <w:rFonts w:hint="eastAsia" w:ascii="Arial" w:hAnsi="Arial"/>
          <w:color w:val="000000"/>
          <w:sz w:val="21"/>
          <w:szCs w:val="21"/>
        </w:rPr>
        <w:t>51</w:t>
      </w:r>
      <w:r>
        <w:rPr>
          <w:rFonts w:ascii="Arial" w:hAnsi="Arial"/>
          <w:color w:val="000000"/>
          <w:sz w:val="21"/>
          <w:szCs w:val="21"/>
        </w:rPr>
        <w:t>%，较上年同期</w:t>
      </w:r>
      <w:r>
        <w:rPr>
          <w:rFonts w:hint="eastAsia" w:ascii="Arial" w:hAnsi="Arial"/>
          <w:color w:val="000000"/>
          <w:sz w:val="21"/>
          <w:szCs w:val="21"/>
        </w:rPr>
        <w:t>上升4</w:t>
      </w:r>
      <w:r>
        <w:rPr>
          <w:rFonts w:ascii="Arial" w:hAnsi="Arial"/>
          <w:color w:val="000000"/>
          <w:sz w:val="21"/>
          <w:szCs w:val="21"/>
        </w:rPr>
        <w:t>个百分点</w:t>
      </w:r>
      <w:r>
        <w:rPr>
          <w:rFonts w:hint="eastAsia" w:ascii="Arial" w:hAnsi="Arial"/>
          <w:color w:val="000000"/>
          <w:sz w:val="21"/>
          <w:szCs w:val="21"/>
        </w:rPr>
        <w:t>；其中海淀、朝阳成交规模均超59万平方米，占比分别为19%和17%</w:t>
      </w:r>
      <w:r>
        <w:rPr>
          <w:rFonts w:ascii="Arial" w:hAnsi="Arial"/>
          <w:color w:val="000000"/>
          <w:sz w:val="21"/>
          <w:szCs w:val="21"/>
        </w:rPr>
        <w:t>。近郊区</w:t>
      </w:r>
      <w:r>
        <w:rPr>
          <w:rFonts w:hint="eastAsia" w:ascii="Arial" w:hAnsi="Arial"/>
          <w:color w:val="000000"/>
          <w:sz w:val="21"/>
          <w:szCs w:val="21"/>
        </w:rPr>
        <w:t>住宅用地成交规模占比降至5成以下，累计成交169.50万平方米，</w:t>
      </w:r>
      <w:r>
        <w:rPr>
          <w:rFonts w:ascii="Arial" w:hAnsi="Arial"/>
          <w:color w:val="000000"/>
          <w:sz w:val="21"/>
          <w:szCs w:val="21"/>
        </w:rPr>
        <w:t>占比</w:t>
      </w:r>
      <w:r>
        <w:rPr>
          <w:rFonts w:hint="eastAsia" w:ascii="Arial" w:hAnsi="Arial"/>
          <w:color w:val="000000"/>
          <w:sz w:val="21"/>
          <w:szCs w:val="21"/>
        </w:rPr>
        <w:t>下降3个百分点至47</w:t>
      </w:r>
      <w:r>
        <w:rPr>
          <w:rFonts w:ascii="Arial" w:hAnsi="Arial"/>
          <w:color w:val="000000"/>
          <w:sz w:val="21"/>
          <w:szCs w:val="21"/>
        </w:rPr>
        <w:t>%，</w:t>
      </w:r>
      <w:r>
        <w:rPr>
          <w:rFonts w:hint="eastAsia" w:ascii="Arial" w:hAnsi="Arial"/>
          <w:color w:val="000000"/>
          <w:sz w:val="21"/>
          <w:szCs w:val="21"/>
        </w:rPr>
        <w:t>其中昌平、通州为主要供地区域，成交规模均超40万平方米，成交占比分别为14%、12%。远郊区供应力度进一步减弱，累计成交5.78万平方米，占比下降2个百分点至2%，延庆、怀柔各成交1宗宅地。</w:t>
      </w:r>
    </w:p>
    <w:p w14:paraId="7FFAF86A">
      <w:pPr>
        <w:overflowPunct w:val="0"/>
        <w:spacing w:line="360" w:lineRule="auto"/>
        <w:jc w:val="center"/>
        <w:textAlignment w:val="auto"/>
        <w:rPr>
          <w:rFonts w:ascii="Arial" w:hAnsi="Arial" w:eastAsia="仿宋_GB2312"/>
          <w:bCs/>
          <w:color w:val="000000"/>
          <w:sz w:val="28"/>
          <w:szCs w:val="28"/>
        </w:rPr>
      </w:pPr>
      <w:r>
        <w:drawing>
          <wp:inline distT="0" distB="0" distL="114300" distR="114300">
            <wp:extent cx="5903595" cy="2995295"/>
            <wp:effectExtent l="0" t="0" r="9525" b="6985"/>
            <wp:docPr id="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
                    <pic:cNvPicPr>
                      <a:picLocks noChangeAspect="1"/>
                    </pic:cNvPicPr>
                  </pic:nvPicPr>
                  <pic:blipFill>
                    <a:blip r:embed="rId31"/>
                    <a:stretch>
                      <a:fillRect/>
                    </a:stretch>
                  </pic:blipFill>
                  <pic:spPr>
                    <a:xfrm>
                      <a:off x="0" y="0"/>
                      <a:ext cx="5903595" cy="2995295"/>
                    </a:xfrm>
                    <a:prstGeom prst="rect">
                      <a:avLst/>
                    </a:prstGeom>
                    <a:noFill/>
                    <a:ln>
                      <a:noFill/>
                    </a:ln>
                  </pic:spPr>
                </pic:pic>
              </a:graphicData>
            </a:graphic>
          </wp:inline>
        </w:drawing>
      </w:r>
    </w:p>
    <w:p w14:paraId="5A18F444">
      <w:pPr>
        <w:widowControl/>
        <w:adjustRightInd/>
        <w:spacing w:line="480" w:lineRule="auto"/>
        <w:ind w:firstLine="525" w:firstLineChars="250"/>
        <w:jc w:val="both"/>
        <w:textAlignment w:val="auto"/>
        <w:rPr>
          <w:rFonts w:ascii="Arial" w:hAnsi="Arial"/>
          <w:color w:val="000000"/>
          <w:sz w:val="21"/>
          <w:szCs w:val="21"/>
        </w:rPr>
      </w:pPr>
      <w:r>
        <w:rPr>
          <w:rFonts w:hint="eastAsia" w:ascii="Arial" w:hAnsi="Arial"/>
          <w:color w:val="000000"/>
          <w:sz w:val="21"/>
          <w:szCs w:val="21"/>
        </w:rPr>
        <w:t>从不同区域来看，各区域住宅用地成交规模同比均下降，主城六区成交规模同比下降16%，其中海淀、石景山、东城同比增长；近郊区成交规模同比下降28%，其中通州同比增长，其他区均同比下降；远郊区同比下降66%。</w:t>
      </w:r>
    </w:p>
    <w:p w14:paraId="0A5FB4FD">
      <w:pPr>
        <w:widowControl/>
        <w:overflowPunct w:val="0"/>
        <w:adjustRightInd/>
        <w:spacing w:line="480" w:lineRule="auto"/>
        <w:jc w:val="center"/>
        <w:textAlignment w:val="auto"/>
      </w:pPr>
      <w:r>
        <w:rPr>
          <w:rFonts w:hint="eastAsia" w:ascii="Arial" w:hAnsi="Arial" w:eastAsia="仿宋" w:cs="Arial"/>
          <w:bCs/>
          <w:color w:val="000000"/>
          <w:sz w:val="28"/>
          <w:szCs w:val="28"/>
        </w:rPr>
        <w:drawing>
          <wp:inline distT="0" distB="0" distL="114300" distR="114300">
            <wp:extent cx="4556125" cy="3647440"/>
            <wp:effectExtent l="0" t="0" r="635" b="10160"/>
            <wp:docPr id="35" name="图片 5" descr="ScreenShot_2026-01-23_113715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ScreenShot_2026-01-23_113715_225"/>
                    <pic:cNvPicPr>
                      <a:picLocks noChangeAspect="1"/>
                    </pic:cNvPicPr>
                  </pic:nvPicPr>
                  <pic:blipFill>
                    <a:blip r:embed="rId32"/>
                    <a:stretch>
                      <a:fillRect/>
                    </a:stretch>
                  </pic:blipFill>
                  <pic:spPr>
                    <a:xfrm>
                      <a:off x="0" y="0"/>
                      <a:ext cx="4556125" cy="3647440"/>
                    </a:xfrm>
                    <a:prstGeom prst="rect">
                      <a:avLst/>
                    </a:prstGeom>
                    <a:noFill/>
                    <a:ln>
                      <a:noFill/>
                    </a:ln>
                  </pic:spPr>
                </pic:pic>
              </a:graphicData>
            </a:graphic>
          </wp:inline>
        </w:drawing>
      </w:r>
    </w:p>
    <w:p w14:paraId="14AF110D">
      <w:pPr>
        <w:overflowPunct w:val="0"/>
        <w:spacing w:line="480" w:lineRule="auto"/>
        <w:ind w:firstLine="420" w:firstLineChars="200"/>
        <w:jc w:val="both"/>
        <w:textAlignment w:val="auto"/>
        <w:rPr>
          <w:rFonts w:ascii="Arial" w:hAnsi="Arial" w:cs="宋体"/>
          <w:sz w:val="21"/>
          <w:szCs w:val="21"/>
        </w:rPr>
      </w:pPr>
      <w:r>
        <w:rPr>
          <w:rFonts w:hint="eastAsia" w:ascii="Arial" w:hAnsi="Arial" w:cs="宋体"/>
          <w:sz w:val="21"/>
          <w:szCs w:val="21"/>
        </w:rPr>
        <w:t>（</w:t>
      </w:r>
      <w:r>
        <w:rPr>
          <w:rFonts w:hint="eastAsia" w:ascii="Arial" w:hAnsi="Arial"/>
          <w:sz w:val="21"/>
        </w:rPr>
        <w:t>3</w:t>
      </w:r>
      <w:r>
        <w:rPr>
          <w:rFonts w:hint="eastAsia" w:ascii="Arial" w:hAnsi="Arial" w:cs="宋体"/>
          <w:sz w:val="21"/>
          <w:szCs w:val="21"/>
        </w:rPr>
        <w:t>）土地成交价格</w:t>
      </w:r>
    </w:p>
    <w:p w14:paraId="1B2DC99C">
      <w:pPr>
        <w:widowControl/>
        <w:overflowPunct w:val="0"/>
        <w:adjustRightInd/>
        <w:spacing w:line="480" w:lineRule="auto"/>
        <w:ind w:firstLine="420" w:firstLineChars="200"/>
        <w:jc w:val="both"/>
        <w:textAlignment w:val="auto"/>
        <w:rPr>
          <w:rFonts w:ascii="Arial" w:hAnsi="Arial"/>
          <w:color w:val="000000"/>
          <w:sz w:val="21"/>
          <w:szCs w:val="21"/>
        </w:rPr>
      </w:pPr>
      <w:r>
        <w:rPr>
          <w:rFonts w:ascii="Arial" w:hAnsi="Arial"/>
          <w:color w:val="000000"/>
          <w:sz w:val="21"/>
          <w:szCs w:val="21"/>
        </w:rPr>
        <w:t>2025年，在</w:t>
      </w:r>
      <w:r>
        <w:rPr>
          <w:rFonts w:hint="eastAsia" w:ascii="Arial" w:hAnsi="Arial"/>
          <w:color w:val="000000"/>
          <w:sz w:val="21"/>
          <w:szCs w:val="21"/>
        </w:rPr>
        <w:t>主城六区优质地块成交</w:t>
      </w:r>
      <w:r>
        <w:rPr>
          <w:rFonts w:ascii="Arial" w:hAnsi="Arial"/>
          <w:color w:val="000000"/>
          <w:sz w:val="21"/>
          <w:szCs w:val="21"/>
        </w:rPr>
        <w:t>带动下，北京宅地整体成交楼面均价</w:t>
      </w:r>
      <w:r>
        <w:rPr>
          <w:rFonts w:hint="eastAsia" w:ascii="Arial" w:hAnsi="Arial"/>
          <w:color w:val="000000"/>
          <w:sz w:val="21"/>
          <w:szCs w:val="21"/>
        </w:rPr>
        <w:t>39754</w:t>
      </w:r>
      <w:r>
        <w:rPr>
          <w:rFonts w:ascii="Arial" w:hAnsi="Arial"/>
          <w:color w:val="000000"/>
          <w:sz w:val="21"/>
          <w:szCs w:val="21"/>
        </w:rPr>
        <w:t>元/</w:t>
      </w:r>
      <w:r>
        <w:rPr>
          <w:rFonts w:hint="eastAsia" w:ascii="Arial" w:hAnsi="Arial"/>
          <w:color w:val="000000"/>
          <w:sz w:val="21"/>
          <w:szCs w:val="21"/>
        </w:rPr>
        <w:t>平方米</w:t>
      </w:r>
      <w:r>
        <w:rPr>
          <w:rFonts w:ascii="Arial" w:hAnsi="Arial"/>
          <w:color w:val="000000"/>
          <w:sz w:val="21"/>
          <w:szCs w:val="21"/>
        </w:rPr>
        <w:t>，同比增长</w:t>
      </w:r>
      <w:r>
        <w:rPr>
          <w:rFonts w:hint="eastAsia" w:ascii="Arial" w:hAnsi="Arial"/>
          <w:color w:val="000000"/>
          <w:sz w:val="21"/>
          <w:szCs w:val="21"/>
        </w:rPr>
        <w:t>20.3</w:t>
      </w:r>
      <w:r>
        <w:rPr>
          <w:rFonts w:ascii="Arial" w:hAnsi="Arial"/>
          <w:color w:val="000000"/>
          <w:sz w:val="21"/>
          <w:szCs w:val="21"/>
        </w:rPr>
        <w:t>%。</w:t>
      </w:r>
      <w:r>
        <w:rPr>
          <w:rFonts w:hint="eastAsia" w:ascii="Arial" w:hAnsi="Arial"/>
          <w:color w:val="000000"/>
          <w:sz w:val="21"/>
          <w:szCs w:val="21"/>
        </w:rPr>
        <w:t>取消地价上限，叠加核心区优质地块竞争激烈，2025年宅地成交溢价率</w:t>
      </w:r>
      <w:r>
        <w:rPr>
          <w:rFonts w:ascii="Arial" w:hAnsi="Arial"/>
          <w:color w:val="000000"/>
          <w:sz w:val="21"/>
          <w:szCs w:val="21"/>
        </w:rPr>
        <w:t>溢</w:t>
      </w:r>
      <w:r>
        <w:rPr>
          <w:rFonts w:hint="eastAsia" w:ascii="Arial" w:hAnsi="Arial"/>
          <w:color w:val="000000"/>
          <w:sz w:val="21"/>
          <w:szCs w:val="21"/>
        </w:rPr>
        <w:t>升至6.6</w:t>
      </w:r>
      <w:r>
        <w:rPr>
          <w:rFonts w:ascii="Arial" w:hAnsi="Arial"/>
          <w:color w:val="000000"/>
          <w:sz w:val="21"/>
          <w:szCs w:val="21"/>
        </w:rPr>
        <w:t>%，同比提升</w:t>
      </w:r>
      <w:r>
        <w:rPr>
          <w:rFonts w:hint="eastAsia" w:ascii="Arial" w:hAnsi="Arial"/>
          <w:color w:val="000000"/>
          <w:sz w:val="21"/>
          <w:szCs w:val="21"/>
        </w:rPr>
        <w:t>3.5</w:t>
      </w:r>
      <w:r>
        <w:rPr>
          <w:rFonts w:ascii="Arial" w:hAnsi="Arial"/>
          <w:color w:val="000000"/>
          <w:sz w:val="21"/>
          <w:szCs w:val="21"/>
        </w:rPr>
        <w:t>个百分点。</w:t>
      </w:r>
      <w:r>
        <w:rPr>
          <w:rFonts w:hint="eastAsia" w:ascii="Arial" w:hAnsi="Arial"/>
          <w:color w:val="000000"/>
          <w:sz w:val="21"/>
          <w:szCs w:val="21"/>
        </w:rPr>
        <w:t>市场分化明显，成交的40宗地块中，9宗地块溢价率超10%，主要集中在海淀、朝阳、通州三区；其中朝阳太阳宫地块以39.18%溢价率居首，该地块经过超330轮现场举牌竞价成交，最终以9.42万元/平方米的楼面地价刷新朝阳纪录；海淀树村地块经过274轮竞拍成交</w:t>
      </w:r>
      <w:r>
        <w:rPr>
          <w:rFonts w:ascii="Arial" w:hAnsi="Arial"/>
          <w:color w:val="000000"/>
          <w:sz w:val="21"/>
          <w:szCs w:val="21"/>
        </w:rPr>
        <w:t>，</w:t>
      </w:r>
      <w:r>
        <w:rPr>
          <w:rFonts w:hint="eastAsia" w:ascii="Arial" w:hAnsi="Arial"/>
          <w:color w:val="000000"/>
          <w:sz w:val="21"/>
          <w:szCs w:val="21"/>
        </w:rPr>
        <w:t>成交楼面地价达10.23万元/平方米，成为北京首个楼面地价破10万元的住宅地块。而26</w:t>
      </w:r>
      <w:r>
        <w:rPr>
          <w:rFonts w:ascii="Arial" w:hAnsi="Arial"/>
          <w:color w:val="000000"/>
          <w:sz w:val="21"/>
          <w:szCs w:val="21"/>
        </w:rPr>
        <w:t>宗地块</w:t>
      </w:r>
      <w:r>
        <w:rPr>
          <w:rFonts w:hint="eastAsia" w:ascii="Arial" w:hAnsi="Arial"/>
          <w:color w:val="000000"/>
          <w:sz w:val="21"/>
          <w:szCs w:val="21"/>
        </w:rPr>
        <w:t>均</w:t>
      </w:r>
      <w:r>
        <w:rPr>
          <w:rFonts w:ascii="Arial" w:hAnsi="Arial"/>
          <w:color w:val="000000"/>
          <w:sz w:val="21"/>
          <w:szCs w:val="21"/>
        </w:rPr>
        <w:t>以底价成交</w:t>
      </w:r>
      <w:r>
        <w:rPr>
          <w:rFonts w:hint="eastAsia" w:ascii="Arial" w:hAnsi="Arial"/>
          <w:color w:val="000000"/>
          <w:sz w:val="21"/>
          <w:szCs w:val="21"/>
        </w:rPr>
        <w:t>，占比升至65%</w:t>
      </w:r>
      <w:r>
        <w:rPr>
          <w:rFonts w:ascii="Arial" w:hAnsi="Arial"/>
          <w:color w:val="000000"/>
          <w:sz w:val="21"/>
          <w:szCs w:val="21"/>
        </w:rPr>
        <w:t>。</w:t>
      </w:r>
    </w:p>
    <w:p w14:paraId="469C2DC1">
      <w:pPr>
        <w:spacing w:line="480" w:lineRule="auto"/>
        <w:jc w:val="center"/>
      </w:pPr>
      <w:r>
        <w:drawing>
          <wp:inline distT="0" distB="0" distL="114300" distR="114300">
            <wp:extent cx="5272405" cy="2600960"/>
            <wp:effectExtent l="0" t="0" r="635" b="508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33"/>
                    <a:stretch>
                      <a:fillRect/>
                    </a:stretch>
                  </pic:blipFill>
                  <pic:spPr>
                    <a:xfrm>
                      <a:off x="0" y="0"/>
                      <a:ext cx="5272405" cy="2600960"/>
                    </a:xfrm>
                    <a:prstGeom prst="rect">
                      <a:avLst/>
                    </a:prstGeom>
                    <a:noFill/>
                    <a:ln>
                      <a:noFill/>
                    </a:ln>
                  </pic:spPr>
                </pic:pic>
              </a:graphicData>
            </a:graphic>
          </wp:inline>
        </w:drawing>
      </w:r>
    </w:p>
    <w:p w14:paraId="709414E9">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主城六区成交楼面地价均价相对较高，东城区成交楼面地价均价超8万元/平方米，海淀区成交楼面地价均价超6万元/平方米；近郊区成交楼面地价多介于2-3万/平方米之间，其中通州区、顺义区地价相对较高，超2.8万/平方米，房山区成交楼面地价较低，为15336元/平方米。从同比变化来看，丰台区、石景山区、房山区成交楼面地价同比下跌，其他区域成交楼面地价同比上涨，其中海淀区、朝阳区成交楼面地价均同比上涨28%。</w:t>
      </w:r>
    </w:p>
    <w:p w14:paraId="7BF319A4">
      <w:pPr>
        <w:spacing w:line="360" w:lineRule="auto"/>
        <w:jc w:val="center"/>
        <w:outlineLvl w:val="0"/>
        <w:rPr>
          <w:rFonts w:ascii="Arial" w:hAnsi="Arial"/>
          <w:color w:val="000000"/>
          <w:sz w:val="21"/>
          <w:szCs w:val="21"/>
        </w:rPr>
      </w:pPr>
      <w:r>
        <w:drawing>
          <wp:inline distT="0" distB="0" distL="114300" distR="114300">
            <wp:extent cx="5276215" cy="2885440"/>
            <wp:effectExtent l="0" t="0" r="12065" b="1016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4"/>
                    <a:stretch>
                      <a:fillRect/>
                    </a:stretch>
                  </pic:blipFill>
                  <pic:spPr>
                    <a:xfrm>
                      <a:off x="0" y="0"/>
                      <a:ext cx="5276215" cy="2885440"/>
                    </a:xfrm>
                    <a:prstGeom prst="rect">
                      <a:avLst/>
                    </a:prstGeom>
                    <a:noFill/>
                    <a:ln>
                      <a:noFill/>
                    </a:ln>
                  </pic:spPr>
                </pic:pic>
              </a:graphicData>
            </a:graphic>
          </wp:inline>
        </w:drawing>
      </w:r>
    </w:p>
    <w:p w14:paraId="382B911B">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溢价率方面，海淀区、朝阳区土地质素高，整体溢价率较高；通州区热点地块竞争较为激烈，但地块延续分化；东城区祈年大街地块溢价率4%，其他区域地块均底价成交。</w:t>
      </w:r>
    </w:p>
    <w:p w14:paraId="7A6A7B44">
      <w:pPr>
        <w:spacing w:line="360" w:lineRule="auto"/>
        <w:jc w:val="center"/>
        <w:outlineLvl w:val="0"/>
        <w:rPr>
          <w:rFonts w:ascii="Arial" w:hAnsi="Arial"/>
          <w:color w:val="000000"/>
          <w:sz w:val="21"/>
          <w:szCs w:val="21"/>
        </w:rPr>
      </w:pPr>
      <w:r>
        <w:drawing>
          <wp:inline distT="0" distB="0" distL="114300" distR="114300">
            <wp:extent cx="4666615" cy="2599690"/>
            <wp:effectExtent l="0" t="0" r="12065" b="635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35"/>
                    <a:stretch>
                      <a:fillRect/>
                    </a:stretch>
                  </pic:blipFill>
                  <pic:spPr>
                    <a:xfrm>
                      <a:off x="0" y="0"/>
                      <a:ext cx="4666615" cy="2599690"/>
                    </a:xfrm>
                    <a:prstGeom prst="rect">
                      <a:avLst/>
                    </a:prstGeom>
                    <a:noFill/>
                    <a:ln>
                      <a:noFill/>
                    </a:ln>
                  </pic:spPr>
                </pic:pic>
              </a:graphicData>
            </a:graphic>
          </wp:inline>
        </w:drawing>
      </w:r>
    </w:p>
    <w:p w14:paraId="6207E453">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3新建.商品房住宅市场</w:t>
      </w:r>
    </w:p>
    <w:p w14:paraId="63CF3179">
      <w:pPr>
        <w:overflowPunct w:val="0"/>
        <w:spacing w:line="480" w:lineRule="auto"/>
        <w:ind w:firstLine="420" w:firstLineChars="200"/>
        <w:jc w:val="both"/>
        <w:textAlignment w:val="auto"/>
        <w:rPr>
          <w:rFonts w:ascii="Arial" w:hAnsi="Arial"/>
          <w:sz w:val="21"/>
          <w:szCs w:val="28"/>
        </w:rPr>
      </w:pPr>
      <w:r>
        <w:rPr>
          <w:rFonts w:hint="eastAsia" w:ascii="Arial" w:hAnsi="Arial"/>
          <w:sz w:val="21"/>
          <w:szCs w:val="28"/>
        </w:rPr>
        <w:t>（1）新建商品住宅供给状况</w:t>
      </w:r>
    </w:p>
    <w:p w14:paraId="1EA9C953">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近几年，</w:t>
      </w:r>
      <w:r>
        <w:rPr>
          <w:rFonts w:hint="eastAsia" w:ascii="Arial" w:hAnsi="Arial"/>
          <w:color w:val="000000"/>
          <w:sz w:val="21"/>
          <w:szCs w:val="21"/>
        </w:rPr>
        <w:t>北京商品住宅用</w:t>
      </w:r>
      <w:r>
        <w:rPr>
          <w:rFonts w:ascii="Arial" w:hAnsi="Arial"/>
          <w:color w:val="000000"/>
          <w:sz w:val="21"/>
          <w:szCs w:val="21"/>
        </w:rPr>
        <w:t>地供应规模减少，导致新房供应持续下滑</w:t>
      </w:r>
      <w:r>
        <w:rPr>
          <w:rFonts w:hint="eastAsia" w:ascii="Arial" w:hAnsi="Arial"/>
          <w:color w:val="000000"/>
          <w:sz w:val="21"/>
          <w:szCs w:val="21"/>
        </w:rPr>
        <w:t>。</w:t>
      </w:r>
      <w:r>
        <w:rPr>
          <w:rFonts w:ascii="Arial" w:hAnsi="Arial"/>
          <w:color w:val="000000"/>
          <w:sz w:val="21"/>
          <w:szCs w:val="21"/>
        </w:rPr>
        <w:t>2025年北京新房供应止跌回升，但整体供应规模仍处于近年低位水平</w:t>
      </w:r>
      <w:r>
        <w:rPr>
          <w:rFonts w:hint="eastAsia" w:ascii="Arial" w:hAnsi="Arial"/>
          <w:color w:val="000000"/>
          <w:sz w:val="21"/>
          <w:szCs w:val="21"/>
        </w:rPr>
        <w:t>。</w:t>
      </w:r>
    </w:p>
    <w:p w14:paraId="729D2AE0">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根据中指研究院数据，</w:t>
      </w:r>
      <w:r>
        <w:rPr>
          <w:rFonts w:ascii="Arial" w:hAnsi="Arial"/>
          <w:color w:val="000000"/>
          <w:sz w:val="21"/>
          <w:szCs w:val="21"/>
        </w:rPr>
        <w:t>2025年二季度以来新房取证未售库存规模持续处于中高水平，12月末库存规模约为966万平方米，较年初增长10.8%。出清周期方面， 2022年以来库存出清周期基本持续处于风险线以上；2025年北京新房库存规模增加，叠加去化速度放缓，2025年12月出清周期升至26.5个月，整体去化风险较为突出。</w:t>
      </w:r>
    </w:p>
    <w:p w14:paraId="1282B649">
      <w:pPr>
        <w:overflowPunct w:val="0"/>
        <w:spacing w:line="480" w:lineRule="auto"/>
        <w:jc w:val="center"/>
        <w:textAlignment w:val="auto"/>
        <w:rPr>
          <w:rFonts w:ascii="Arial" w:hAnsi="Arial"/>
          <w:sz w:val="21"/>
          <w:szCs w:val="28"/>
        </w:rPr>
      </w:pPr>
      <w:r>
        <w:drawing>
          <wp:inline distT="0" distB="0" distL="114300" distR="114300">
            <wp:extent cx="5905500" cy="2139315"/>
            <wp:effectExtent l="0" t="0" r="7620" b="952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6"/>
                    <a:stretch>
                      <a:fillRect/>
                    </a:stretch>
                  </pic:blipFill>
                  <pic:spPr>
                    <a:xfrm>
                      <a:off x="0" y="0"/>
                      <a:ext cx="5905500" cy="2139315"/>
                    </a:xfrm>
                    <a:prstGeom prst="rect">
                      <a:avLst/>
                    </a:prstGeom>
                    <a:noFill/>
                    <a:ln>
                      <a:noFill/>
                    </a:ln>
                  </pic:spPr>
                </pic:pic>
              </a:graphicData>
            </a:graphic>
          </wp:inline>
        </w:drawing>
      </w:r>
    </w:p>
    <w:p w14:paraId="3B97B901">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分区域来看，</w:t>
      </w:r>
      <w:r>
        <w:rPr>
          <w:rFonts w:ascii="Arial" w:hAnsi="Arial"/>
          <w:color w:val="000000"/>
          <w:sz w:val="21"/>
          <w:szCs w:val="21"/>
        </w:rPr>
        <w:t>截止到2025年12月末，中心城区</w:t>
      </w:r>
      <w:r>
        <w:rPr>
          <w:rFonts w:hint="eastAsia" w:ascii="Arial" w:hAnsi="Arial"/>
          <w:color w:val="000000"/>
          <w:sz w:val="21"/>
          <w:szCs w:val="21"/>
        </w:rPr>
        <w:t>（含核心区）</w:t>
      </w:r>
      <w:r>
        <w:rPr>
          <w:rFonts w:ascii="Arial" w:hAnsi="Arial"/>
          <w:color w:val="000000"/>
          <w:sz w:val="21"/>
          <w:szCs w:val="21"/>
        </w:rPr>
        <w:t>库存规模</w:t>
      </w:r>
      <w:r>
        <w:rPr>
          <w:rFonts w:hint="eastAsia" w:ascii="Arial" w:hAnsi="Arial"/>
          <w:color w:val="000000"/>
          <w:sz w:val="21"/>
          <w:szCs w:val="21"/>
        </w:rPr>
        <w:t>约</w:t>
      </w:r>
      <w:r>
        <w:rPr>
          <w:rFonts w:ascii="Arial" w:hAnsi="Arial"/>
          <w:color w:val="000000"/>
          <w:sz w:val="21"/>
          <w:szCs w:val="21"/>
        </w:rPr>
        <w:t>348万</w:t>
      </w:r>
      <w:r>
        <w:rPr>
          <w:rFonts w:hint="eastAsia" w:ascii="Arial" w:hAnsi="Arial"/>
          <w:color w:val="000000"/>
          <w:sz w:val="21"/>
          <w:szCs w:val="21"/>
        </w:rPr>
        <w:t>平方米</w:t>
      </w:r>
      <w:r>
        <w:rPr>
          <w:rFonts w:ascii="Arial" w:hAnsi="Arial"/>
          <w:color w:val="000000"/>
          <w:sz w:val="21"/>
          <w:szCs w:val="21"/>
        </w:rPr>
        <w:t>，其中丰台区、朝阳区库存规模均超11万</w:t>
      </w:r>
      <w:r>
        <w:rPr>
          <w:rFonts w:hint="eastAsia" w:ascii="Arial" w:hAnsi="Arial"/>
          <w:color w:val="000000"/>
          <w:sz w:val="21"/>
          <w:szCs w:val="21"/>
        </w:rPr>
        <w:t>平方米</w:t>
      </w:r>
      <w:r>
        <w:rPr>
          <w:rFonts w:ascii="Arial" w:hAnsi="Arial"/>
          <w:color w:val="000000"/>
          <w:sz w:val="21"/>
          <w:szCs w:val="21"/>
        </w:rPr>
        <w:t>；近郊区库存规模合计约479 万</w:t>
      </w:r>
      <w:r>
        <w:rPr>
          <w:rFonts w:hint="eastAsia" w:ascii="Arial" w:hAnsi="Arial"/>
          <w:color w:val="000000"/>
          <w:sz w:val="21"/>
          <w:szCs w:val="21"/>
        </w:rPr>
        <w:t>平方米</w:t>
      </w:r>
      <w:r>
        <w:rPr>
          <w:rFonts w:ascii="Arial" w:hAnsi="Arial"/>
          <w:color w:val="000000"/>
          <w:sz w:val="21"/>
          <w:szCs w:val="21"/>
        </w:rPr>
        <w:t>，其中通州、昌平、大兴库存规模均超100万</w:t>
      </w:r>
      <w:r>
        <w:rPr>
          <w:rFonts w:hint="eastAsia" w:ascii="Arial" w:hAnsi="Arial"/>
          <w:color w:val="000000"/>
          <w:sz w:val="21"/>
          <w:szCs w:val="21"/>
        </w:rPr>
        <w:t>平方米</w:t>
      </w:r>
      <w:r>
        <w:rPr>
          <w:rFonts w:ascii="Arial" w:hAnsi="Arial"/>
          <w:color w:val="000000"/>
          <w:sz w:val="21"/>
          <w:szCs w:val="21"/>
        </w:rPr>
        <w:t>；远郊区库存规模合计约102万</w:t>
      </w:r>
      <w:r>
        <w:rPr>
          <w:rFonts w:hint="eastAsia" w:ascii="Arial" w:hAnsi="Arial"/>
          <w:color w:val="000000"/>
          <w:sz w:val="21"/>
          <w:szCs w:val="21"/>
        </w:rPr>
        <w:t>平方米</w:t>
      </w:r>
      <w:r>
        <w:rPr>
          <w:rFonts w:ascii="Arial" w:hAnsi="Arial"/>
          <w:color w:val="000000"/>
          <w:sz w:val="21"/>
          <w:szCs w:val="21"/>
        </w:rPr>
        <w:t>，主要集中在怀柔区、密云区。海淀、延庆短期库存去化风险较低；丰台、昌平、大兴、怀柔、密云、平谷等区域库存去化风险突出。</w:t>
      </w:r>
    </w:p>
    <w:p w14:paraId="46A134D4">
      <w:pPr>
        <w:overflowPunct w:val="0"/>
        <w:spacing w:line="480" w:lineRule="auto"/>
        <w:jc w:val="center"/>
        <w:textAlignment w:val="auto"/>
        <w:rPr>
          <w:rFonts w:ascii="Arial" w:hAnsi="Arial"/>
          <w:sz w:val="21"/>
        </w:rPr>
      </w:pPr>
      <w:r>
        <w:drawing>
          <wp:inline distT="0" distB="0" distL="114300" distR="114300">
            <wp:extent cx="5906770" cy="2166620"/>
            <wp:effectExtent l="0" t="0" r="6350" b="12700"/>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pic:cNvPicPr>
                  </pic:nvPicPr>
                  <pic:blipFill>
                    <a:blip r:embed="rId37"/>
                    <a:stretch>
                      <a:fillRect/>
                    </a:stretch>
                  </pic:blipFill>
                  <pic:spPr>
                    <a:xfrm>
                      <a:off x="0" y="0"/>
                      <a:ext cx="5906770" cy="2166620"/>
                    </a:xfrm>
                    <a:prstGeom prst="rect">
                      <a:avLst/>
                    </a:prstGeom>
                    <a:noFill/>
                    <a:ln>
                      <a:noFill/>
                    </a:ln>
                  </pic:spPr>
                </pic:pic>
              </a:graphicData>
            </a:graphic>
          </wp:inline>
        </w:drawing>
      </w:r>
    </w:p>
    <w:p w14:paraId="31747E36">
      <w:pPr>
        <w:overflowPunct w:val="0"/>
        <w:spacing w:line="480" w:lineRule="auto"/>
        <w:ind w:firstLine="420" w:firstLineChars="200"/>
        <w:jc w:val="both"/>
        <w:textAlignment w:val="auto"/>
        <w:rPr>
          <w:rFonts w:ascii="Arial" w:hAnsi="Arial"/>
          <w:bCs/>
          <w:sz w:val="21"/>
          <w:szCs w:val="28"/>
        </w:rPr>
      </w:pPr>
      <w:r>
        <w:rPr>
          <w:rFonts w:hint="eastAsia" w:ascii="Arial" w:hAnsi="Arial"/>
          <w:sz w:val="21"/>
          <w:szCs w:val="28"/>
        </w:rPr>
        <w:t>（2）新建商品</w:t>
      </w:r>
      <w:r>
        <w:rPr>
          <w:rFonts w:hint="eastAsia" w:ascii="Arial" w:hAnsi="Arial"/>
          <w:bCs/>
          <w:sz w:val="21"/>
          <w:szCs w:val="28"/>
        </w:rPr>
        <w:t>住宅成交情况</w:t>
      </w:r>
    </w:p>
    <w:p w14:paraId="5D1AA53F">
      <w:pPr>
        <w:tabs>
          <w:tab w:val="left" w:pos="426"/>
        </w:tabs>
        <w:overflowPunct w:val="0"/>
        <w:spacing w:line="480" w:lineRule="auto"/>
        <w:ind w:firstLine="420" w:firstLineChars="200"/>
        <w:jc w:val="both"/>
        <w:textAlignment w:val="auto"/>
        <w:rPr>
          <w:rFonts w:ascii="Arial" w:hAnsi="Arial"/>
          <w:sz w:val="21"/>
        </w:rPr>
      </w:pPr>
      <w:r>
        <w:rPr>
          <w:rFonts w:hint="eastAsia" w:ascii="Arial" w:hAnsi="Arial"/>
          <w:sz w:val="21"/>
        </w:rPr>
        <w:t>1）成交量</w:t>
      </w:r>
    </w:p>
    <w:p w14:paraId="6242549A">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新</w:t>
      </w:r>
      <w:r>
        <w:rPr>
          <w:rFonts w:hint="eastAsia" w:ascii="Arial" w:hAnsi="Arial"/>
          <w:color w:val="000000"/>
          <w:sz w:val="21"/>
          <w:szCs w:val="21"/>
        </w:rPr>
        <w:t>建</w:t>
      </w:r>
      <w:r>
        <w:rPr>
          <w:rFonts w:ascii="Arial" w:hAnsi="Arial"/>
          <w:color w:val="000000"/>
          <w:sz w:val="21"/>
          <w:szCs w:val="21"/>
        </w:rPr>
        <w:t>商品住宅市场成交疲软，仍处于寻底阶段。2025年北京新建商品住宅累计成交面积502.44万</w:t>
      </w:r>
      <w:r>
        <w:rPr>
          <w:rFonts w:hint="eastAsia" w:ascii="Arial" w:hAnsi="Arial"/>
          <w:color w:val="000000"/>
          <w:sz w:val="21"/>
          <w:szCs w:val="21"/>
        </w:rPr>
        <w:t>平方米</w:t>
      </w:r>
      <w:r>
        <w:rPr>
          <w:rFonts w:ascii="Arial" w:hAnsi="Arial"/>
          <w:color w:val="000000"/>
          <w:sz w:val="21"/>
          <w:szCs w:val="21"/>
        </w:rPr>
        <w:t>，同比下降15.1%，较2021年高位下降49.4%，较近三年均值下降18.3%。</w:t>
      </w:r>
      <w:r>
        <w:rPr>
          <w:rFonts w:hint="eastAsia" w:ascii="Arial" w:hAnsi="Arial"/>
          <w:color w:val="000000"/>
          <w:sz w:val="21"/>
          <w:szCs w:val="21"/>
        </w:rPr>
        <w:t>按</w:t>
      </w:r>
      <w:r>
        <w:rPr>
          <w:rFonts w:ascii="Arial" w:hAnsi="Arial"/>
          <w:color w:val="000000"/>
          <w:sz w:val="21"/>
          <w:szCs w:val="21"/>
        </w:rPr>
        <w:t>月度</w:t>
      </w:r>
      <w:r>
        <w:rPr>
          <w:rFonts w:hint="eastAsia" w:ascii="Arial" w:hAnsi="Arial"/>
          <w:color w:val="000000"/>
          <w:sz w:val="21"/>
          <w:szCs w:val="21"/>
        </w:rPr>
        <w:t>看，</w:t>
      </w:r>
      <w:r>
        <w:rPr>
          <w:rFonts w:ascii="Arial" w:hAnsi="Arial"/>
          <w:color w:val="000000"/>
          <w:sz w:val="21"/>
          <w:szCs w:val="21"/>
        </w:rPr>
        <w:t>整体呈波浪式下滑趋势</w:t>
      </w:r>
      <w:r>
        <w:rPr>
          <w:rFonts w:hint="eastAsia" w:ascii="Arial" w:hAnsi="Arial"/>
          <w:color w:val="000000"/>
          <w:sz w:val="21"/>
          <w:szCs w:val="21"/>
        </w:rPr>
        <w:t>。</w:t>
      </w:r>
      <w:r>
        <w:rPr>
          <w:rFonts w:ascii="Arial" w:hAnsi="Arial"/>
          <w:color w:val="000000"/>
          <w:sz w:val="21"/>
          <w:szCs w:val="21"/>
        </w:rPr>
        <w:t>4</w:t>
      </w:r>
      <w:r>
        <w:rPr>
          <w:rFonts w:hint="eastAsia" w:ascii="Arial" w:hAnsi="Arial"/>
          <w:color w:val="000000"/>
          <w:sz w:val="21"/>
          <w:szCs w:val="21"/>
        </w:rPr>
        <w:t>月25日</w:t>
      </w:r>
      <w:r>
        <w:rPr>
          <w:rFonts w:ascii="Arial" w:hAnsi="Arial"/>
          <w:color w:val="000000"/>
          <w:sz w:val="21"/>
          <w:szCs w:val="21"/>
        </w:rPr>
        <w:t>政治局会议定调之后，金融部门积极跟进落实各项举措</w:t>
      </w:r>
      <w:r>
        <w:rPr>
          <w:rFonts w:hint="eastAsia" w:ascii="Arial" w:hAnsi="Arial"/>
          <w:color w:val="000000"/>
          <w:sz w:val="21"/>
          <w:szCs w:val="21"/>
        </w:rPr>
        <w:t>。</w:t>
      </w:r>
      <w:r>
        <w:rPr>
          <w:rFonts w:ascii="Arial" w:hAnsi="Arial"/>
          <w:color w:val="000000"/>
          <w:sz w:val="21"/>
          <w:szCs w:val="21"/>
        </w:rPr>
        <w:t>5月7日国常会发布降准降息等一揽子金融政策</w:t>
      </w:r>
      <w:r>
        <w:rPr>
          <w:rFonts w:hint="eastAsia" w:ascii="Arial" w:hAnsi="Arial"/>
          <w:color w:val="000000"/>
          <w:sz w:val="21"/>
          <w:szCs w:val="21"/>
        </w:rPr>
        <w:t>。</w:t>
      </w:r>
      <w:r>
        <w:rPr>
          <w:rFonts w:ascii="Arial" w:hAnsi="Arial"/>
          <w:color w:val="000000"/>
          <w:sz w:val="21"/>
          <w:szCs w:val="21"/>
        </w:rPr>
        <w:t>6月北京成交明显回升。7月，受季节性因素影响，成交环比明显下滑。8月，北京五环外解除限购同时优化公积金贷款政策，成交量环比略有增长，但新政边际效果有限</w:t>
      </w:r>
      <w:r>
        <w:rPr>
          <w:rFonts w:hint="eastAsia" w:ascii="Arial" w:hAnsi="Arial"/>
          <w:color w:val="000000"/>
          <w:sz w:val="21"/>
          <w:szCs w:val="21"/>
        </w:rPr>
        <w:t>。</w:t>
      </w:r>
      <w:r>
        <w:rPr>
          <w:rFonts w:ascii="Arial" w:hAnsi="Arial"/>
          <w:color w:val="000000"/>
          <w:sz w:val="21"/>
          <w:szCs w:val="21"/>
        </w:rPr>
        <w:t>9月， 随着“金九银十”行业旺季，成交环比上行</w:t>
      </w:r>
      <w:r>
        <w:rPr>
          <w:rFonts w:hint="eastAsia" w:ascii="Arial" w:hAnsi="Arial"/>
          <w:color w:val="000000"/>
          <w:sz w:val="21"/>
          <w:szCs w:val="21"/>
        </w:rPr>
        <w:t>。</w:t>
      </w:r>
      <w:r>
        <w:rPr>
          <w:rFonts w:ascii="Arial" w:hAnsi="Arial"/>
          <w:color w:val="000000"/>
          <w:sz w:val="21"/>
          <w:szCs w:val="21"/>
        </w:rPr>
        <w:t>10月，受国庆假期的影响，成交小幅下滑</w:t>
      </w:r>
      <w:r>
        <w:rPr>
          <w:rFonts w:hint="eastAsia" w:ascii="Arial" w:hAnsi="Arial"/>
          <w:color w:val="000000"/>
          <w:sz w:val="21"/>
          <w:szCs w:val="21"/>
        </w:rPr>
        <w:t>。</w:t>
      </w:r>
      <w:r>
        <w:rPr>
          <w:rFonts w:ascii="Arial" w:hAnsi="Arial"/>
          <w:color w:val="000000"/>
          <w:sz w:val="21"/>
          <w:szCs w:val="21"/>
        </w:rPr>
        <w:t>11月，市场观望情绪浓厚，成交环比下滑</w:t>
      </w:r>
      <w:r>
        <w:rPr>
          <w:rFonts w:hint="eastAsia" w:ascii="Arial" w:hAnsi="Arial"/>
          <w:color w:val="000000"/>
          <w:sz w:val="21"/>
          <w:szCs w:val="21"/>
        </w:rPr>
        <w:t>。</w:t>
      </w:r>
      <w:r>
        <w:rPr>
          <w:rFonts w:ascii="Arial" w:hAnsi="Arial"/>
          <w:color w:val="000000"/>
          <w:sz w:val="21"/>
          <w:szCs w:val="21"/>
        </w:rPr>
        <w:t>12月，房企年终业绩冲刺、 叠加放宽非京籍及多孩家庭购房限制等利好因素影响，市场成交回升</w:t>
      </w:r>
      <w:r>
        <w:rPr>
          <w:rFonts w:hint="eastAsia" w:ascii="Arial" w:hAnsi="Arial"/>
          <w:color w:val="000000"/>
          <w:sz w:val="21"/>
          <w:szCs w:val="21"/>
        </w:rPr>
        <w:t>。</w:t>
      </w:r>
    </w:p>
    <w:p w14:paraId="25B4754F">
      <w:pPr>
        <w:overflowPunct w:val="0"/>
        <w:spacing w:line="480" w:lineRule="auto"/>
        <w:jc w:val="center"/>
        <w:textAlignment w:val="auto"/>
        <w:rPr>
          <w:rFonts w:ascii="Arial" w:hAnsi="Arial"/>
          <w:sz w:val="21"/>
        </w:rPr>
      </w:pPr>
      <w:r>
        <w:drawing>
          <wp:inline distT="0" distB="0" distL="114300" distR="114300">
            <wp:extent cx="5909310" cy="1527175"/>
            <wp:effectExtent l="0" t="0" r="3810" b="1206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38"/>
                    <a:stretch>
                      <a:fillRect/>
                    </a:stretch>
                  </pic:blipFill>
                  <pic:spPr>
                    <a:xfrm>
                      <a:off x="0" y="0"/>
                      <a:ext cx="5909310" cy="1527175"/>
                    </a:xfrm>
                    <a:prstGeom prst="rect">
                      <a:avLst/>
                    </a:prstGeom>
                    <a:noFill/>
                    <a:ln>
                      <a:noFill/>
                    </a:ln>
                  </pic:spPr>
                </pic:pic>
              </a:graphicData>
            </a:graphic>
          </wp:inline>
        </w:drawing>
      </w:r>
    </w:p>
    <w:p w14:paraId="1705179E">
      <w:pPr>
        <w:overflowPunct w:val="0"/>
        <w:spacing w:line="480" w:lineRule="auto"/>
        <w:ind w:firstLine="420" w:firstLineChars="200"/>
        <w:textAlignment w:val="auto"/>
        <w:rPr>
          <w:rFonts w:ascii="Arial" w:hAnsi="Arial"/>
          <w:sz w:val="21"/>
        </w:rPr>
      </w:pPr>
      <w:r>
        <w:rPr>
          <w:rFonts w:hint="eastAsia" w:ascii="Arial" w:hAnsi="Arial"/>
          <w:sz w:val="21"/>
        </w:rPr>
        <w:t>2）成交价格</w:t>
      </w:r>
    </w:p>
    <w:p w14:paraId="3967B98D">
      <w:pPr>
        <w:overflowPunct w:val="0"/>
        <w:spacing w:line="480" w:lineRule="auto"/>
        <w:ind w:firstLine="420" w:firstLineChars="200"/>
        <w:textAlignment w:val="auto"/>
        <w:rPr>
          <w:rFonts w:ascii="Arial" w:hAnsi="Arial"/>
          <w:sz w:val="21"/>
          <w:szCs w:val="28"/>
        </w:rPr>
      </w:pPr>
      <w:r>
        <w:rPr>
          <w:rFonts w:hint="eastAsia" w:ascii="Arial" w:hAnsi="Arial"/>
          <w:sz w:val="21"/>
          <w:szCs w:val="28"/>
        </w:rPr>
        <w:t>A.成交价格</w:t>
      </w:r>
    </w:p>
    <w:p w14:paraId="5B46360E">
      <w:pPr>
        <w:spacing w:line="360" w:lineRule="auto"/>
        <w:ind w:firstLine="420" w:firstLineChars="200"/>
        <w:jc w:val="both"/>
        <w:outlineLvl w:val="0"/>
        <w:rPr>
          <w:rFonts w:ascii="Arial" w:hAnsi="Arial"/>
          <w:color w:val="000000"/>
          <w:sz w:val="21"/>
          <w:szCs w:val="21"/>
        </w:rPr>
      </w:pPr>
      <w:r>
        <w:rPr>
          <w:rFonts w:ascii="Arial" w:hAnsi="Arial"/>
          <w:color w:val="000000"/>
          <w:sz w:val="21"/>
          <w:szCs w:val="21"/>
        </w:rPr>
        <w:t>2023年10月以来，北京新</w:t>
      </w:r>
      <w:r>
        <w:rPr>
          <w:rFonts w:hint="eastAsia" w:ascii="Arial" w:hAnsi="Arial"/>
          <w:color w:val="000000"/>
          <w:sz w:val="21"/>
          <w:szCs w:val="21"/>
        </w:rPr>
        <w:t>建商品房</w:t>
      </w:r>
      <w:r>
        <w:rPr>
          <w:rFonts w:ascii="Arial" w:hAnsi="Arial"/>
          <w:color w:val="000000"/>
          <w:sz w:val="21"/>
          <w:szCs w:val="21"/>
        </w:rPr>
        <w:t>房价进入下跌通道，2024年和2025年北京新房房价累计跌幅分别为5.4个百分点和2.4个百分点。 2025年新房房价跌幅较2024年出现收窄，但整体仍处于下跌区间，10月份以来新房房价跌幅出现扩大，11月北京新房房价环比下跌 0.5%。</w:t>
      </w:r>
    </w:p>
    <w:p w14:paraId="2F949D24">
      <w:pPr>
        <w:tabs>
          <w:tab w:val="left" w:pos="426"/>
        </w:tabs>
        <w:overflowPunct w:val="0"/>
        <w:spacing w:line="480" w:lineRule="auto"/>
        <w:jc w:val="center"/>
        <w:textAlignment w:val="auto"/>
      </w:pPr>
      <w:r>
        <w:drawing>
          <wp:inline distT="0" distB="0" distL="114300" distR="114300">
            <wp:extent cx="5904230" cy="3257550"/>
            <wp:effectExtent l="0" t="0" r="8890" b="381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pic:cNvPicPr>
                  </pic:nvPicPr>
                  <pic:blipFill>
                    <a:blip r:embed="rId39"/>
                    <a:stretch>
                      <a:fillRect/>
                    </a:stretch>
                  </pic:blipFill>
                  <pic:spPr>
                    <a:xfrm>
                      <a:off x="0" y="0"/>
                      <a:ext cx="5904230" cy="3257550"/>
                    </a:xfrm>
                    <a:prstGeom prst="rect">
                      <a:avLst/>
                    </a:prstGeom>
                    <a:noFill/>
                    <a:ln>
                      <a:noFill/>
                    </a:ln>
                  </pic:spPr>
                </pic:pic>
              </a:graphicData>
            </a:graphic>
          </wp:inline>
        </w:drawing>
      </w:r>
    </w:p>
    <w:p w14:paraId="735D30B0">
      <w:pPr>
        <w:spacing w:line="360" w:lineRule="auto"/>
        <w:ind w:firstLine="420" w:firstLineChars="200"/>
        <w:jc w:val="both"/>
        <w:outlineLvl w:val="0"/>
        <w:rPr>
          <w:rFonts w:ascii="Arial" w:hAnsi="Arial"/>
          <w:color w:val="000000"/>
          <w:sz w:val="21"/>
          <w:szCs w:val="21"/>
        </w:rPr>
      </w:pPr>
      <w:r>
        <w:rPr>
          <w:rFonts w:hint="eastAsia" w:ascii="Arial" w:hAnsi="Arial"/>
          <w:color w:val="000000"/>
          <w:sz w:val="21"/>
          <w:szCs w:val="21"/>
        </w:rPr>
        <w:t>从各面积段来看，</w:t>
      </w:r>
      <w:r>
        <w:rPr>
          <w:rFonts w:ascii="Arial" w:hAnsi="Arial"/>
          <w:color w:val="000000"/>
          <w:sz w:val="21"/>
          <w:szCs w:val="21"/>
        </w:rPr>
        <w:t>小户型价格跌幅相对较大，大户型价格相对坚挺。2025年，北京90㎡及以下面积段新房房价累计下跌3.7个百分点； 90-144平新房房价累计下跌2.9个百分点；144平以上大户型新房房价累计下跌1.3个百分点。</w:t>
      </w:r>
    </w:p>
    <w:p w14:paraId="5921BC22">
      <w:pPr>
        <w:spacing w:line="360" w:lineRule="auto"/>
        <w:jc w:val="center"/>
        <w:outlineLvl w:val="0"/>
        <w:rPr>
          <w:rFonts w:ascii="Arial" w:hAnsi="Arial"/>
          <w:sz w:val="21"/>
          <w:szCs w:val="28"/>
        </w:rPr>
      </w:pPr>
      <w:r>
        <w:drawing>
          <wp:inline distT="0" distB="0" distL="114300" distR="114300">
            <wp:extent cx="5064125" cy="2970530"/>
            <wp:effectExtent l="0" t="0" r="10795" b="1270"/>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0"/>
                    <a:stretch>
                      <a:fillRect/>
                    </a:stretch>
                  </pic:blipFill>
                  <pic:spPr>
                    <a:xfrm>
                      <a:off x="0" y="0"/>
                      <a:ext cx="5064125" cy="2970530"/>
                    </a:xfrm>
                    <a:prstGeom prst="rect">
                      <a:avLst/>
                    </a:prstGeom>
                    <a:noFill/>
                    <a:ln>
                      <a:noFill/>
                    </a:ln>
                  </pic:spPr>
                </pic:pic>
              </a:graphicData>
            </a:graphic>
          </wp:inline>
        </w:drawing>
      </w:r>
    </w:p>
    <w:p w14:paraId="7E3B4947">
      <w:pPr>
        <w:overflowPunct w:val="0"/>
        <w:spacing w:line="480" w:lineRule="auto"/>
        <w:ind w:firstLine="420" w:firstLineChars="200"/>
        <w:textAlignment w:val="auto"/>
        <w:rPr>
          <w:rFonts w:ascii="Arial" w:hAnsi="Arial"/>
          <w:sz w:val="21"/>
          <w:szCs w:val="28"/>
        </w:rPr>
      </w:pPr>
      <w:r>
        <w:rPr>
          <w:rFonts w:hint="eastAsia" w:ascii="Arial" w:hAnsi="Arial"/>
          <w:sz w:val="21"/>
          <w:szCs w:val="28"/>
        </w:rPr>
        <w:t>B.</w:t>
      </w:r>
      <w:r>
        <w:rPr>
          <w:rFonts w:hint="eastAsia"/>
        </w:rPr>
        <w:t xml:space="preserve"> </w:t>
      </w:r>
      <w:r>
        <w:rPr>
          <w:rFonts w:hint="eastAsia" w:ascii="Arial" w:hAnsi="Arial"/>
          <w:sz w:val="21"/>
          <w:szCs w:val="28"/>
        </w:rPr>
        <w:t>成交结构</w:t>
      </w:r>
    </w:p>
    <w:p w14:paraId="43771C55">
      <w:pPr>
        <w:overflowPunct w:val="0"/>
        <w:spacing w:line="480" w:lineRule="auto"/>
        <w:ind w:firstLine="420" w:firstLineChars="200"/>
        <w:jc w:val="both"/>
        <w:textAlignment w:val="auto"/>
        <w:rPr>
          <w:rFonts w:ascii="Arial" w:hAnsi="Arial"/>
          <w:sz w:val="21"/>
          <w:szCs w:val="28"/>
        </w:rPr>
      </w:pPr>
      <w:r>
        <w:rPr>
          <w:rFonts w:ascii="Arial" w:hAnsi="Arial"/>
          <w:sz w:val="21"/>
          <w:szCs w:val="28"/>
        </w:rPr>
        <w:t>2025年，新房以改善需求为主，中高面积段、中高价位段为市场成交主力，</w:t>
      </w:r>
      <w:r>
        <w:rPr>
          <w:rFonts w:hint="eastAsia" w:ascii="Arial" w:hAnsi="Arial"/>
          <w:sz w:val="21"/>
          <w:szCs w:val="28"/>
        </w:rPr>
        <w:t>存量</w:t>
      </w:r>
      <w:r>
        <w:rPr>
          <w:rFonts w:ascii="Arial" w:hAnsi="Arial"/>
          <w:sz w:val="21"/>
          <w:szCs w:val="28"/>
        </w:rPr>
        <w:t>房对刚需客户分流明显</w:t>
      </w:r>
      <w:r>
        <w:rPr>
          <w:rFonts w:hint="eastAsia" w:ascii="Arial" w:hAnsi="Arial"/>
          <w:sz w:val="21"/>
          <w:szCs w:val="28"/>
        </w:rPr>
        <w:t>。</w:t>
      </w:r>
    </w:p>
    <w:p w14:paraId="4B86C650">
      <w:pPr>
        <w:overflowPunct w:val="0"/>
        <w:spacing w:line="480" w:lineRule="auto"/>
        <w:ind w:firstLine="420" w:firstLineChars="200"/>
        <w:jc w:val="both"/>
        <w:textAlignment w:val="auto"/>
        <w:rPr>
          <w:rFonts w:ascii="Arial" w:hAnsi="Arial"/>
          <w:sz w:val="21"/>
          <w:szCs w:val="28"/>
        </w:rPr>
      </w:pPr>
      <w:r>
        <w:rPr>
          <w:rFonts w:ascii="Arial" w:hAnsi="Arial"/>
          <w:sz w:val="21"/>
          <w:szCs w:val="28"/>
        </w:rPr>
        <w:t>新房主力成交面积段上移，中高面积段占比大幅提升。2025年，北京商品住宅（不含保障房）中高面积成交套数占比升至71.5%，同比上升 4.2个百分点；中低面积段产品成交占比下滑4.0个百分点。细分来看，90-120平以及120-160平面积段产品成为北京商品住宅成交主力，成交套数占比分别为36.2%和27.6%。</w:t>
      </w:r>
    </w:p>
    <w:p w14:paraId="0C72D850">
      <w:pPr>
        <w:overflowPunct w:val="0"/>
        <w:spacing w:line="480" w:lineRule="auto"/>
        <w:jc w:val="center"/>
        <w:textAlignment w:val="auto"/>
      </w:pPr>
      <w:r>
        <w:drawing>
          <wp:inline distT="0" distB="0" distL="114300" distR="114300">
            <wp:extent cx="4409440" cy="3171190"/>
            <wp:effectExtent l="0" t="0" r="10160" b="1397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41"/>
                    <a:stretch>
                      <a:fillRect/>
                    </a:stretch>
                  </pic:blipFill>
                  <pic:spPr>
                    <a:xfrm>
                      <a:off x="0" y="0"/>
                      <a:ext cx="4409440" cy="3171190"/>
                    </a:xfrm>
                    <a:prstGeom prst="rect">
                      <a:avLst/>
                    </a:prstGeom>
                    <a:noFill/>
                    <a:ln>
                      <a:noFill/>
                    </a:ln>
                  </pic:spPr>
                </pic:pic>
              </a:graphicData>
            </a:graphic>
          </wp:inline>
        </w:drawing>
      </w:r>
    </w:p>
    <w:p w14:paraId="2CE12219">
      <w:pPr>
        <w:overflowPunct w:val="0"/>
        <w:spacing w:line="480" w:lineRule="auto"/>
        <w:ind w:firstLine="420" w:firstLineChars="200"/>
        <w:jc w:val="both"/>
        <w:textAlignment w:val="auto"/>
        <w:rPr>
          <w:rFonts w:ascii="Arial" w:hAnsi="Arial"/>
          <w:sz w:val="21"/>
          <w:szCs w:val="28"/>
        </w:rPr>
      </w:pPr>
      <w:r>
        <w:rPr>
          <w:rFonts w:ascii="Arial" w:hAnsi="Arial"/>
          <w:sz w:val="21"/>
          <w:szCs w:val="28"/>
        </w:rPr>
        <w:t>高价位段产品占比提升，中高价位段产品占比保持平稳。2025年，在海淀、朝阳等高端项目带动下，高价位段产品成交占比提升3.6个百分点至14.4%；中高价位段产品占比保持平稳，而中低价位段产品占比进一步下滑至39.3%</w:t>
      </w:r>
      <w:r>
        <w:rPr>
          <w:rFonts w:hint="eastAsia" w:ascii="Arial" w:hAnsi="Arial"/>
          <w:sz w:val="21"/>
          <w:szCs w:val="28"/>
        </w:rPr>
        <w:t>。</w:t>
      </w:r>
    </w:p>
    <w:p w14:paraId="53E5D2ED">
      <w:pPr>
        <w:overflowPunct w:val="0"/>
        <w:spacing w:line="480" w:lineRule="auto"/>
        <w:ind w:firstLine="480" w:firstLineChars="200"/>
        <w:jc w:val="center"/>
        <w:textAlignment w:val="auto"/>
        <w:rPr>
          <w:rFonts w:ascii="Arial" w:hAnsi="Arial"/>
          <w:sz w:val="21"/>
          <w:szCs w:val="28"/>
        </w:rPr>
      </w:pPr>
      <w:r>
        <w:drawing>
          <wp:inline distT="0" distB="0" distL="114300" distR="114300">
            <wp:extent cx="5180965" cy="3104515"/>
            <wp:effectExtent l="0" t="0" r="635" b="4445"/>
            <wp:docPr id="3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pic:cNvPicPr>
                      <a:picLocks noChangeAspect="1"/>
                    </pic:cNvPicPr>
                  </pic:nvPicPr>
                  <pic:blipFill>
                    <a:blip r:embed="rId42"/>
                    <a:stretch>
                      <a:fillRect/>
                    </a:stretch>
                  </pic:blipFill>
                  <pic:spPr>
                    <a:xfrm>
                      <a:off x="0" y="0"/>
                      <a:ext cx="5180965" cy="3104515"/>
                    </a:xfrm>
                    <a:prstGeom prst="rect">
                      <a:avLst/>
                    </a:prstGeom>
                    <a:noFill/>
                    <a:ln>
                      <a:noFill/>
                    </a:ln>
                  </pic:spPr>
                </pic:pic>
              </a:graphicData>
            </a:graphic>
          </wp:inline>
        </w:drawing>
      </w:r>
    </w:p>
    <w:p w14:paraId="32D9B0A1">
      <w:pPr>
        <w:overflowPunct w:val="0"/>
        <w:spacing w:line="480" w:lineRule="auto"/>
        <w:ind w:firstLine="420" w:firstLineChars="200"/>
        <w:textAlignment w:val="auto"/>
        <w:rPr>
          <w:rFonts w:ascii="Arial" w:hAnsi="Arial"/>
          <w:sz w:val="21"/>
        </w:rPr>
      </w:pPr>
      <w:r>
        <w:rPr>
          <w:rFonts w:hint="eastAsia" w:ascii="Arial" w:hAnsi="Arial"/>
          <w:sz w:val="21"/>
        </w:rPr>
        <w:t>3）区域成交</w:t>
      </w:r>
    </w:p>
    <w:p w14:paraId="6459E4DB">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从区域成交规模来看，2025年中心城区</w:t>
      </w:r>
      <w:r>
        <w:rPr>
          <w:rFonts w:hint="eastAsia" w:ascii="Arial" w:hAnsi="Arial"/>
          <w:sz w:val="21"/>
          <w:szCs w:val="28"/>
        </w:rPr>
        <w:t>（含核心区）</w:t>
      </w:r>
      <w:r>
        <w:rPr>
          <w:rFonts w:ascii="Arial" w:hAnsi="Arial"/>
          <w:sz w:val="21"/>
          <w:szCs w:val="28"/>
        </w:rPr>
        <w:t>成交面积同比增长8%，占比提升6.6个百分点至41.9%。其中朝阳区成交规模超62万</w:t>
      </w:r>
      <w:r>
        <w:rPr>
          <w:rFonts w:hint="eastAsia" w:ascii="Arial" w:hAnsi="Arial"/>
          <w:sz w:val="21"/>
          <w:szCs w:val="28"/>
        </w:rPr>
        <w:t>平方米</w:t>
      </w:r>
      <w:r>
        <w:rPr>
          <w:rFonts w:ascii="Arial" w:hAnsi="Arial"/>
          <w:sz w:val="21"/>
          <w:szCs w:val="28"/>
        </w:rPr>
        <w:t>，居首位；在功德寺、朱房等项目带动下，海淀区成交规模同比大幅提升；近郊六区依然为北京新房成交主力区域，但成交面积同比下降20%，占比下滑至6.8个百分点至52.2%。在中建运河玖院、朝棠揽阅、长安华曦府等热点项目带动下，通州、门头沟同比增长。</w:t>
      </w:r>
    </w:p>
    <w:p w14:paraId="67AD93A0">
      <w:pPr>
        <w:overflowPunct w:val="0"/>
        <w:spacing w:line="480" w:lineRule="auto"/>
        <w:ind w:firstLine="420" w:firstLineChars="200"/>
        <w:jc w:val="both"/>
        <w:textAlignment w:val="auto"/>
        <w:rPr>
          <w:rFonts w:ascii="Arial" w:hAnsi="Arial"/>
          <w:sz w:val="21"/>
          <w:szCs w:val="28"/>
        </w:rPr>
      </w:pPr>
      <w:r>
        <w:rPr>
          <w:rFonts w:ascii="Arial" w:hAnsi="Arial"/>
          <w:sz w:val="21"/>
          <w:szCs w:val="28"/>
        </w:rPr>
        <w:t>从区域成交</w:t>
      </w:r>
      <w:r>
        <w:rPr>
          <w:rFonts w:hint="eastAsia" w:ascii="Arial" w:hAnsi="Arial"/>
          <w:sz w:val="21"/>
          <w:szCs w:val="28"/>
        </w:rPr>
        <w:t>价</w:t>
      </w:r>
      <w:r>
        <w:rPr>
          <w:rFonts w:ascii="Arial" w:hAnsi="Arial"/>
          <w:sz w:val="21"/>
          <w:szCs w:val="28"/>
        </w:rPr>
        <w:t>来看，2025年北京中心城区</w:t>
      </w:r>
      <w:r>
        <w:rPr>
          <w:rFonts w:hint="eastAsia" w:ascii="Arial" w:hAnsi="Arial"/>
          <w:sz w:val="21"/>
          <w:szCs w:val="28"/>
        </w:rPr>
        <w:t>（含核心区）</w:t>
      </w:r>
      <w:r>
        <w:rPr>
          <w:rFonts w:ascii="Arial" w:hAnsi="Arial"/>
          <w:sz w:val="21"/>
          <w:szCs w:val="28"/>
        </w:rPr>
        <w:t>成交均价为83430元/</w:t>
      </w:r>
      <w:r>
        <w:rPr>
          <w:rFonts w:hint="eastAsia" w:ascii="Arial" w:hAnsi="Arial"/>
          <w:sz w:val="21"/>
          <w:szCs w:val="28"/>
        </w:rPr>
        <w:t>平方米</w:t>
      </w:r>
      <w:r>
        <w:rPr>
          <w:rFonts w:ascii="Arial" w:hAnsi="Arial"/>
          <w:sz w:val="21"/>
          <w:szCs w:val="28"/>
        </w:rPr>
        <w:t>，同比基本持平，其中海淀、朝阳成交均价同比上涨；近郊六区成交均价同比保持平稳，通州区同比小幅上涨1%，其他区成交均价同比下跌。</w:t>
      </w:r>
    </w:p>
    <w:p w14:paraId="09055AD0">
      <w:pPr>
        <w:tabs>
          <w:tab w:val="left" w:pos="426"/>
        </w:tabs>
        <w:overflowPunct w:val="0"/>
        <w:spacing w:line="480" w:lineRule="auto"/>
        <w:jc w:val="center"/>
        <w:textAlignment w:val="auto"/>
      </w:pPr>
      <w:r>
        <w:drawing>
          <wp:inline distT="0" distB="0" distL="114300" distR="114300">
            <wp:extent cx="5903595" cy="1983105"/>
            <wp:effectExtent l="0" t="0" r="9525" b="13335"/>
            <wp:docPr id="25" name="图片 1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222"/>
                    <pic:cNvPicPr>
                      <a:picLocks noChangeAspect="1"/>
                    </pic:cNvPicPr>
                  </pic:nvPicPr>
                  <pic:blipFill>
                    <a:blip r:embed="rId43"/>
                    <a:stretch>
                      <a:fillRect/>
                    </a:stretch>
                  </pic:blipFill>
                  <pic:spPr>
                    <a:xfrm>
                      <a:off x="0" y="0"/>
                      <a:ext cx="5903595" cy="1983105"/>
                    </a:xfrm>
                    <a:prstGeom prst="rect">
                      <a:avLst/>
                    </a:prstGeom>
                    <a:noFill/>
                    <a:ln>
                      <a:noFill/>
                    </a:ln>
                  </pic:spPr>
                </pic:pic>
              </a:graphicData>
            </a:graphic>
          </wp:inline>
        </w:drawing>
      </w:r>
    </w:p>
    <w:p w14:paraId="2D799071">
      <w:pPr>
        <w:widowControl/>
        <w:overflowPunct w:val="0"/>
        <w:adjustRightInd/>
        <w:spacing w:line="480" w:lineRule="auto"/>
        <w:ind w:firstLine="420" w:firstLineChars="200"/>
        <w:jc w:val="both"/>
        <w:textAlignment w:val="auto"/>
        <w:rPr>
          <w:rFonts w:ascii="Arial" w:hAnsi="Arial"/>
          <w:bCs/>
          <w:sz w:val="21"/>
          <w:szCs w:val="28"/>
        </w:rPr>
      </w:pPr>
      <w:r>
        <w:rPr>
          <w:rFonts w:hint="eastAsia" w:ascii="Arial" w:hAnsi="Arial"/>
          <w:bCs/>
          <w:sz w:val="21"/>
          <w:szCs w:val="28"/>
        </w:rPr>
        <w:t>（3）存量房住宅市场</w:t>
      </w:r>
    </w:p>
    <w:p w14:paraId="2BA6FF57">
      <w:pPr>
        <w:overflowPunct w:val="0"/>
        <w:spacing w:line="480" w:lineRule="auto"/>
        <w:ind w:firstLine="420" w:firstLineChars="200"/>
        <w:jc w:val="both"/>
        <w:textAlignment w:val="auto"/>
        <w:rPr>
          <w:rFonts w:ascii="Arial" w:hAnsi="Arial"/>
          <w:sz w:val="21"/>
        </w:rPr>
      </w:pPr>
      <w:r>
        <w:rPr>
          <w:rFonts w:hint="eastAsia" w:ascii="Arial" w:hAnsi="Arial"/>
          <w:sz w:val="21"/>
        </w:rPr>
        <w:t>1）市场运行状况</w:t>
      </w:r>
    </w:p>
    <w:p w14:paraId="409E809A">
      <w:pPr>
        <w:tabs>
          <w:tab w:val="left" w:pos="426"/>
        </w:tabs>
        <w:overflowPunct w:val="0"/>
        <w:spacing w:line="480" w:lineRule="auto"/>
        <w:ind w:firstLine="420" w:firstLineChars="200"/>
        <w:jc w:val="both"/>
        <w:textAlignment w:val="auto"/>
        <w:rPr>
          <w:rFonts w:ascii="Arial" w:hAnsi="Arial"/>
          <w:sz w:val="21"/>
          <w:szCs w:val="28"/>
        </w:rPr>
      </w:pPr>
      <w:r>
        <w:rPr>
          <w:rFonts w:ascii="Arial" w:hAnsi="Arial"/>
          <w:sz w:val="21"/>
          <w:szCs w:val="28"/>
        </w:rPr>
        <w:t>2025年上半年，北京</w:t>
      </w:r>
      <w:r>
        <w:rPr>
          <w:rFonts w:hint="eastAsia" w:ascii="Arial" w:hAnsi="Arial"/>
          <w:sz w:val="21"/>
          <w:szCs w:val="28"/>
        </w:rPr>
        <w:t>存量</w:t>
      </w:r>
      <w:r>
        <w:rPr>
          <w:rFonts w:ascii="Arial" w:hAnsi="Arial"/>
          <w:sz w:val="21"/>
          <w:szCs w:val="28"/>
        </w:rPr>
        <w:t>商品住宅新增挂牌持续处于较高水平；下半年新增挂牌规模回落，9月新增挂牌升至下半年高位，四季度新增挂牌持续回落。5月以来累计挂牌量持续处于高位水平，</w:t>
      </w:r>
      <w:r>
        <w:rPr>
          <w:rFonts w:hint="eastAsia" w:ascii="Arial" w:hAnsi="Arial"/>
          <w:sz w:val="21"/>
          <w:szCs w:val="28"/>
        </w:rPr>
        <w:t>存量</w:t>
      </w:r>
      <w:r>
        <w:rPr>
          <w:rFonts w:ascii="Arial" w:hAnsi="Arial"/>
          <w:sz w:val="21"/>
          <w:szCs w:val="28"/>
        </w:rPr>
        <w:t>房市场明显供大于求。截止到2025年12月，北京</w:t>
      </w:r>
      <w:r>
        <w:rPr>
          <w:rFonts w:hint="eastAsia" w:ascii="Arial" w:hAnsi="Arial"/>
          <w:sz w:val="21"/>
          <w:szCs w:val="28"/>
        </w:rPr>
        <w:t>存量</w:t>
      </w:r>
      <w:r>
        <w:rPr>
          <w:rFonts w:ascii="Arial" w:hAnsi="Arial"/>
          <w:sz w:val="21"/>
          <w:szCs w:val="28"/>
        </w:rPr>
        <w:t>商品住宅存量挂牌套数为13.69万套，较年初增加8.5%</w:t>
      </w:r>
      <w:r>
        <w:rPr>
          <w:rFonts w:hint="eastAsia" w:ascii="Arial" w:hAnsi="Arial"/>
          <w:sz w:val="21"/>
          <w:szCs w:val="28"/>
        </w:rPr>
        <w:t>。</w:t>
      </w:r>
    </w:p>
    <w:p w14:paraId="1BB85F2D">
      <w:pPr>
        <w:tabs>
          <w:tab w:val="left" w:pos="426"/>
        </w:tabs>
        <w:overflowPunct w:val="0"/>
        <w:spacing w:line="480" w:lineRule="auto"/>
        <w:jc w:val="center"/>
        <w:textAlignment w:val="auto"/>
      </w:pPr>
      <w:r>
        <w:drawing>
          <wp:inline distT="0" distB="0" distL="114300" distR="114300">
            <wp:extent cx="5400040" cy="2840355"/>
            <wp:effectExtent l="0" t="0" r="10160" b="9525"/>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pic:cNvPicPr>
                      <a:picLocks noChangeAspect="1"/>
                    </pic:cNvPicPr>
                  </pic:nvPicPr>
                  <pic:blipFill>
                    <a:blip r:embed="rId44"/>
                    <a:stretch>
                      <a:fillRect/>
                    </a:stretch>
                  </pic:blipFill>
                  <pic:spPr>
                    <a:xfrm>
                      <a:off x="0" y="0"/>
                      <a:ext cx="5400040" cy="2840355"/>
                    </a:xfrm>
                    <a:prstGeom prst="rect">
                      <a:avLst/>
                    </a:prstGeom>
                    <a:noFill/>
                    <a:ln>
                      <a:noFill/>
                    </a:ln>
                  </pic:spPr>
                </pic:pic>
              </a:graphicData>
            </a:graphic>
          </wp:inline>
        </w:drawing>
      </w:r>
    </w:p>
    <w:p w14:paraId="0B2802EA">
      <w:pPr>
        <w:overflowPunct w:val="0"/>
        <w:spacing w:line="480" w:lineRule="auto"/>
        <w:ind w:firstLine="420"/>
        <w:jc w:val="both"/>
        <w:textAlignment w:val="auto"/>
        <w:rPr>
          <w:rFonts w:ascii="Arial" w:hAnsi="Arial"/>
          <w:color w:val="000000"/>
          <w:sz w:val="21"/>
        </w:rPr>
      </w:pPr>
      <w:r>
        <w:rPr>
          <w:rFonts w:ascii="Arial" w:hAnsi="Arial"/>
          <w:color w:val="000000"/>
          <w:sz w:val="21"/>
        </w:rPr>
        <w:t>2025年，北京</w:t>
      </w:r>
      <w:r>
        <w:rPr>
          <w:rFonts w:hint="eastAsia" w:ascii="Arial" w:hAnsi="Arial"/>
          <w:color w:val="000000"/>
          <w:sz w:val="21"/>
        </w:rPr>
        <w:t>存量</w:t>
      </w:r>
      <w:r>
        <w:rPr>
          <w:rFonts w:ascii="Arial" w:hAnsi="Arial"/>
          <w:color w:val="000000"/>
          <w:sz w:val="21"/>
        </w:rPr>
        <w:t>房市场成交活跃，全年</w:t>
      </w:r>
      <w:r>
        <w:rPr>
          <w:rFonts w:hint="eastAsia" w:ascii="Arial" w:hAnsi="Arial"/>
          <w:color w:val="000000"/>
          <w:sz w:val="21"/>
        </w:rPr>
        <w:t>存量</w:t>
      </w:r>
      <w:r>
        <w:rPr>
          <w:rFonts w:ascii="Arial" w:hAnsi="Arial"/>
          <w:color w:val="000000"/>
          <w:sz w:val="21"/>
        </w:rPr>
        <w:t>商品住宅累计成交17.43万套，同比微降0.8%，连续两年成交超17万套。月度来看，上半年北京</w:t>
      </w:r>
      <w:r>
        <w:rPr>
          <w:rFonts w:hint="eastAsia" w:ascii="Arial" w:hAnsi="Arial"/>
          <w:color w:val="000000"/>
          <w:sz w:val="21"/>
        </w:rPr>
        <w:t>存量</w:t>
      </w:r>
      <w:r>
        <w:rPr>
          <w:rFonts w:ascii="Arial" w:hAnsi="Arial"/>
          <w:color w:val="000000"/>
          <w:sz w:val="21"/>
        </w:rPr>
        <w:t>房市场热度较高，下半年市场热度下滑，8.8楼市新政带动9月成交量回升；四季度</w:t>
      </w:r>
      <w:r>
        <w:rPr>
          <w:rFonts w:hint="eastAsia" w:ascii="Arial" w:hAnsi="Arial"/>
          <w:color w:val="000000"/>
          <w:sz w:val="21"/>
        </w:rPr>
        <w:t>存量</w:t>
      </w:r>
      <w:r>
        <w:rPr>
          <w:rFonts w:ascii="Arial" w:hAnsi="Arial"/>
          <w:color w:val="000000"/>
          <w:sz w:val="21"/>
        </w:rPr>
        <w:t>房市场热度再次回落，12月年底</w:t>
      </w:r>
      <w:r>
        <w:rPr>
          <w:rFonts w:hint="eastAsia" w:ascii="Arial" w:hAnsi="Arial"/>
          <w:color w:val="000000"/>
          <w:sz w:val="21"/>
        </w:rPr>
        <w:t>存量</w:t>
      </w:r>
      <w:r>
        <w:rPr>
          <w:rFonts w:ascii="Arial" w:hAnsi="Arial"/>
          <w:color w:val="000000"/>
          <w:sz w:val="21"/>
        </w:rPr>
        <w:t>房成交集中释放，叠加放松限购政策带动，1</w:t>
      </w:r>
      <w:r>
        <w:rPr>
          <w:rFonts w:hint="eastAsia" w:ascii="Arial" w:hAnsi="Arial"/>
          <w:color w:val="000000"/>
          <w:sz w:val="21"/>
        </w:rPr>
        <w:t>2</w:t>
      </w:r>
      <w:r>
        <w:rPr>
          <w:rFonts w:ascii="Arial" w:hAnsi="Arial"/>
          <w:color w:val="000000"/>
          <w:sz w:val="21"/>
        </w:rPr>
        <w:t>月市场迎来“翘尾”收官，成交17200套，创下全年第二高成交量（仅次于3月小阳春的1.9万套）。</w:t>
      </w:r>
    </w:p>
    <w:p w14:paraId="19047C03">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从</w:t>
      </w:r>
      <w:r>
        <w:rPr>
          <w:rFonts w:ascii="Arial" w:hAnsi="Arial"/>
          <w:color w:val="000000"/>
          <w:sz w:val="21"/>
        </w:rPr>
        <w:t>成交价格</w:t>
      </w:r>
      <w:r>
        <w:rPr>
          <w:rFonts w:hint="eastAsia" w:ascii="Arial" w:hAnsi="Arial"/>
          <w:color w:val="000000"/>
          <w:sz w:val="21"/>
        </w:rPr>
        <w:t>看，存量</w:t>
      </w:r>
      <w:r>
        <w:rPr>
          <w:rFonts w:ascii="Arial" w:hAnsi="Arial"/>
          <w:color w:val="000000"/>
          <w:sz w:val="21"/>
        </w:rPr>
        <w:t>房市场持续呈现“以价换量”特征，2025年二季度以来市场热度回落，</w:t>
      </w:r>
      <w:r>
        <w:rPr>
          <w:rFonts w:hint="eastAsia" w:ascii="Arial" w:hAnsi="Arial"/>
          <w:color w:val="000000"/>
          <w:sz w:val="21"/>
        </w:rPr>
        <w:t>存量</w:t>
      </w:r>
      <w:r>
        <w:rPr>
          <w:rFonts w:ascii="Arial" w:hAnsi="Arial"/>
          <w:color w:val="000000"/>
          <w:sz w:val="21"/>
        </w:rPr>
        <w:t>住宅价格指数持续处于下跌通道，2025年北京</w:t>
      </w:r>
      <w:r>
        <w:rPr>
          <w:rFonts w:hint="eastAsia" w:ascii="Arial" w:hAnsi="Arial"/>
          <w:color w:val="000000"/>
          <w:sz w:val="21"/>
        </w:rPr>
        <w:t>存量</w:t>
      </w:r>
      <w:r>
        <w:rPr>
          <w:rFonts w:ascii="Arial" w:hAnsi="Arial"/>
          <w:color w:val="000000"/>
          <w:sz w:val="21"/>
        </w:rPr>
        <w:t>住宅价格指数累计下跌8.5%</w:t>
      </w:r>
      <w:r>
        <w:rPr>
          <w:rFonts w:hint="eastAsia" w:ascii="Arial" w:hAnsi="Arial"/>
          <w:color w:val="000000"/>
          <w:sz w:val="21"/>
        </w:rPr>
        <w:t>。</w:t>
      </w:r>
    </w:p>
    <w:p w14:paraId="5C1650FC">
      <w:pPr>
        <w:overflowPunct w:val="0"/>
        <w:spacing w:line="480" w:lineRule="auto"/>
        <w:jc w:val="center"/>
        <w:textAlignment w:val="auto"/>
        <w:rPr>
          <w:rFonts w:ascii="Arial" w:hAnsi="Arial"/>
          <w:color w:val="000000"/>
          <w:sz w:val="21"/>
        </w:rPr>
      </w:pPr>
      <w:r>
        <w:drawing>
          <wp:inline distT="0" distB="0" distL="114300" distR="114300">
            <wp:extent cx="5908040" cy="1624330"/>
            <wp:effectExtent l="0" t="0" r="5080" b="6350"/>
            <wp:docPr id="4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8"/>
                    <pic:cNvPicPr>
                      <a:picLocks noChangeAspect="1"/>
                    </pic:cNvPicPr>
                  </pic:nvPicPr>
                  <pic:blipFill>
                    <a:blip r:embed="rId45"/>
                    <a:stretch>
                      <a:fillRect/>
                    </a:stretch>
                  </pic:blipFill>
                  <pic:spPr>
                    <a:xfrm>
                      <a:off x="0" y="0"/>
                      <a:ext cx="5908040" cy="1624330"/>
                    </a:xfrm>
                    <a:prstGeom prst="rect">
                      <a:avLst/>
                    </a:prstGeom>
                    <a:noFill/>
                    <a:ln>
                      <a:noFill/>
                    </a:ln>
                  </pic:spPr>
                </pic:pic>
              </a:graphicData>
            </a:graphic>
          </wp:inline>
        </w:drawing>
      </w:r>
    </w:p>
    <w:p w14:paraId="5F2DC1D7">
      <w:pPr>
        <w:overflowPunct w:val="0"/>
        <w:spacing w:line="480" w:lineRule="auto"/>
        <w:ind w:firstLine="420" w:firstLineChars="200"/>
        <w:jc w:val="both"/>
        <w:textAlignment w:val="auto"/>
        <w:rPr>
          <w:rFonts w:ascii="Arial" w:hAnsi="Arial"/>
          <w:sz w:val="21"/>
        </w:rPr>
      </w:pPr>
      <w:r>
        <w:rPr>
          <w:rFonts w:hint="eastAsia" w:ascii="Arial" w:hAnsi="Arial"/>
          <w:sz w:val="21"/>
        </w:rPr>
        <w:t>2）各区县统计</w:t>
      </w:r>
    </w:p>
    <w:p w14:paraId="79723D54">
      <w:pPr>
        <w:overflowPunct w:val="0"/>
        <w:spacing w:line="480" w:lineRule="auto"/>
        <w:ind w:firstLine="420"/>
        <w:jc w:val="both"/>
        <w:textAlignment w:val="auto"/>
        <w:rPr>
          <w:rFonts w:ascii="Arial" w:hAnsi="Arial"/>
          <w:color w:val="000000"/>
          <w:sz w:val="21"/>
        </w:rPr>
      </w:pPr>
      <w:bookmarkStart w:id="60" w:name="OLE_LINK9"/>
      <w:bookmarkStart w:id="61" w:name="OLE_LINK8"/>
      <w:r>
        <w:rPr>
          <w:rFonts w:ascii="Arial" w:hAnsi="Arial"/>
          <w:color w:val="000000"/>
          <w:sz w:val="21"/>
        </w:rPr>
        <w:t>分区域来看，</w:t>
      </w:r>
      <w:r>
        <w:rPr>
          <w:rFonts w:hint="eastAsia" w:ascii="Arial" w:hAnsi="Arial"/>
          <w:color w:val="000000"/>
          <w:sz w:val="21"/>
        </w:rPr>
        <w:t>2025年</w:t>
      </w:r>
      <w:r>
        <w:rPr>
          <w:rFonts w:ascii="Arial" w:hAnsi="Arial"/>
          <w:color w:val="000000"/>
          <w:sz w:val="21"/>
        </w:rPr>
        <w:t>朝阳区成交量达378万平方米，居各区首位；海淀、丰台、昌平、大兴、</w:t>
      </w:r>
      <w:r>
        <w:rPr>
          <w:rFonts w:hint="eastAsia" w:ascii="Arial" w:hAnsi="Arial"/>
          <w:color w:val="000000"/>
          <w:sz w:val="21"/>
        </w:rPr>
        <w:t>通州存量</w:t>
      </w:r>
      <w:r>
        <w:rPr>
          <w:rFonts w:ascii="Arial" w:hAnsi="Arial"/>
          <w:color w:val="000000"/>
          <w:sz w:val="21"/>
        </w:rPr>
        <w:t>房市场比较活跃，成交面积均超过100万平方米；同比来看，中心城区、近郊区、远郊区</w:t>
      </w:r>
      <w:r>
        <w:rPr>
          <w:rFonts w:hint="eastAsia" w:ascii="Arial" w:hAnsi="Arial"/>
          <w:color w:val="000000"/>
          <w:sz w:val="21"/>
        </w:rPr>
        <w:t>存量</w:t>
      </w:r>
      <w:r>
        <w:rPr>
          <w:rFonts w:ascii="Arial" w:hAnsi="Arial"/>
          <w:color w:val="000000"/>
          <w:sz w:val="21"/>
        </w:rPr>
        <w:t>房成交规模均同比下降。门头沟、通州、昌平</w:t>
      </w:r>
      <w:r>
        <w:rPr>
          <w:rFonts w:hint="eastAsia" w:ascii="Arial" w:hAnsi="Arial"/>
          <w:color w:val="000000"/>
          <w:sz w:val="21"/>
        </w:rPr>
        <w:t>存量</w:t>
      </w:r>
      <w:r>
        <w:rPr>
          <w:rFonts w:ascii="Arial" w:hAnsi="Arial"/>
          <w:color w:val="000000"/>
          <w:sz w:val="21"/>
        </w:rPr>
        <w:t>房房价跌幅较大</w:t>
      </w:r>
      <w:r>
        <w:rPr>
          <w:rFonts w:hint="eastAsia" w:ascii="Arial" w:hAnsi="Arial"/>
          <w:color w:val="000000"/>
          <w:sz w:val="21"/>
        </w:rPr>
        <w:t>。</w:t>
      </w:r>
    </w:p>
    <w:p w14:paraId="2EA7B2C2">
      <w:pPr>
        <w:overflowPunct w:val="0"/>
        <w:spacing w:line="480" w:lineRule="auto"/>
        <w:jc w:val="center"/>
        <w:textAlignment w:val="auto"/>
        <w:rPr>
          <w:rFonts w:ascii="Arial" w:hAnsi="Arial"/>
          <w:color w:val="000000"/>
          <w:sz w:val="21"/>
        </w:rPr>
      </w:pPr>
      <w:r>
        <w:drawing>
          <wp:inline distT="0" distB="0" distL="114300" distR="114300">
            <wp:extent cx="5219065" cy="6021070"/>
            <wp:effectExtent l="0" t="0" r="8255" b="13970"/>
            <wp:docPr id="41" name="图片 1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descr="333"/>
                    <pic:cNvPicPr>
                      <a:picLocks noChangeAspect="1"/>
                    </pic:cNvPicPr>
                  </pic:nvPicPr>
                  <pic:blipFill>
                    <a:blip r:embed="rId46"/>
                    <a:stretch>
                      <a:fillRect/>
                    </a:stretch>
                  </pic:blipFill>
                  <pic:spPr>
                    <a:xfrm>
                      <a:off x="0" y="0"/>
                      <a:ext cx="5219065" cy="6021070"/>
                    </a:xfrm>
                    <a:prstGeom prst="rect">
                      <a:avLst/>
                    </a:prstGeom>
                    <a:noFill/>
                    <a:ln>
                      <a:noFill/>
                    </a:ln>
                  </pic:spPr>
                </pic:pic>
              </a:graphicData>
            </a:graphic>
          </wp:inline>
        </w:drawing>
      </w:r>
    </w:p>
    <w:p w14:paraId="72817E09">
      <w:pPr>
        <w:overflowPunct w:val="0"/>
        <w:spacing w:line="480" w:lineRule="auto"/>
        <w:ind w:firstLine="420"/>
        <w:jc w:val="both"/>
        <w:textAlignment w:val="auto"/>
        <w:rPr>
          <w:rFonts w:ascii="Arial" w:hAnsi="Arial"/>
          <w:color w:val="000000"/>
          <w:sz w:val="21"/>
        </w:rPr>
      </w:pPr>
      <w:r>
        <w:rPr>
          <w:rFonts w:ascii="Arial" w:hAnsi="Arial"/>
          <w:color w:val="000000"/>
          <w:sz w:val="21"/>
        </w:rPr>
        <w:t>整体来看，2025年</w:t>
      </w:r>
      <w:r>
        <w:rPr>
          <w:rFonts w:hint="eastAsia" w:ascii="Arial" w:hAnsi="Arial"/>
          <w:color w:val="000000"/>
          <w:sz w:val="21"/>
        </w:rPr>
        <w:t>，</w:t>
      </w:r>
      <w:r>
        <w:rPr>
          <w:rFonts w:ascii="Arial" w:hAnsi="Arial"/>
          <w:color w:val="000000"/>
          <w:sz w:val="21"/>
        </w:rPr>
        <w:t>北京商品住宅（新建+</w:t>
      </w:r>
      <w:r>
        <w:rPr>
          <w:rFonts w:hint="eastAsia" w:ascii="Arial" w:hAnsi="Arial"/>
          <w:color w:val="000000"/>
          <w:sz w:val="21"/>
        </w:rPr>
        <w:t>存量</w:t>
      </w:r>
      <w:r>
        <w:rPr>
          <w:rFonts w:ascii="Arial" w:hAnsi="Arial"/>
          <w:color w:val="000000"/>
          <w:sz w:val="21"/>
        </w:rPr>
        <w:t>）累计成交面积为2093.97万</w:t>
      </w:r>
      <w:r>
        <w:rPr>
          <w:rFonts w:hint="eastAsia" w:ascii="Arial" w:hAnsi="Arial"/>
          <w:color w:val="000000"/>
          <w:sz w:val="21"/>
        </w:rPr>
        <w:t>平方米</w:t>
      </w:r>
      <w:r>
        <w:rPr>
          <w:rFonts w:ascii="Arial" w:hAnsi="Arial"/>
          <w:color w:val="000000"/>
          <w:sz w:val="21"/>
        </w:rPr>
        <w:t>，同比下降3.8%。2023-2025年北京住宅市场累计成交规模位于2100万平方米左右，整体成交规模保持相对平稳。但市场分化明显，2022年以来新房市场表现相对较冷，新房成交规模呈现持续减少走势；而</w:t>
      </w:r>
      <w:r>
        <w:rPr>
          <w:rFonts w:hint="eastAsia" w:ascii="Arial" w:hAnsi="Arial"/>
          <w:color w:val="000000"/>
          <w:sz w:val="21"/>
        </w:rPr>
        <w:t>存量</w:t>
      </w:r>
      <w:r>
        <w:rPr>
          <w:rFonts w:ascii="Arial" w:hAnsi="Arial"/>
          <w:color w:val="000000"/>
          <w:sz w:val="21"/>
        </w:rPr>
        <w:t>房市场活跃度较高，近两年成交套数均超17万套。</w:t>
      </w:r>
    </w:p>
    <w:p w14:paraId="6CCD1CFF">
      <w:pPr>
        <w:overflowPunct w:val="0"/>
        <w:spacing w:line="480" w:lineRule="auto"/>
        <w:ind w:firstLine="420"/>
        <w:jc w:val="both"/>
        <w:textAlignment w:val="auto"/>
        <w:rPr>
          <w:rFonts w:ascii="Arial" w:hAnsi="Arial"/>
          <w:color w:val="000000"/>
          <w:sz w:val="21"/>
        </w:rPr>
      </w:pPr>
      <w:r>
        <w:rPr>
          <w:rFonts w:ascii="Arial" w:hAnsi="Arial"/>
          <w:color w:val="000000"/>
          <w:sz w:val="21"/>
        </w:rPr>
        <w:t>从</w:t>
      </w:r>
      <w:r>
        <w:rPr>
          <w:rFonts w:hint="eastAsia" w:ascii="Arial" w:hAnsi="Arial"/>
          <w:color w:val="000000"/>
          <w:sz w:val="21"/>
        </w:rPr>
        <w:t>存量</w:t>
      </w:r>
      <w:r>
        <w:rPr>
          <w:rFonts w:ascii="Arial" w:hAnsi="Arial"/>
          <w:color w:val="000000"/>
          <w:sz w:val="21"/>
        </w:rPr>
        <w:t>房成交占比来看，2022年以来</w:t>
      </w:r>
      <w:r>
        <w:rPr>
          <w:rFonts w:hint="eastAsia" w:ascii="Arial" w:hAnsi="Arial"/>
          <w:color w:val="000000"/>
          <w:sz w:val="21"/>
        </w:rPr>
        <w:t>存量</w:t>
      </w:r>
      <w:r>
        <w:rPr>
          <w:rFonts w:ascii="Arial" w:hAnsi="Arial"/>
          <w:color w:val="000000"/>
          <w:sz w:val="21"/>
        </w:rPr>
        <w:t>房成交占比呈现持续上升趋势，2025年占比上升至81%，再创历史新高水平，对新房市场形成明显的分流效应。</w:t>
      </w:r>
    </w:p>
    <w:p w14:paraId="13DE5B0D">
      <w:pPr>
        <w:overflowPunct w:val="0"/>
        <w:spacing w:line="480" w:lineRule="auto"/>
        <w:jc w:val="center"/>
        <w:textAlignment w:val="auto"/>
        <w:rPr>
          <w:rFonts w:ascii="Arial" w:hAnsi="Arial"/>
          <w:color w:val="000000"/>
          <w:sz w:val="21"/>
        </w:rPr>
      </w:pPr>
      <w:r>
        <w:drawing>
          <wp:inline distT="0" distB="0" distL="114300" distR="114300">
            <wp:extent cx="4572000" cy="2743200"/>
            <wp:effectExtent l="4445" t="4445" r="10795" b="10795"/>
            <wp:docPr id="34" name="图表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457B14D">
      <w:pPr>
        <w:overflowPunct w:val="0"/>
        <w:spacing w:line="480" w:lineRule="auto"/>
        <w:ind w:firstLine="420" w:firstLineChars="200"/>
        <w:jc w:val="both"/>
        <w:textAlignment w:val="auto"/>
        <w:rPr>
          <w:rFonts w:ascii="Arial" w:hAnsi="Arial"/>
          <w:color w:val="000000"/>
          <w:sz w:val="21"/>
          <w:szCs w:val="28"/>
        </w:rPr>
      </w:pPr>
      <w:r>
        <w:rPr>
          <w:rFonts w:hint="eastAsia" w:ascii="Arial" w:hAnsi="Arial"/>
          <w:color w:val="000000"/>
          <w:sz w:val="21"/>
          <w:szCs w:val="28"/>
        </w:rPr>
        <w:t>4.产业政策</w:t>
      </w:r>
    </w:p>
    <w:p w14:paraId="4339BDED">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全国：</w:t>
      </w:r>
    </w:p>
    <w:p w14:paraId="1937F69B">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年3月</w:t>
      </w:r>
      <w:r>
        <w:rPr>
          <w:rFonts w:hint="eastAsia" w:ascii="Arial" w:hAnsi="Arial"/>
          <w:color w:val="000000"/>
          <w:sz w:val="21"/>
        </w:rPr>
        <w:t>5</w:t>
      </w:r>
      <w:r>
        <w:rPr>
          <w:rFonts w:ascii="Arial" w:hAnsi="Arial"/>
          <w:color w:val="000000"/>
          <w:sz w:val="21"/>
        </w:rPr>
        <w:t>日全国两会召开。关于房地产的定调，政府工作报告延续了去年底中央经济工作会议基调，</w:t>
      </w:r>
      <w:r>
        <w:rPr>
          <w:rFonts w:hint="eastAsia" w:ascii="Arial" w:hAnsi="Arial"/>
          <w:color w:val="000000"/>
          <w:sz w:val="21"/>
        </w:rPr>
        <w:t>在2025年政府工作任务“有效防范化解重点领域风险,牢牢守住不发生系统性风险底线”中确立了“持续用力推动房地产市场止跌回稳”的政策目标，并从需求不断加力、供给持续调整、风险防范化解和行业长远发展四个方面给出了大段论述。</w:t>
      </w:r>
    </w:p>
    <w:p w14:paraId="12FC530E">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2025年4月3日，</w:t>
      </w:r>
      <w:r>
        <w:rPr>
          <w:rFonts w:ascii="Arial" w:hAnsi="Arial"/>
          <w:color w:val="000000"/>
          <w:sz w:val="21"/>
        </w:rPr>
        <w:t>财政部办公厅</w:t>
      </w:r>
      <w:r>
        <w:rPr>
          <w:rFonts w:hint="eastAsia" w:ascii="Arial" w:hAnsi="Arial"/>
          <w:color w:val="000000"/>
          <w:sz w:val="21"/>
        </w:rPr>
        <w:t>、</w:t>
      </w:r>
      <w:r>
        <w:rPr>
          <w:rFonts w:ascii="Arial" w:hAnsi="Arial"/>
          <w:color w:val="000000"/>
          <w:sz w:val="21"/>
        </w:rPr>
        <w:t>住房城乡建设部办公厅</w:t>
      </w:r>
      <w:r>
        <w:rPr>
          <w:rFonts w:hint="eastAsia" w:ascii="Arial" w:hAnsi="Arial"/>
          <w:color w:val="000000"/>
          <w:sz w:val="21"/>
        </w:rPr>
        <w:t>联合发布</w:t>
      </w:r>
      <w:r>
        <w:rPr>
          <w:rFonts w:ascii="Arial" w:hAnsi="Arial"/>
          <w:color w:val="000000"/>
          <w:sz w:val="21"/>
        </w:rPr>
        <w:t>《关于开展2025年度中央财政支持实施城市更新行动的通知》</w:t>
      </w:r>
      <w:r>
        <w:rPr>
          <w:rFonts w:hint="eastAsia" w:ascii="Arial" w:hAnsi="Arial"/>
          <w:color w:val="000000"/>
          <w:sz w:val="21"/>
        </w:rPr>
        <w:t>。《通知》提出</w:t>
      </w:r>
      <w:r>
        <w:rPr>
          <w:rFonts w:ascii="Arial" w:hAnsi="Arial"/>
          <w:color w:val="000000"/>
          <w:sz w:val="21"/>
        </w:rPr>
        <w:t>通过竞争性选拔，确定部分基础条件好、积极性高、特色突出的城市，在城市层面探索整合各类资源，探索建立资金、用地、金融等各类要素保障机制，形成工作合力。中央财政对入围城市给予定额补助，支持城市更新的样板项目建设和机制建设2个方向</w:t>
      </w:r>
      <w:r>
        <w:rPr>
          <w:rFonts w:hint="eastAsia" w:ascii="Arial" w:hAnsi="Arial"/>
          <w:color w:val="000000"/>
          <w:sz w:val="21"/>
        </w:rPr>
        <w:t>。</w:t>
      </w:r>
    </w:p>
    <w:p w14:paraId="750B032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2025年4月25日</w:t>
      </w:r>
      <w:r>
        <w:rPr>
          <w:rFonts w:ascii="Arial" w:hAnsi="Arial"/>
          <w:color w:val="000000"/>
          <w:sz w:val="21"/>
        </w:rPr>
        <w:t>中共中央政治局召开会议，分析研究当前经济形势和经济工作。会议强调，要加紧实施更加积极有为的宏观政策，用好用足更加积极的财政政策和适度宽松的货币政策；加快地方政府专项债券、超长期特别国债等发行使用；适时降准降息，保持流动性充裕。会议指出，要持续用力防范化解重点领域风险；继续实施地方政府一揽子化债政策；加力实施城市更新行动，有力有序推进城中村和危旧房改造；加快构建房地产发展新 模式，加大高品质住房供给，优化存量商品房收购政策，持续巩固房地产市场稳定态势。</w:t>
      </w:r>
    </w:p>
    <w:p w14:paraId="42849216">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2025年5月15日，中共中央办公厅与国务院办公厅公开发布《关于持续推进城市更新行动的意见》。《意见》</w:t>
      </w:r>
      <w:r>
        <w:rPr>
          <w:rFonts w:ascii="Arial" w:hAnsi="Arial"/>
          <w:color w:val="000000"/>
          <w:sz w:val="21"/>
        </w:rPr>
        <w:t>提出总体要求、八个主要任务、六项支撑保障措施以及组织实施强化。其中完善用地政策方面包括混合开发利用和用途转换，盘活存量低效用地，闲置土地收回，优化零星用地集中改造、容积率转移或奖励政策，优化地价计收规则等。</w:t>
      </w:r>
    </w:p>
    <w:p w14:paraId="72E52257">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2025年6月13日</w:t>
      </w:r>
      <w:r>
        <w:rPr>
          <w:rFonts w:ascii="Arial" w:hAnsi="Arial"/>
          <w:color w:val="000000"/>
          <w:sz w:val="21"/>
        </w:rPr>
        <w:t>国务院常务会议召开，其中重点部署了房地产相关政策，核心目标是</w:t>
      </w:r>
      <w:r>
        <w:rPr>
          <w:rFonts w:hint="eastAsia" w:ascii="Arial" w:hAnsi="Arial"/>
          <w:color w:val="000000"/>
          <w:sz w:val="21"/>
        </w:rPr>
        <w:t>“</w:t>
      </w:r>
      <w:r>
        <w:rPr>
          <w:rFonts w:ascii="Arial" w:hAnsi="Arial"/>
          <w:color w:val="000000"/>
          <w:sz w:val="21"/>
        </w:rPr>
        <w:t>更大力度推动房地产市场止跌回稳</w:t>
      </w:r>
      <w:r>
        <w:rPr>
          <w:rFonts w:hint="eastAsia" w:ascii="Arial" w:hAnsi="Arial"/>
          <w:color w:val="000000"/>
          <w:sz w:val="21"/>
        </w:rPr>
        <w:t>”</w:t>
      </w:r>
      <w:r>
        <w:rPr>
          <w:rFonts w:ascii="Arial" w:hAnsi="Arial"/>
          <w:color w:val="000000"/>
          <w:sz w:val="21"/>
        </w:rPr>
        <w:t>，并围绕构建房地产发展新模式、推进</w:t>
      </w:r>
      <w:r>
        <w:rPr>
          <w:rFonts w:hint="eastAsia" w:ascii="Arial" w:hAnsi="Arial"/>
          <w:color w:val="000000"/>
          <w:sz w:val="21"/>
        </w:rPr>
        <w:t>“好房子”</w:t>
      </w:r>
      <w:r>
        <w:rPr>
          <w:rFonts w:ascii="Arial" w:hAnsi="Arial"/>
          <w:color w:val="000000"/>
          <w:sz w:val="21"/>
        </w:rPr>
        <w:t>建设、盘活存量资源等方面提出具体措施。</w:t>
      </w:r>
    </w:p>
    <w:p w14:paraId="5B636754">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w:t>
      </w:r>
      <w:r>
        <w:rPr>
          <w:rFonts w:ascii="Arial" w:hAnsi="Arial"/>
          <w:color w:val="000000"/>
          <w:sz w:val="21"/>
        </w:rPr>
        <w:t>4日至</w:t>
      </w:r>
      <w:r>
        <w:rPr>
          <w:rFonts w:hint="eastAsia" w:ascii="Arial" w:hAnsi="Arial"/>
          <w:color w:val="000000"/>
          <w:sz w:val="21"/>
        </w:rPr>
        <w:t>1</w:t>
      </w:r>
      <w:r>
        <w:rPr>
          <w:rFonts w:ascii="Arial" w:hAnsi="Arial"/>
          <w:color w:val="000000"/>
          <w:sz w:val="21"/>
        </w:rPr>
        <w:t>5日</w:t>
      </w:r>
      <w:bookmarkStart w:id="62" w:name="OLE_LINK7"/>
      <w:r>
        <w:rPr>
          <w:rFonts w:ascii="Arial" w:hAnsi="Arial"/>
          <w:color w:val="000000"/>
          <w:sz w:val="21"/>
        </w:rPr>
        <w:t>中央城市工作会议</w:t>
      </w:r>
      <w:bookmarkEnd w:id="62"/>
      <w:r>
        <w:rPr>
          <w:rFonts w:ascii="Arial" w:hAnsi="Arial"/>
          <w:color w:val="000000"/>
          <w:sz w:val="21"/>
        </w:rPr>
        <w:t>在北京举行，部署城市工作7个方面的重点任务：一是着力优化现代化城市体系；二是着力建设富有活力的创新城市，高质量开展城市更新；三是着力建设舒适便利的宜居城市，优化城市空间结构；加快构建房地产发展新模式，稳步推进城中村和危旧房改造；四是着力建设绿色低碳的美丽城市；五是着力建设安全可靠的韧性城市，严格限制超高层建筑，全面提升房屋安全保障水平；六是着力建设崇德向善的文明城市，完善历史文化保护传承体系；七是着力建设便捷高效的智慧城市</w:t>
      </w:r>
      <w:r>
        <w:rPr>
          <w:rFonts w:hint="eastAsia" w:ascii="Arial" w:hAnsi="Arial"/>
          <w:color w:val="000000"/>
          <w:sz w:val="21"/>
        </w:rPr>
        <w:t>。</w:t>
      </w:r>
    </w:p>
    <w:p w14:paraId="0F7FE7F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2025年7月16日，国务院公布《住房租赁条例》</w:t>
      </w:r>
      <w:r>
        <w:rPr>
          <w:rFonts w:ascii="Arial" w:hAnsi="Arial"/>
          <w:color w:val="000000"/>
          <w:sz w:val="21"/>
        </w:rPr>
        <w:t>。该条例旨在规范住房租赁活动，维护住房租赁活动当事人合法权益，稳定住房租赁关系，促进住房租赁市场高质量发展，推动加快建立租购并举的住房制度</w:t>
      </w:r>
      <w:r>
        <w:rPr>
          <w:rFonts w:hint="eastAsia" w:ascii="Arial" w:hAnsi="Arial"/>
          <w:color w:val="000000"/>
          <w:sz w:val="21"/>
        </w:rPr>
        <w:t>，《条例》</w:t>
      </w:r>
      <w:r>
        <w:rPr>
          <w:rFonts w:ascii="Arial" w:hAnsi="Arial"/>
          <w:color w:val="000000"/>
          <w:sz w:val="21"/>
        </w:rPr>
        <w:t>自2025年9月15日施行。</w:t>
      </w:r>
    </w:p>
    <w:p w14:paraId="38F1EE0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2025年8月28日，《中共中央 国务院关于推动城市高质量发展的意见》公开发布，</w:t>
      </w:r>
      <w:r>
        <w:rPr>
          <w:rFonts w:ascii="Arial" w:hAnsi="Arial"/>
          <w:color w:val="000000"/>
          <w:sz w:val="21"/>
        </w:rPr>
        <w:t>在城市发展正从大规模增量扩张阶段转向存量提质增效为主的阶段，为加快城市发展方式转型提出二十三条指导意见。其中， 第五条激活城市存量资源潜力，提出：全面摸清城市房屋、设施、土地等资产资源底数；改造利用老旧厂房、低效楼宇、闲置传统商业设施等存量房屋，建立与建筑功能转换和混合利用需求相适应的规划调整机制；加强和规范存量城市基础设施资产管理，提高运行效能；优化产权归集、整合、置换和登记政策，盘活利用存量低效用地。第八条系统推进“好房子”和完整社区建设，提出：加快构建房地产发展新模式，更好满足群众刚性和多样化改善性住房需求；全链条提升住房设计、建造、维护、服务水平，大力推进安全、舒适、绿色、智慧的“好房子”建设；实施物业服务质量提升行动；稳步推进城中村和危旧房改造，支持老旧住房自主更新、原拆原建；持续推动城镇老旧小区改造；坚持人口、产业、城镇、交通一体规划，建设创新型产业社区、商务社区；加快建设完整社区，完善城市社区嵌入式服务设施，构建城市便民生活圈；科学制定实施城市更新专项规划，一体化推进城市体检和城市更新，创造宜业、宜居、宜乐、宜游的良好城市环境，促进产城融合、职住平 衡。</w:t>
      </w:r>
    </w:p>
    <w:p w14:paraId="344473F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11日，《国务院关于全国部分地区要素市场化配置综合改革试点实施方案的批复》发布，同意自即日起2年内开展北京城市副中心等10个要素市场化配置综合改革试点。北京城市副中心试点范围包括通州区全域，关于土地要素，提出：探索土地管理制度改革；深化产业用地市场化改革；盘活存量土地和低效建设用地；健全城乡统一的建设用地市场。</w:t>
      </w:r>
    </w:p>
    <w:p w14:paraId="41213E71">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10月20日至23日，中国共产党第二十届中央委员会第四次全体会议在北京召开，会议分析了当前形势和任务，强调坚决实现全年经济社会发展目标；着力稳就业、稳企业、稳市场、稳预期，稳住经济基本盘，巩固拓展经济回升向好势头；宏观政策要持续发力、适时加力，落实好企业帮扶政策，深入实施提振消费专项行动，兜牢基层“三保”底线，积极稳妥化解地方政府债务风险。明确提出要“推动房地产高质量发展”。</w:t>
      </w:r>
    </w:p>
    <w:p w14:paraId="336556F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2025年10月28日，</w:t>
      </w:r>
      <w:r>
        <w:rPr>
          <w:rFonts w:ascii="Arial" w:hAnsi="Arial"/>
          <w:color w:val="000000"/>
          <w:sz w:val="21"/>
        </w:rPr>
        <w:t>《中共中央关于制定国民经济和社会发展第十五个五年规划的建议》全文发布，</w:t>
      </w:r>
      <w:r>
        <w:rPr>
          <w:rFonts w:hint="eastAsia" w:ascii="Arial" w:hAnsi="Arial"/>
          <w:color w:val="000000"/>
          <w:sz w:val="21"/>
        </w:rPr>
        <w:t>关于房地产</w:t>
      </w:r>
      <w:r>
        <w:rPr>
          <w:rFonts w:ascii="Arial" w:hAnsi="Arial"/>
          <w:color w:val="000000"/>
          <w:sz w:val="21"/>
        </w:rPr>
        <w:t>提出：（1）加快完善要素市场化配置体制机制：促进各类要素资源高效配置，建立健全城乡统一的建设用地市场、功能完善的资本市场、流动顺畅的劳动力市场、转化高效的技术市场，完善并购、破产、置换等政策，盘活用好低效用地、闲置房产、存量基础设施，完善工商业用地使用权续期法律法规，依法稳妥推进续期工作；（</w:t>
      </w:r>
      <w:r>
        <w:rPr>
          <w:rFonts w:hint="eastAsia" w:ascii="Arial" w:hAnsi="Arial"/>
          <w:color w:val="000000"/>
          <w:sz w:val="21"/>
        </w:rPr>
        <w:t>2</w:t>
      </w:r>
      <w:r>
        <w:rPr>
          <w:rFonts w:ascii="Arial" w:hAnsi="Arial"/>
          <w:color w:val="000000"/>
          <w:sz w:val="21"/>
        </w:rPr>
        <w:t>）优化国土空间发展格局：赋予省级政府统筹建设用地更大自主权，探索实施建设用地总量按规划期管控模式，实行统筹存量和增量综合供地；（</w:t>
      </w:r>
      <w:r>
        <w:rPr>
          <w:rFonts w:hint="eastAsia" w:ascii="Arial" w:hAnsi="Arial"/>
          <w:color w:val="000000"/>
          <w:sz w:val="21"/>
        </w:rPr>
        <w:t>3</w:t>
      </w:r>
      <w:r>
        <w:rPr>
          <w:rFonts w:ascii="Arial" w:hAnsi="Arial"/>
          <w:color w:val="000000"/>
          <w:sz w:val="21"/>
        </w:rPr>
        <w:t>）坚持城市内涵式发展，大力实施城市更新，建设创新、宜居、美丽、韧性、文明、智慧的现代化人民城市；（</w:t>
      </w:r>
      <w:r>
        <w:rPr>
          <w:rFonts w:hint="eastAsia" w:ascii="Arial" w:hAnsi="Arial"/>
          <w:color w:val="000000"/>
          <w:sz w:val="21"/>
        </w:rPr>
        <w:t>4</w:t>
      </w:r>
      <w:r>
        <w:rPr>
          <w:rFonts w:ascii="Arial" w:hAnsi="Arial"/>
          <w:color w:val="000000"/>
          <w:sz w:val="21"/>
        </w:rPr>
        <w:t>）推动房地产高质量发展：加快构建房地产发展新模式，完善商品房开发、融资、销售等基础制度；优化保障性住房供给，满足城镇工薪群体和各类困难家庭基本住房需求；因城施策增加改善性住房供给；建设安全舒适绿色智慧的“好房子”，实施房屋品质提升工程和物业服务质量提升行动；建立房屋全生命周期安全管理制度；（</w:t>
      </w:r>
      <w:r>
        <w:rPr>
          <w:rFonts w:hint="eastAsia" w:ascii="Arial" w:hAnsi="Arial"/>
          <w:color w:val="000000"/>
          <w:sz w:val="21"/>
        </w:rPr>
        <w:t>5</w:t>
      </w:r>
      <w:r>
        <w:rPr>
          <w:rFonts w:ascii="Arial" w:hAnsi="Arial"/>
          <w:color w:val="000000"/>
          <w:sz w:val="21"/>
        </w:rPr>
        <w:t>）提高防范化解重点领域风险能力，统筹推进房地产、地方政府债务、中小金融机构等风险有序化解，严防系统性风险。</w:t>
      </w:r>
    </w:p>
    <w:p w14:paraId="51C6C488">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年12月1</w:t>
      </w:r>
      <w:r>
        <w:rPr>
          <w:rFonts w:hint="eastAsia" w:ascii="Arial" w:hAnsi="Arial"/>
          <w:color w:val="000000"/>
          <w:sz w:val="21"/>
        </w:rPr>
        <w:t>0</w:t>
      </w:r>
      <w:r>
        <w:rPr>
          <w:rFonts w:ascii="Arial" w:hAnsi="Arial"/>
          <w:color w:val="000000"/>
          <w:sz w:val="21"/>
        </w:rPr>
        <w:t>日至1</w:t>
      </w:r>
      <w:r>
        <w:rPr>
          <w:rFonts w:hint="eastAsia" w:ascii="Arial" w:hAnsi="Arial"/>
          <w:color w:val="000000"/>
          <w:sz w:val="21"/>
        </w:rPr>
        <w:t>1</w:t>
      </w:r>
      <w:r>
        <w:rPr>
          <w:rFonts w:ascii="Arial" w:hAnsi="Arial"/>
          <w:color w:val="000000"/>
          <w:sz w:val="21"/>
        </w:rPr>
        <w:t>日，202</w:t>
      </w:r>
      <w:r>
        <w:rPr>
          <w:rFonts w:hint="eastAsia" w:ascii="Arial" w:hAnsi="Arial"/>
          <w:color w:val="000000"/>
          <w:sz w:val="21"/>
        </w:rPr>
        <w:t>5</w:t>
      </w:r>
      <w:r>
        <w:rPr>
          <w:rFonts w:ascii="Arial" w:hAnsi="Arial"/>
          <w:color w:val="000000"/>
          <w:sz w:val="21"/>
        </w:rPr>
        <w:t>年中央经济工作会议举行。会议总结202</w:t>
      </w:r>
      <w:r>
        <w:rPr>
          <w:rFonts w:hint="eastAsia" w:ascii="Arial" w:hAnsi="Arial"/>
          <w:color w:val="000000"/>
          <w:sz w:val="21"/>
        </w:rPr>
        <w:t>5</w:t>
      </w:r>
      <w:r>
        <w:rPr>
          <w:rFonts w:ascii="Arial" w:hAnsi="Arial"/>
          <w:color w:val="000000"/>
          <w:sz w:val="21"/>
        </w:rPr>
        <w:t>年经济工作，</w:t>
      </w:r>
      <w:r>
        <w:rPr>
          <w:rFonts w:hint="eastAsia" w:ascii="Arial" w:hAnsi="Arial"/>
          <w:color w:val="000000"/>
          <w:sz w:val="21"/>
        </w:rPr>
        <w:t>分析当前经济形势，部署2026年经济工作</w:t>
      </w:r>
      <w:r>
        <w:rPr>
          <w:rFonts w:ascii="Arial" w:hAnsi="Arial"/>
          <w:color w:val="000000"/>
          <w:sz w:val="21"/>
        </w:rPr>
        <w:t>。会议提出</w:t>
      </w:r>
      <w:r>
        <w:rPr>
          <w:rFonts w:hint="eastAsia" w:ascii="Arial" w:hAnsi="Arial"/>
          <w:color w:val="000000"/>
          <w:sz w:val="21"/>
        </w:rPr>
        <w:t>“着力稳定房地产市场，因城施策控增量、去库存、优供给，鼓励收购存量商品房重点用于保障性住房等。深化住房公积金制度改革，有序推动‘好房子’建设。加快构建房地产发展新模式</w:t>
      </w:r>
      <w:r>
        <w:rPr>
          <w:rFonts w:ascii="Arial" w:hAnsi="Arial"/>
          <w:color w:val="000000"/>
          <w:sz w:val="21"/>
        </w:rPr>
        <w:t>。</w:t>
      </w:r>
      <w:r>
        <w:rPr>
          <w:rFonts w:hint="eastAsia" w:ascii="Arial" w:hAnsi="Arial"/>
          <w:color w:val="000000"/>
          <w:sz w:val="21"/>
        </w:rPr>
        <w:t>”</w:t>
      </w:r>
      <w:r>
        <w:rPr>
          <w:rFonts w:ascii="Arial" w:hAnsi="Arial"/>
          <w:color w:val="000000"/>
          <w:sz w:val="21"/>
        </w:rPr>
        <w:t>可以预见，房地产行业的发展潜力和空间依然巨大，中国城市房地产大规模增量扩张的时代已经结束，存量提质增效的新阶段已然开启，房地产行业的未来增长，不再局限于新建开发，而是更多来自存量资产的精细化运营、物业服务的品质升级、租赁市场的规范发展等多元赛道。</w:t>
      </w:r>
    </w:p>
    <w:p w14:paraId="516E7E15">
      <w:pPr>
        <w:overflowPunct w:val="0"/>
        <w:spacing w:line="480" w:lineRule="auto"/>
        <w:ind w:firstLine="420"/>
        <w:jc w:val="both"/>
        <w:textAlignment w:val="auto"/>
        <w:rPr>
          <w:rFonts w:ascii="Arial" w:hAnsi="Arial"/>
          <w:color w:val="000000"/>
          <w:sz w:val="21"/>
        </w:rPr>
      </w:pPr>
      <w:r>
        <w:rPr>
          <w:rFonts w:ascii="Arial" w:hAnsi="Arial"/>
          <w:color w:val="000000"/>
          <w:sz w:val="21"/>
        </w:rPr>
        <w:t>202</w:t>
      </w:r>
      <w:r>
        <w:rPr>
          <w:rFonts w:hint="eastAsia" w:ascii="Arial" w:hAnsi="Arial"/>
          <w:color w:val="000000"/>
          <w:sz w:val="21"/>
        </w:rPr>
        <w:t>5</w:t>
      </w:r>
      <w:r>
        <w:rPr>
          <w:rFonts w:ascii="Arial" w:hAnsi="Arial"/>
          <w:color w:val="000000"/>
          <w:sz w:val="21"/>
        </w:rPr>
        <w:t>年12月2</w:t>
      </w:r>
      <w:r>
        <w:rPr>
          <w:rFonts w:hint="eastAsia" w:ascii="Arial" w:hAnsi="Arial"/>
          <w:color w:val="000000"/>
          <w:sz w:val="21"/>
        </w:rPr>
        <w:t>2</w:t>
      </w:r>
      <w:r>
        <w:rPr>
          <w:rFonts w:ascii="Arial" w:hAnsi="Arial"/>
          <w:color w:val="000000"/>
          <w:sz w:val="21"/>
        </w:rPr>
        <w:t>日至2</w:t>
      </w:r>
      <w:r>
        <w:rPr>
          <w:rFonts w:hint="eastAsia" w:ascii="Arial" w:hAnsi="Arial"/>
          <w:color w:val="000000"/>
          <w:sz w:val="21"/>
        </w:rPr>
        <w:t>3</w:t>
      </w:r>
      <w:r>
        <w:rPr>
          <w:rFonts w:ascii="Arial" w:hAnsi="Arial"/>
          <w:color w:val="000000"/>
          <w:sz w:val="21"/>
        </w:rPr>
        <w:t>日，全国住房城乡建设工作会议在北京召开。会议</w:t>
      </w:r>
      <w:r>
        <w:rPr>
          <w:rFonts w:hint="eastAsia" w:ascii="Arial" w:hAnsi="Arial"/>
          <w:color w:val="000000"/>
          <w:sz w:val="21"/>
        </w:rPr>
        <w:t>全面盘点2025年工作，系统总结“十四五”时期住房城乡建设事业发展成就，研究部署“十五五”时期和2026年重点任务</w:t>
      </w:r>
      <w:r>
        <w:rPr>
          <w:rFonts w:ascii="Arial" w:hAnsi="Arial"/>
          <w:color w:val="000000"/>
          <w:sz w:val="21"/>
        </w:rPr>
        <w:t>。会议强调，202</w:t>
      </w:r>
      <w:r>
        <w:rPr>
          <w:rFonts w:hint="eastAsia" w:ascii="Arial" w:hAnsi="Arial"/>
          <w:color w:val="000000"/>
          <w:sz w:val="21"/>
        </w:rPr>
        <w:t>6</w:t>
      </w:r>
      <w:r>
        <w:rPr>
          <w:rFonts w:ascii="Arial" w:hAnsi="Arial"/>
          <w:color w:val="000000"/>
          <w:sz w:val="21"/>
        </w:rPr>
        <w:t>年的工作要重点抓好</w:t>
      </w:r>
      <w:r>
        <w:rPr>
          <w:rFonts w:hint="eastAsia" w:ascii="Arial" w:hAnsi="Arial"/>
          <w:color w:val="000000"/>
          <w:sz w:val="21"/>
        </w:rPr>
        <w:t>4</w:t>
      </w:r>
      <w:r>
        <w:rPr>
          <w:rFonts w:ascii="Arial" w:hAnsi="Arial"/>
          <w:color w:val="000000"/>
          <w:sz w:val="21"/>
        </w:rPr>
        <w:t>个方面工作。一、</w:t>
      </w:r>
      <w:r>
        <w:rPr>
          <w:rFonts w:hint="eastAsia" w:ascii="Arial" w:hAnsi="Arial"/>
          <w:color w:val="000000"/>
          <w:sz w:val="21"/>
        </w:rPr>
        <w:t>推进现代化人民城市建设，重点是：高质量开展城市更新，编制实施“十五五”城市更新专项规划，抓好城市体检、更新试点，实施一批民生工程、发展工程、安全工程。</w:t>
      </w:r>
      <w:r>
        <w:rPr>
          <w:rFonts w:ascii="Arial" w:hAnsi="Arial"/>
          <w:color w:val="000000"/>
          <w:sz w:val="21"/>
        </w:rPr>
        <w:t>二、</w:t>
      </w:r>
      <w:r>
        <w:rPr>
          <w:rFonts w:hint="eastAsia" w:ascii="Arial" w:hAnsi="Arial"/>
          <w:color w:val="000000"/>
          <w:sz w:val="21"/>
        </w:rPr>
        <w:t>着力稳定房地产市场，重点是：因城施策控增量、去库存、优供给，结合城市更新、城中村改造盘活利用存量用地，推动收购存量商品房用作保障性住房、安置房、宿舍、人才房等。优化和精准实施保障性住房供应，实施房屋品质提升工程，有序推进“好房子”建设；进一步发挥房地产项目“白名单”制度作用，支持房地产企业合理融资需求</w:t>
      </w:r>
      <w:r>
        <w:rPr>
          <w:rFonts w:ascii="Arial" w:hAnsi="Arial"/>
          <w:color w:val="000000"/>
          <w:sz w:val="21"/>
        </w:rPr>
        <w:t>。三、</w:t>
      </w:r>
      <w:r>
        <w:rPr>
          <w:rFonts w:hint="eastAsia" w:ascii="Arial" w:hAnsi="Arial"/>
          <w:color w:val="000000"/>
          <w:sz w:val="21"/>
        </w:rPr>
        <w:t>加快建筑业提质升级，重点是：推动产业转型升级，大力发展智能建造、绿色建造，培育现代化建筑产业链，加快新型建材研发应用，加快培育绿色建筑新增长点；规范建筑市场秩序，深入开展房屋和市政领域工程招标投标突出问题专项整治；强化现场监督管理，扎实推动安全生产治本攻坚三年行动，建立房屋全生命周期安全管理制度</w:t>
      </w:r>
      <w:r>
        <w:rPr>
          <w:rFonts w:ascii="Arial" w:hAnsi="Arial"/>
          <w:color w:val="000000"/>
          <w:sz w:val="21"/>
        </w:rPr>
        <w:t>。四、</w:t>
      </w:r>
      <w:r>
        <w:rPr>
          <w:rFonts w:hint="eastAsia" w:ascii="Arial" w:hAnsi="Arial"/>
          <w:color w:val="000000"/>
          <w:sz w:val="21"/>
        </w:rPr>
        <w:t>夯实高质量发展基础支撑，重点是：提升法治建设水平，完善标准体系，加快推出一批工作急需的工程建设标准。加强统计分析，推动优化现行统计指标，强化统计数据分析应用</w:t>
      </w:r>
      <w:r>
        <w:rPr>
          <w:rFonts w:ascii="Arial" w:hAnsi="Arial"/>
          <w:color w:val="000000"/>
          <w:sz w:val="21"/>
        </w:rPr>
        <w:t>。</w:t>
      </w:r>
    </w:p>
    <w:p w14:paraId="16E7BBF4">
      <w:pPr>
        <w:overflowPunct w:val="0"/>
        <w:spacing w:line="480" w:lineRule="auto"/>
        <w:ind w:firstLine="420"/>
        <w:jc w:val="both"/>
        <w:textAlignment w:val="auto"/>
        <w:rPr>
          <w:rFonts w:ascii="Arial" w:hAnsi="Arial"/>
          <w:b/>
          <w:color w:val="000000"/>
          <w:sz w:val="21"/>
        </w:rPr>
      </w:pPr>
      <w:r>
        <w:rPr>
          <w:rFonts w:hint="eastAsia" w:ascii="Arial" w:hAnsi="Arial"/>
          <w:b/>
          <w:color w:val="000000"/>
          <w:sz w:val="21"/>
        </w:rPr>
        <w:t>北京：</w:t>
      </w:r>
    </w:p>
    <w:p w14:paraId="53224EB0">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2025年2月12日，</w:t>
      </w:r>
      <w:r>
        <w:rPr>
          <w:rFonts w:ascii="Arial" w:hAnsi="Arial"/>
          <w:color w:val="000000"/>
          <w:sz w:val="21"/>
        </w:rPr>
        <w:t>北京市规划和自然资源委员会发布</w:t>
      </w:r>
      <w:r>
        <w:rPr>
          <w:rFonts w:hint="eastAsia" w:ascii="Arial" w:hAnsi="Arial"/>
          <w:color w:val="000000"/>
          <w:sz w:val="21"/>
        </w:rPr>
        <w:t>《关于印发〈北京市平原多点地区“好房子”规划管理相关技术要点（试行）〉的通知》，</w:t>
      </w:r>
      <w:r>
        <w:rPr>
          <w:rFonts w:ascii="Arial" w:hAnsi="Arial"/>
          <w:color w:val="000000"/>
          <w:sz w:val="21"/>
        </w:rPr>
        <w:t>旨在提升住房品质，满足多样化居住需求。主要内容包括：允许按需设置封闭或开敞阳台，面积不超过套内建筑面积的10%；鼓励在140平方米以上住宅设置挑空空间；合理利用底层架空空间作为公共活动区域；设置开敞式风雨连廊以方便居民活动；增配邻里共享公共空间，提供便民服务；允许跨城市支路空间利用以优化布局；建筑高度可局部上浮以形成错落天际线；鼓励使用高品质材料提升立面品质。这些措施适用于顺义、大兴、亦庄、昌平、房山等平原多点地区，城市副中心可参照执行</w:t>
      </w:r>
      <w:r>
        <w:rPr>
          <w:rFonts w:hint="eastAsia" w:ascii="Arial" w:hAnsi="Arial"/>
          <w:color w:val="000000"/>
          <w:sz w:val="21"/>
        </w:rPr>
        <w:t>。</w:t>
      </w:r>
    </w:p>
    <w:p w14:paraId="6631A7FA">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5月9日，北京市住房和城乡建设委员会</w:t>
      </w:r>
      <w:r>
        <w:rPr>
          <w:rFonts w:hint="eastAsia" w:ascii="Arial" w:hAnsi="Arial"/>
          <w:color w:val="000000"/>
          <w:sz w:val="21"/>
        </w:rPr>
        <w:t>发布</w:t>
      </w:r>
      <w:r>
        <w:rPr>
          <w:rFonts w:ascii="Arial" w:hAnsi="Arial"/>
          <w:color w:val="000000"/>
          <w:sz w:val="21"/>
        </w:rPr>
        <w:t>《关于印发</w:t>
      </w:r>
      <w:r>
        <w:rPr>
          <w:rFonts w:hint="eastAsia" w:ascii="Arial" w:hAnsi="Arial"/>
          <w:color w:val="000000"/>
          <w:sz w:val="21"/>
        </w:rPr>
        <w:t>〈</w:t>
      </w:r>
      <w:r>
        <w:rPr>
          <w:rFonts w:ascii="Arial" w:hAnsi="Arial"/>
          <w:color w:val="000000"/>
          <w:sz w:val="21"/>
        </w:rPr>
        <w:t>2025年北京市住房发展年度计划</w:t>
      </w:r>
      <w:r>
        <w:rPr>
          <w:rFonts w:hint="eastAsia" w:ascii="Arial" w:hAnsi="Arial"/>
          <w:color w:val="000000"/>
          <w:sz w:val="21"/>
        </w:rPr>
        <w:t>〉</w:t>
      </w:r>
      <w:r>
        <w:rPr>
          <w:rFonts w:ascii="Arial" w:hAnsi="Arial"/>
          <w:color w:val="000000"/>
          <w:sz w:val="21"/>
        </w:rPr>
        <w:t>的通知》</w:t>
      </w:r>
      <w:r>
        <w:rPr>
          <w:rFonts w:hint="eastAsia" w:ascii="Arial" w:hAnsi="Arial"/>
          <w:color w:val="000000"/>
          <w:sz w:val="21"/>
        </w:rPr>
        <w:t>。《通知》</w:t>
      </w:r>
      <w:r>
        <w:rPr>
          <w:rFonts w:ascii="Arial" w:hAnsi="Arial"/>
          <w:color w:val="000000"/>
          <w:sz w:val="21"/>
        </w:rPr>
        <w:t>围绕优化住房用地供应、推进房地产市场回稳向好、加强住房保障、规范住房租赁市场、发挥住房公积金作用、提升住房质量、推进城市更新、健全物业管理服务体系等八个方面，提出了具体任务、行动计划和工作举措。</w:t>
      </w:r>
    </w:p>
    <w:p w14:paraId="1A060D3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2025年7月10日，北京市人民政府发布</w:t>
      </w:r>
      <w:r>
        <w:rPr>
          <w:rFonts w:ascii="Arial" w:hAnsi="Arial"/>
          <w:color w:val="000000"/>
          <w:sz w:val="21"/>
        </w:rPr>
        <w:t>《关于印发</w:t>
      </w:r>
      <w:r>
        <w:rPr>
          <w:rFonts w:hint="eastAsia" w:ascii="Arial" w:hAnsi="Arial"/>
          <w:color w:val="000000"/>
          <w:sz w:val="21"/>
        </w:rPr>
        <w:t>〈北京市深化改革提振消费专项行动方案〉</w:t>
      </w:r>
      <w:r>
        <w:rPr>
          <w:rFonts w:ascii="Arial" w:hAnsi="Arial"/>
          <w:color w:val="000000"/>
          <w:sz w:val="21"/>
        </w:rPr>
        <w:t>的通知》，提出共计24项具体方案。其中，</w:t>
      </w:r>
      <w:r>
        <w:rPr>
          <w:rFonts w:hint="eastAsia" w:ascii="Arial" w:hAnsi="Arial"/>
          <w:color w:val="000000"/>
          <w:sz w:val="21"/>
        </w:rPr>
        <w:t>第14项“</w:t>
      </w:r>
      <w:r>
        <w:rPr>
          <w:rFonts w:ascii="Arial" w:hAnsi="Arial"/>
          <w:color w:val="000000"/>
          <w:sz w:val="21"/>
        </w:rPr>
        <w:t>优化住房消费新供给</w:t>
      </w:r>
      <w:r>
        <w:rPr>
          <w:rFonts w:hint="eastAsia" w:ascii="Arial" w:hAnsi="Arial"/>
          <w:color w:val="000000"/>
          <w:sz w:val="21"/>
        </w:rPr>
        <w:t>”</w:t>
      </w:r>
      <w:r>
        <w:rPr>
          <w:rFonts w:ascii="Arial" w:hAnsi="Arial"/>
          <w:color w:val="000000"/>
          <w:sz w:val="21"/>
        </w:rPr>
        <w:t>：优先向轨道交通站点和就业密集地区 供应住宅用地，完善</w:t>
      </w:r>
      <w:r>
        <w:rPr>
          <w:rFonts w:hint="eastAsia" w:ascii="Arial" w:hAnsi="Arial"/>
          <w:color w:val="000000"/>
          <w:sz w:val="21"/>
        </w:rPr>
        <w:t>“</w:t>
      </w:r>
      <w:r>
        <w:rPr>
          <w:rFonts w:ascii="Arial" w:hAnsi="Arial"/>
          <w:color w:val="000000"/>
          <w:sz w:val="21"/>
        </w:rPr>
        <w:t>保障+市场</w:t>
      </w:r>
      <w:r>
        <w:rPr>
          <w:rFonts w:hint="eastAsia" w:ascii="Arial" w:hAnsi="Arial"/>
          <w:color w:val="000000"/>
          <w:sz w:val="21"/>
        </w:rPr>
        <w:t>”</w:t>
      </w:r>
      <w:r>
        <w:rPr>
          <w:rFonts w:ascii="Arial" w:hAnsi="Arial"/>
          <w:color w:val="000000"/>
          <w:sz w:val="21"/>
        </w:rPr>
        <w:t>住房供应体系。进一步发挥住房公积金促进作用，支持缴存人在提取公积 金支付购房首付款的同时申请住房公积金个人住房贷款。研究制定住房公积金个人住房贷款</w:t>
      </w:r>
      <w:r>
        <w:rPr>
          <w:rFonts w:hint="eastAsia" w:ascii="Arial" w:hAnsi="Arial"/>
          <w:color w:val="000000"/>
          <w:sz w:val="21"/>
        </w:rPr>
        <w:t>“</w:t>
      </w:r>
      <w:r>
        <w:rPr>
          <w:rFonts w:ascii="Arial" w:hAnsi="Arial"/>
          <w:color w:val="000000"/>
          <w:sz w:val="21"/>
        </w:rPr>
        <w:t>带押过户</w:t>
      </w:r>
      <w:r>
        <w:rPr>
          <w:rFonts w:hint="eastAsia" w:ascii="Arial" w:hAnsi="Arial"/>
          <w:color w:val="000000"/>
          <w:sz w:val="21"/>
        </w:rPr>
        <w:t>”</w:t>
      </w:r>
      <w:r>
        <w:rPr>
          <w:rFonts w:ascii="Arial" w:hAnsi="Arial"/>
          <w:color w:val="000000"/>
          <w:sz w:val="21"/>
        </w:rPr>
        <w:t>政策，并开展相关业务。</w:t>
      </w:r>
    </w:p>
    <w:p w14:paraId="7534F5CD">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2025年8月8日，</w:t>
      </w:r>
      <w:r>
        <w:rPr>
          <w:rFonts w:ascii="Arial" w:hAnsi="Arial"/>
          <w:color w:val="000000"/>
          <w:sz w:val="21"/>
        </w:rPr>
        <w:t>北京市住房和城乡建设委员会、</w:t>
      </w:r>
      <w:r>
        <w:rPr>
          <w:rFonts w:hint="eastAsia" w:ascii="Arial" w:hAnsi="Arial"/>
          <w:color w:val="000000"/>
          <w:sz w:val="21"/>
        </w:rPr>
        <w:t>北京住房公积金管理中心</w:t>
      </w:r>
      <w:r>
        <w:rPr>
          <w:rFonts w:ascii="Arial" w:hAnsi="Arial"/>
          <w:color w:val="000000"/>
          <w:sz w:val="21"/>
        </w:rPr>
        <w:t>联合发布</w:t>
      </w:r>
      <w:r>
        <w:rPr>
          <w:rFonts w:hint="eastAsia" w:ascii="Arial" w:hAnsi="Arial"/>
          <w:color w:val="000000"/>
          <w:sz w:val="21"/>
        </w:rPr>
        <w:t>《关于进一步优化调整本市房地产相关政策的通知》。此次政策调整聚焦于优化住房限购政策和加大公积金贷款支持力度两大方面，其中五环外限购松绑以及公积金政策的多项优化举措，印发广泛关注。《通知》自2025年8月9日起正式施行。</w:t>
      </w:r>
    </w:p>
    <w:p w14:paraId="0BC6B3F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w:t>
      </w:r>
      <w:r>
        <w:rPr>
          <w:rFonts w:ascii="Arial" w:hAnsi="Arial"/>
          <w:color w:val="000000"/>
          <w:sz w:val="21"/>
        </w:rPr>
        <w:t>9月29日，</w:t>
      </w:r>
      <w:r>
        <w:rPr>
          <w:rFonts w:hint="eastAsia" w:ascii="Arial" w:hAnsi="Arial"/>
          <w:color w:val="000000"/>
          <w:sz w:val="21"/>
        </w:rPr>
        <w:t>《</w:t>
      </w:r>
      <w:r>
        <w:rPr>
          <w:rFonts w:ascii="Arial" w:hAnsi="Arial"/>
          <w:color w:val="000000"/>
          <w:sz w:val="21"/>
        </w:rPr>
        <w:t>北京市人民政府印发</w:t>
      </w:r>
      <w:r>
        <w:rPr>
          <w:rFonts w:hint="eastAsia" w:ascii="Arial" w:hAnsi="Arial"/>
          <w:color w:val="000000"/>
          <w:sz w:val="21"/>
        </w:rPr>
        <w:t>〈北京市居住公共服务设施配置指标〉和〈北京市居住公共服务设施配置指标实施意见〉的通知》发布</w:t>
      </w:r>
      <w:r>
        <w:rPr>
          <w:rFonts w:ascii="Arial" w:hAnsi="Arial"/>
          <w:color w:val="000000"/>
          <w:sz w:val="21"/>
        </w:rPr>
        <w:t>，对2015年印发的文件进行了全面修订</w:t>
      </w:r>
      <w:r>
        <w:rPr>
          <w:rFonts w:hint="eastAsia" w:ascii="Arial" w:hAnsi="Arial"/>
          <w:color w:val="000000"/>
          <w:sz w:val="21"/>
        </w:rPr>
        <w:t>。《通知》</w:t>
      </w:r>
      <w:r>
        <w:rPr>
          <w:rFonts w:ascii="Arial" w:hAnsi="Arial"/>
          <w:color w:val="000000"/>
          <w:sz w:val="21"/>
        </w:rPr>
        <w:t>于2025年 12月1日起实施。鼓励空间复合利用，增设综合服务设施，将文体活动、党群服务设施指标统筹使用；增设托育设施和老幼服务用房，强化“一老一小”服务功能；调整了停车指标，电动自行车原则在地上停放；增加末端物流设施、垃圾分类收集设施；增设社区级商业设施</w:t>
      </w:r>
      <w:r>
        <w:rPr>
          <w:rFonts w:hint="eastAsia" w:ascii="Arial" w:hAnsi="Arial"/>
          <w:color w:val="000000"/>
          <w:sz w:val="21"/>
        </w:rPr>
        <w:t>。</w:t>
      </w:r>
    </w:p>
    <w:p w14:paraId="60F37D6C">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2025年12月24日，北京市住房和城乡建设委员会、中国人民银行北京市分行、北京市发展和改革委员会和北京住房公积金管理中心联合发布《关于进一步优化调整本市房地产相关政策的通知》。《通知》</w:t>
      </w:r>
      <w:r>
        <w:rPr>
          <w:rFonts w:ascii="Arial" w:hAnsi="Arial"/>
          <w:color w:val="000000"/>
          <w:sz w:val="21"/>
        </w:rPr>
        <w:t>核心内容包括放宽非京籍购房条件、支持多子女家庭购房、优化信贷及公积金政策等，自发布当日施行</w:t>
      </w:r>
      <w:r>
        <w:rPr>
          <w:rFonts w:hint="eastAsia" w:ascii="Arial" w:hAnsi="Arial"/>
          <w:color w:val="000000"/>
          <w:sz w:val="21"/>
        </w:rPr>
        <w:t>。</w:t>
      </w:r>
    </w:p>
    <w:p w14:paraId="781F7EE2">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2025年12月31日，北京市规划和自然资源委员会和北京市住房和城乡建设委员会联合发布《关于印发〈北京市城市更新范围内无手续建筑认定处理指导意见（试行）〉的通知》，该文件</w:t>
      </w:r>
      <w:r>
        <w:rPr>
          <w:rFonts w:ascii="Arial" w:hAnsi="Arial"/>
          <w:color w:val="000000"/>
          <w:sz w:val="21"/>
        </w:rPr>
        <w:t>属于《北京市城市更新条例》配套政策文件，旨在推动化解城市更新范围内部分现状建筑物因历史原因形成的无手续或手续不完善问题，激励城市更新项目实施，进一步优化城市功能布局，促进存量空间资源提质增效，加快推进城市更新项目实施</w:t>
      </w:r>
      <w:r>
        <w:rPr>
          <w:rFonts w:hint="eastAsia" w:ascii="Arial" w:hAnsi="Arial"/>
          <w:color w:val="000000"/>
          <w:sz w:val="21"/>
        </w:rPr>
        <w:t>。</w:t>
      </w:r>
    </w:p>
    <w:bookmarkEnd w:id="60"/>
    <w:bookmarkEnd w:id="61"/>
    <w:p w14:paraId="6B539E75">
      <w:pPr>
        <w:overflowPunct w:val="0"/>
        <w:spacing w:line="480" w:lineRule="auto"/>
        <w:ind w:firstLine="420"/>
        <w:jc w:val="both"/>
        <w:textAlignment w:val="auto"/>
        <w:rPr>
          <w:rFonts w:ascii="Arial" w:hAnsi="Arial"/>
          <w:color w:val="000000"/>
          <w:sz w:val="21"/>
        </w:rPr>
      </w:pPr>
      <w:r>
        <w:rPr>
          <w:rFonts w:hint="eastAsia" w:ascii="Arial" w:hAnsi="Arial"/>
          <w:color w:val="000000"/>
          <w:sz w:val="21"/>
        </w:rPr>
        <w:t>5.未来市场预期</w:t>
      </w:r>
    </w:p>
    <w:p w14:paraId="01F2E02D">
      <w:pPr>
        <w:overflowPunct w:val="0"/>
        <w:spacing w:line="480" w:lineRule="auto"/>
        <w:ind w:firstLine="420"/>
        <w:jc w:val="both"/>
        <w:textAlignment w:val="auto"/>
        <w:rPr>
          <w:rFonts w:ascii="Arial" w:hAnsi="Arial"/>
          <w:color w:val="000000"/>
          <w:sz w:val="21"/>
        </w:rPr>
      </w:pPr>
      <w:r>
        <w:rPr>
          <w:rFonts w:ascii="Arial" w:hAnsi="Arial"/>
          <w:color w:val="000000"/>
          <w:sz w:val="21"/>
        </w:rPr>
        <w:t>未来北京市住宅市场预计将呈现</w:t>
      </w:r>
      <w:r>
        <w:rPr>
          <w:rFonts w:hint="eastAsia" w:ascii="Arial" w:hAnsi="Arial"/>
          <w:color w:val="000000"/>
          <w:sz w:val="21"/>
        </w:rPr>
        <w:t>“</w:t>
      </w:r>
      <w:r>
        <w:rPr>
          <w:rFonts w:ascii="Arial" w:hAnsi="Arial"/>
          <w:color w:val="000000"/>
          <w:sz w:val="21"/>
        </w:rPr>
        <w:t>整体趋稳、内部分化、渐进转型</w:t>
      </w:r>
      <w:r>
        <w:rPr>
          <w:rFonts w:hint="eastAsia" w:ascii="Arial" w:hAnsi="Arial"/>
          <w:color w:val="000000"/>
          <w:sz w:val="21"/>
        </w:rPr>
        <w:t>”</w:t>
      </w:r>
      <w:r>
        <w:rPr>
          <w:rFonts w:ascii="Arial" w:hAnsi="Arial"/>
          <w:color w:val="000000"/>
          <w:sz w:val="21"/>
        </w:rPr>
        <w:t>的演变趋势。在中央“稳定预期、缩短调整”的定调下，北京政策将继续以渐进式优化为主。一方面，限购政策预计将进一步放松（如五环内政策优化），公积金支持力度有望加大，以降低购房门槛、释放改善性需求。另一方面，供给端将持续推进“好房子”建设，通过品质提升和空间创新推动住房供给侧改革，并完善“市场+保障”的供应体系。</w:t>
      </w:r>
      <w:r>
        <w:rPr>
          <w:rFonts w:hint="eastAsia" w:ascii="Arial" w:hAnsi="Arial"/>
          <w:color w:val="000000"/>
          <w:sz w:val="21"/>
        </w:rPr>
        <w:t>同时，</w:t>
      </w:r>
      <w:r>
        <w:rPr>
          <w:rFonts w:ascii="Arial" w:hAnsi="Arial"/>
          <w:color w:val="000000"/>
          <w:sz w:val="21"/>
        </w:rPr>
        <w:t>新房与</w:t>
      </w:r>
      <w:r>
        <w:rPr>
          <w:rFonts w:hint="eastAsia" w:ascii="Arial" w:hAnsi="Arial"/>
          <w:color w:val="000000"/>
          <w:sz w:val="21"/>
        </w:rPr>
        <w:t>存量</w:t>
      </w:r>
      <w:r>
        <w:rPr>
          <w:rFonts w:ascii="Arial" w:hAnsi="Arial"/>
          <w:color w:val="000000"/>
          <w:sz w:val="21"/>
        </w:rPr>
        <w:t>房分化将持续加剧。新房市场成交规模预计在低位波动，但核心区域优质改善项目凭借稀缺资源与产品力，将继续支撑价格结构性上涨，市场重心进一步向中高面积段、高总价产品集中。</w:t>
      </w:r>
      <w:r>
        <w:rPr>
          <w:rFonts w:hint="eastAsia" w:ascii="Arial" w:hAnsi="Arial"/>
          <w:color w:val="000000"/>
          <w:sz w:val="21"/>
        </w:rPr>
        <w:t>存量</w:t>
      </w:r>
      <w:r>
        <w:rPr>
          <w:rFonts w:ascii="Arial" w:hAnsi="Arial"/>
          <w:color w:val="000000"/>
          <w:sz w:val="21"/>
        </w:rPr>
        <w:t>房市场则继续承担市场交易主体角色，但“以价换量”态势难以扭转，价格仍面临下行压力，并对新房市场形成持续分流。土地市场热度分化显著，核心区优质地块受追捧，非核心区域多以底价成交，预示着未来住房供应将进一步向“高品质、好区位”倾斜。总体而言，北京住宅市场正从规模扩张转向品质与结构优化阶段，在政策托底与市场自发性调整的双重作用下，逐步向“量稳价稳、质升区异”的新发展模式过渡</w:t>
      </w:r>
      <w:r>
        <w:rPr>
          <w:rFonts w:hint="eastAsia" w:ascii="Arial" w:hAnsi="Arial"/>
          <w:color w:val="000000"/>
          <w:sz w:val="21"/>
        </w:rPr>
        <w:t>。</w:t>
      </w:r>
    </w:p>
    <w:p w14:paraId="5D8EC097">
      <w:pPr>
        <w:spacing w:line="360" w:lineRule="auto"/>
        <w:rPr>
          <w:rFonts w:ascii="Arial" w:hAnsi="Arial"/>
          <w:b/>
          <w:kern w:val="2"/>
          <w:sz w:val="21"/>
          <w:szCs w:val="21"/>
        </w:rPr>
      </w:pPr>
      <w:r>
        <w:rPr>
          <w:rFonts w:ascii="Arial" w:hAnsi="Arial"/>
          <w:b/>
          <w:kern w:val="2"/>
          <w:sz w:val="21"/>
          <w:szCs w:val="21"/>
        </w:rPr>
        <w:t>（二）估价对象所在区域相应用途房地产市场状况</w:t>
      </w:r>
    </w:p>
    <w:p w14:paraId="487F3B12">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1.区域概况</w:t>
      </w:r>
    </w:p>
    <w:p w14:paraId="540A06B1">
      <w:pPr>
        <w:snapToGrid w:val="0"/>
        <w:spacing w:line="480" w:lineRule="auto"/>
        <w:ind w:firstLine="420" w:firstLineChars="200"/>
        <w:jc w:val="both"/>
        <w:rPr>
          <w:rFonts w:ascii="Arial" w:hAnsi="Arial"/>
          <w:bCs/>
          <w:sz w:val="21"/>
          <w:szCs w:val="28"/>
        </w:rPr>
      </w:pPr>
      <w:r>
        <w:rPr>
          <w:rFonts w:hint="eastAsia" w:ascii="Arial" w:hAnsi="Arial"/>
          <w:bCs/>
          <w:sz w:val="21"/>
          <w:szCs w:val="28"/>
        </w:rPr>
        <w:t>估价对象位于北京市</w:t>
      </w:r>
      <w:r>
        <w:rPr>
          <w:rFonts w:ascii="Arial" w:hAnsi="Arial"/>
          <w:bCs/>
          <w:sz w:val="21"/>
          <w:szCs w:val="28"/>
        </w:rPr>
        <w:t>大兴区，大兴区位于北京市南部，全区南北长42.70km，东西宽45.00km，大兴区总面积1036.33平方公里，下辖黄村、西红门、旧宫、亦庄、瀛海、青云店等 14 个镇和清源、兴丰等8个街道办事处。大兴区东临通州区，南临河北省固安县、霸州市等，西与房山区隔永定河为邻，北接丰台区、朝阳区。</w:t>
      </w:r>
    </w:p>
    <w:p w14:paraId="1FAF9662">
      <w:pPr>
        <w:snapToGrid w:val="0"/>
        <w:spacing w:line="480" w:lineRule="auto"/>
        <w:ind w:firstLine="420" w:firstLineChars="200"/>
        <w:jc w:val="both"/>
        <w:rPr>
          <w:rFonts w:ascii="Arial" w:hAnsi="Arial"/>
          <w:bCs/>
          <w:sz w:val="21"/>
          <w:szCs w:val="28"/>
        </w:rPr>
      </w:pPr>
      <w:r>
        <w:rPr>
          <w:rFonts w:hint="eastAsia" w:ascii="Arial" w:hAnsi="Arial"/>
          <w:bCs/>
          <w:sz w:val="21"/>
          <w:szCs w:val="28"/>
        </w:rPr>
        <w:t>初步核算，</w:t>
      </w:r>
      <w:r>
        <w:rPr>
          <w:rFonts w:ascii="Arial" w:hAnsi="Arial"/>
          <w:bCs/>
          <w:sz w:val="21"/>
          <w:szCs w:val="28"/>
        </w:rPr>
        <w:t>202</w:t>
      </w:r>
      <w:r>
        <w:rPr>
          <w:rFonts w:hint="eastAsia" w:ascii="Arial" w:hAnsi="Arial"/>
          <w:bCs/>
          <w:sz w:val="21"/>
          <w:szCs w:val="28"/>
        </w:rPr>
        <w:t>6</w:t>
      </w:r>
      <w:r>
        <w:rPr>
          <w:rFonts w:ascii="Arial" w:hAnsi="Arial"/>
          <w:bCs/>
          <w:sz w:val="21"/>
          <w:szCs w:val="28"/>
        </w:rPr>
        <w:t>年</w:t>
      </w:r>
      <w:r>
        <w:rPr>
          <w:rFonts w:hint="eastAsia" w:ascii="Arial" w:hAnsi="Arial"/>
          <w:bCs/>
          <w:sz w:val="21"/>
          <w:szCs w:val="28"/>
        </w:rPr>
        <w:t>1-3月，大兴区实现地区生产总值（GDP）同比增长5.6%，增速保持平稳。大兴区固定资产投资（不含农户）同比增长4.2%，房地产开发投资同比下降3.1%。社会消费品零售总额同比增长4.5%，消费需求稳步释放。2026年一季度，大兴区经济运行总体平稳。在固定资产投资中，非房地产开发投资增长强劲，有效对冲了房地产投资下滑的影响，显示出投资结构持续优化。消费、财政收入和居民收入均保持稳定增长，经济发展韧性进一步增强。</w:t>
      </w:r>
    </w:p>
    <w:p w14:paraId="2E28FE87">
      <w:pPr>
        <w:widowControl/>
        <w:overflowPunct w:val="0"/>
        <w:adjustRightInd/>
        <w:spacing w:line="480" w:lineRule="auto"/>
        <w:ind w:firstLine="420" w:firstLineChars="200"/>
        <w:jc w:val="both"/>
        <w:textAlignment w:val="auto"/>
        <w:rPr>
          <w:rFonts w:ascii="Arial" w:hAnsi="Arial"/>
          <w:sz w:val="21"/>
          <w:szCs w:val="28"/>
        </w:rPr>
      </w:pPr>
      <w:r>
        <w:rPr>
          <w:rFonts w:hint="eastAsia" w:ascii="Arial" w:hAnsi="Arial"/>
          <w:sz w:val="21"/>
          <w:szCs w:val="28"/>
        </w:rPr>
        <w:t>2.区域</w:t>
      </w:r>
      <w:r>
        <w:rPr>
          <w:rFonts w:ascii="Arial" w:hAnsi="Arial"/>
          <w:bCs/>
          <w:sz w:val="21"/>
          <w:szCs w:val="28"/>
        </w:rPr>
        <w:t>保障性租赁住房</w:t>
      </w:r>
      <w:r>
        <w:rPr>
          <w:rFonts w:hint="eastAsia" w:ascii="Arial" w:hAnsi="Arial"/>
          <w:sz w:val="21"/>
          <w:szCs w:val="28"/>
        </w:rPr>
        <w:t>房地产市场状况</w:t>
      </w:r>
    </w:p>
    <w:p w14:paraId="75B93B1C">
      <w:pPr>
        <w:widowControl/>
        <w:overflowPunct w:val="0"/>
        <w:adjustRightInd/>
        <w:spacing w:line="480" w:lineRule="auto"/>
        <w:ind w:firstLine="420" w:firstLineChars="200"/>
        <w:jc w:val="both"/>
        <w:textAlignment w:val="auto"/>
        <w:rPr>
          <w:rFonts w:ascii="Arial" w:hAnsi="Arial"/>
          <w:bCs/>
          <w:sz w:val="21"/>
          <w:szCs w:val="28"/>
          <w:highlight w:val="yellow"/>
        </w:rPr>
      </w:pPr>
      <w:r>
        <w:rPr>
          <w:rFonts w:hint="eastAsia" w:ascii="Arial" w:hAnsi="Arial"/>
          <w:bCs/>
          <w:sz w:val="21"/>
          <w:szCs w:val="28"/>
        </w:rPr>
        <w:t>大兴区的保障性租赁住房市场处于快速发展、供需两旺、规范运营的阶段，已成为区域住房供应体系和房地产市场的重要组成部分。截至2026年第一季度，大兴区已累计筹集建设保障性租赁住房项目超过20个，可提供房源约3万套（间），供应量居全市前列，项目来源包括新建、改建、存量盘活等多种形式，其中利用集体经营性建设用地建设的项目是重要特色。房源主要分布在西红门镇、瀛海镇、黄村镇、生物医药基地、临空经济区等交通便利、产业聚集的区域，实现“职住平衡”。户型主要以20-50平方米的小户型、单间公寓为主，符合青年人需求。2026年计划新增筹集保租房约6000套，多个项目正在加快建设和认定中。</w:t>
      </w:r>
    </w:p>
    <w:p w14:paraId="5E1D989B">
      <w:pPr>
        <w:spacing w:line="480" w:lineRule="auto"/>
        <w:ind w:firstLine="420" w:firstLineChars="200"/>
        <w:jc w:val="both"/>
        <w:rPr>
          <w:rFonts w:ascii="Arial" w:hAnsi="Arial"/>
          <w:sz w:val="21"/>
          <w:szCs w:val="28"/>
        </w:rPr>
      </w:pPr>
      <w:r>
        <w:rPr>
          <w:rFonts w:hint="eastAsia" w:ascii="Arial" w:hAnsi="Arial"/>
          <w:sz w:val="21"/>
          <w:szCs w:val="28"/>
        </w:rPr>
        <w:t>3.区域住宅用房房地产市场状况</w:t>
      </w:r>
    </w:p>
    <w:p w14:paraId="307460D4">
      <w:pPr>
        <w:spacing w:line="480" w:lineRule="auto"/>
        <w:ind w:firstLine="420" w:firstLineChars="200"/>
        <w:jc w:val="both"/>
        <w:rPr>
          <w:rFonts w:ascii="Arial" w:hAnsi="Arial"/>
          <w:sz w:val="21"/>
          <w:szCs w:val="28"/>
        </w:rPr>
      </w:pPr>
      <w:r>
        <w:rPr>
          <w:rFonts w:hint="eastAsia" w:ascii="Arial" w:hAnsi="Arial" w:cs="Arial"/>
          <w:kern w:val="2"/>
          <w:sz w:val="21"/>
          <w:szCs w:val="21"/>
        </w:rPr>
        <w:t>估价对象位于北京市大兴区，估价对象周边2公里内有德贤华府、兴水家园、漪景园、矿林庄小区、锦华园小区、义和庄东里等居住项目，居住小区规模适中，入住率较好，综合评价居住社区成熟度较好。</w:t>
      </w:r>
      <w:r>
        <w:rPr>
          <w:rFonts w:hint="eastAsia" w:ascii="Arial" w:hAnsi="Arial"/>
          <w:sz w:val="21"/>
          <w:szCs w:val="28"/>
        </w:rPr>
        <w:t>据调查，估价对象周边同类型住宅租金约为35-55元/平方米·月。</w:t>
      </w:r>
    </w:p>
    <w:p w14:paraId="7BB37BC7">
      <w:pPr>
        <w:spacing w:line="480" w:lineRule="auto"/>
        <w:ind w:firstLine="420" w:firstLineChars="200"/>
        <w:jc w:val="both"/>
        <w:rPr>
          <w:rFonts w:ascii="Arial" w:hAnsi="Arial"/>
          <w:sz w:val="21"/>
          <w:szCs w:val="28"/>
        </w:rPr>
      </w:pPr>
    </w:p>
    <w:p w14:paraId="2FA08E89">
      <w:pPr>
        <w:pStyle w:val="3"/>
        <w:numPr>
          <w:ilvl w:val="0"/>
          <w:numId w:val="0"/>
        </w:numPr>
        <w:spacing w:line="480" w:lineRule="auto"/>
        <w:ind w:left="358" w:hanging="358" w:hangingChars="170"/>
        <w:jc w:val="both"/>
        <w:rPr>
          <w:rFonts w:eastAsia="宋体"/>
          <w:kern w:val="2"/>
          <w:sz w:val="21"/>
          <w:szCs w:val="21"/>
        </w:rPr>
      </w:pPr>
      <w:bookmarkStart w:id="63" w:name="_Toc155267105"/>
      <w:r>
        <w:rPr>
          <w:rFonts w:eastAsia="宋体"/>
          <w:kern w:val="2"/>
          <w:sz w:val="21"/>
          <w:szCs w:val="21"/>
        </w:rPr>
        <w:t>三、最高最佳利用分析</w:t>
      </w:r>
      <w:bookmarkEnd w:id="57"/>
      <w:bookmarkEnd w:id="63"/>
    </w:p>
    <w:p w14:paraId="3D88E062">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hint="eastAsia" w:ascii="Arial" w:hAnsi="Arial" w:cs="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hint="eastAsia" w:ascii="Arial" w:hAnsi="Arial" w:cs="Arial"/>
          <w:sz w:val="21"/>
          <w:szCs w:val="21"/>
        </w:rPr>
        <w:t>:</w:t>
      </w:r>
    </w:p>
    <w:p w14:paraId="4714D56F">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（一）法律上允许</w:t>
      </w:r>
    </w:p>
    <w:p w14:paraId="054CE842">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14:paraId="7276D2C9">
      <w:pPr>
        <w:pStyle w:val="60"/>
        <w:autoSpaceDE w:val="0"/>
        <w:autoSpaceDN w:val="0"/>
        <w:spacing w:line="480" w:lineRule="auto"/>
        <w:ind w:right="140" w:firstLine="420" w:firstLineChars="200"/>
        <w:jc w:val="both"/>
        <w:textAlignment w:val="bottom"/>
        <w:rPr>
          <w:rFonts w:ascii="Arial" w:hAnsi="Arial" w:cs="Arial"/>
          <w:sz w:val="21"/>
          <w:szCs w:val="21"/>
        </w:rPr>
      </w:pPr>
      <w:bookmarkStart w:id="64" w:name="_Hlk130232101"/>
      <w:r>
        <w:rPr>
          <w:rFonts w:hint="eastAsia" w:ascii="Arial" w:hAnsi="Arial" w:cs="Arial"/>
          <w:sz w:val="21"/>
          <w:szCs w:val="21"/>
        </w:rPr>
        <w:t>根据估价对象已取得《北京市大兴区住房和城乡建设委员会 关于向燕兴公司出售我区安置房剩余房源资产的请示》[京兴建文（2026）20号]及其附件、《北京市规划和自然资源委员会 大兴分局关于燕兴保障房公司保留原房屋产权性质有关意见的报告》[京规自兴文（2026）91号]、《北京市保障性住房收购合同》及其附件、《不动产权证书》[京（2026）大不动产权第0006767、0006768、0006769、0003772、0006911、0006930号]</w:t>
      </w:r>
      <w:r>
        <w:rPr>
          <w:rFonts w:hint="eastAsia" w:ascii="Arial" w:hAnsi="Arial" w:cs="Arial"/>
          <w:sz w:val="21"/>
          <w:szCs w:val="21"/>
          <w:lang w:val="en-US" w:eastAsia="zh-CN"/>
        </w:rPr>
        <w:t>部分及</w:t>
      </w:r>
      <w:r>
        <w:rPr>
          <w:rFonts w:hint="eastAsia" w:ascii="Arial" w:hAnsi="Arial" w:cs="Arial"/>
          <w:sz w:val="21"/>
          <w:szCs w:val="21"/>
          <w:lang w:eastAsia="zh-CN"/>
        </w:rPr>
        <w:t>《</w:t>
      </w:r>
      <w:r>
        <w:rPr>
          <w:rFonts w:hint="eastAsia" w:ascii="Arial" w:hAnsi="Arial" w:cs="Arial"/>
          <w:sz w:val="21"/>
          <w:szCs w:val="21"/>
          <w:lang w:val="en-US" w:eastAsia="zh-CN"/>
        </w:rPr>
        <w:t>估价委托书》</w:t>
      </w:r>
      <w:r>
        <w:rPr>
          <w:rFonts w:hint="eastAsia" w:ascii="Arial" w:hAnsi="Arial" w:cs="Arial"/>
          <w:sz w:val="21"/>
          <w:szCs w:val="21"/>
        </w:rPr>
        <w:t>，估价对象为</w:t>
      </w:r>
      <w:r>
        <w:rPr>
          <w:rFonts w:hint="eastAsia" w:ascii="Arial" w:hAnsi="Arial" w:cs="Arial"/>
          <w:kern w:val="2"/>
          <w:sz w:val="21"/>
          <w:szCs w:val="21"/>
        </w:rPr>
        <w:t>保障性租赁住房（住宅型）</w:t>
      </w:r>
      <w:r>
        <w:rPr>
          <w:rFonts w:hint="eastAsia" w:ascii="Arial" w:hAnsi="Arial" w:cs="Arial"/>
          <w:sz w:val="21"/>
          <w:szCs w:val="21"/>
        </w:rPr>
        <w:t>，法律上允许。</w:t>
      </w:r>
      <w:bookmarkEnd w:id="64"/>
    </w:p>
    <w:p w14:paraId="53816CAB">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（二）技术上可能</w:t>
      </w:r>
    </w:p>
    <w:p w14:paraId="2732BB82">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技术上可能</w:t>
      </w:r>
      <w:r>
        <w:rPr>
          <w:rFonts w:ascii="Arial" w:hAnsi="Arial" w:cs="Arial"/>
          <w:sz w:val="21"/>
          <w:szCs w:val="21"/>
        </w:rPr>
        <w:t>即不能把技术上无法做到的使用当作最高最佳使用，要按照房屋建筑工程方面的技术要求进行估价。</w:t>
      </w:r>
    </w:p>
    <w:p w14:paraId="60502678">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估价对象为</w:t>
      </w:r>
      <w:r>
        <w:rPr>
          <w:rFonts w:hint="eastAsia" w:ascii="Arial" w:hAnsi="Arial" w:cs="Arial"/>
          <w:kern w:val="2"/>
          <w:sz w:val="21"/>
          <w:szCs w:val="21"/>
        </w:rPr>
        <w:t>钢混</w:t>
      </w:r>
      <w:r>
        <w:rPr>
          <w:rFonts w:hint="eastAsia" w:ascii="Arial" w:hAnsi="Arial" w:cs="Arial"/>
          <w:sz w:val="21"/>
          <w:szCs w:val="21"/>
        </w:rPr>
        <w:t>结构的高层建筑物。</w:t>
      </w:r>
      <w:r>
        <w:rPr>
          <w:rFonts w:ascii="Arial" w:hAnsi="Arial" w:cs="Arial"/>
          <w:sz w:val="21"/>
          <w:szCs w:val="21"/>
        </w:rPr>
        <w:t>估价对象建筑结构、功能、造型、立面效果、建筑材料和设备选用、施工技术等方面，</w:t>
      </w:r>
      <w:r>
        <w:rPr>
          <w:rFonts w:hint="eastAsia" w:ascii="Arial" w:hAnsi="Arial" w:cs="Arial"/>
          <w:sz w:val="21"/>
          <w:szCs w:val="21"/>
        </w:rPr>
        <w:t>在目前的施工</w:t>
      </w:r>
      <w:r>
        <w:rPr>
          <w:rFonts w:ascii="Arial" w:hAnsi="Arial" w:cs="Arial"/>
          <w:sz w:val="21"/>
          <w:szCs w:val="21"/>
        </w:rPr>
        <w:t>技术上均能满足要求。</w:t>
      </w:r>
    </w:p>
    <w:p w14:paraId="7DE0A4EE">
      <w:pPr>
        <w:pStyle w:val="60"/>
        <w:autoSpaceDE w:val="0"/>
        <w:autoSpaceDN w:val="0"/>
        <w:spacing w:line="480" w:lineRule="auto"/>
        <w:ind w:right="142"/>
        <w:jc w:val="both"/>
        <w:textAlignment w:val="bottom"/>
        <w:rPr>
          <w:rFonts w:ascii="Arial" w:hAnsi="Arial" w:cs="Arial"/>
          <w:b/>
          <w:sz w:val="21"/>
          <w:szCs w:val="21"/>
        </w:rPr>
      </w:pPr>
      <w:r>
        <w:rPr>
          <w:rFonts w:ascii="Arial" w:hAnsi="Arial" w:cs="Arial"/>
          <w:b/>
          <w:sz w:val="21"/>
          <w:szCs w:val="21"/>
        </w:rPr>
        <w:t>（三）经济上可行</w:t>
      </w:r>
    </w:p>
    <w:p w14:paraId="2E242869">
      <w:pPr>
        <w:pStyle w:val="60"/>
        <w:autoSpaceDE w:val="0"/>
        <w:autoSpaceDN w:val="0"/>
        <w:spacing w:line="480" w:lineRule="auto"/>
        <w:ind w:right="142" w:firstLine="420" w:firstLineChars="200"/>
        <w:jc w:val="both"/>
        <w:textAlignment w:val="bottom"/>
        <w:rPr>
          <w:rFonts w:ascii="Arial" w:hAnsi="Arial" w:cs="Arial"/>
          <w:sz w:val="21"/>
          <w:szCs w:val="21"/>
        </w:rPr>
      </w:pPr>
      <w:r>
        <w:rPr>
          <w:rFonts w:hint="eastAsia" w:ascii="Arial" w:hAnsi="Arial" w:cs="Arial"/>
          <w:sz w:val="21"/>
          <w:szCs w:val="21"/>
        </w:rPr>
        <w:t>经济上可行</w:t>
      </w:r>
      <w:r>
        <w:rPr>
          <w:rFonts w:ascii="Arial" w:hAnsi="Arial" w:cs="Arial"/>
          <w:sz w:val="21"/>
          <w:szCs w:val="21"/>
        </w:rPr>
        <w:t>即估价结果应是各种可能的使用方式中，以经济上有限的投入而能获得最大的收益的使用方式的估价结果。估价对象目前用途、</w:t>
      </w:r>
      <w:r>
        <w:rPr>
          <w:rFonts w:hint="eastAsia" w:ascii="Arial" w:hAnsi="Arial" w:cs="Arial"/>
          <w:sz w:val="21"/>
          <w:szCs w:val="21"/>
        </w:rPr>
        <w:t>设定</w:t>
      </w:r>
      <w:r>
        <w:rPr>
          <w:rFonts w:ascii="Arial" w:hAnsi="Arial" w:cs="Arial"/>
          <w:sz w:val="21"/>
          <w:szCs w:val="21"/>
        </w:rPr>
        <w:t>产权合法、建造标准技术上能满足要求，并且其收入现值大于支出现值，具有经济可行性。</w:t>
      </w:r>
    </w:p>
    <w:p w14:paraId="3C2F17FD">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（四）价值最大化</w:t>
      </w:r>
    </w:p>
    <w:p w14:paraId="75B82890">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价值最大化</w:t>
      </w:r>
      <w:r>
        <w:rPr>
          <w:rFonts w:ascii="Arial" w:hAnsi="Arial" w:cs="Arial"/>
          <w:sz w:val="21"/>
          <w:szCs w:val="21"/>
        </w:rPr>
        <w:t>即在所有具有经济可行性的使用方式中，能使估价对象价值达到最大的使用方式，才是最高最佳的使用方式。估价对象用途为</w:t>
      </w:r>
      <w:r>
        <w:rPr>
          <w:rFonts w:hint="eastAsia" w:ascii="Arial" w:hAnsi="Arial" w:cs="Arial"/>
          <w:kern w:val="2"/>
          <w:sz w:val="21"/>
          <w:szCs w:val="21"/>
        </w:rPr>
        <w:t>保障性租赁住房（住宅型）</w:t>
      </w:r>
      <w:r>
        <w:rPr>
          <w:rFonts w:hint="eastAsia" w:ascii="Arial" w:hAnsi="Arial" w:cs="Arial"/>
          <w:sz w:val="21"/>
          <w:szCs w:val="21"/>
        </w:rPr>
        <w:t>，实际拟用作保障性租赁住房，</w:t>
      </w:r>
      <w:r>
        <w:rPr>
          <w:rFonts w:ascii="Arial" w:hAnsi="Arial" w:cs="Arial"/>
          <w:sz w:val="21"/>
          <w:szCs w:val="21"/>
        </w:rPr>
        <w:t>其使用方式以满足法律上许可、技术上可能、经济上可行为前提条件，经过论证可使估价对象价值得到最大化。</w:t>
      </w:r>
    </w:p>
    <w:p w14:paraId="34F90C7B">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（五）使用前提说明与分析</w:t>
      </w:r>
    </w:p>
    <w:p w14:paraId="5160A160">
      <w:pPr>
        <w:pStyle w:val="60"/>
        <w:autoSpaceDE w:val="0"/>
        <w:autoSpaceDN w:val="0"/>
        <w:spacing w:line="480" w:lineRule="auto"/>
        <w:ind w:right="140" w:firstLine="420" w:firstLineChars="200"/>
        <w:jc w:val="both"/>
        <w:textAlignment w:val="bottom"/>
        <w:rPr>
          <w:rFonts w:ascii="Arial" w:hAnsi="Arial" w:cs="Arial"/>
          <w:sz w:val="21"/>
          <w:szCs w:val="21"/>
        </w:rPr>
      </w:pPr>
      <w:r>
        <w:rPr>
          <w:rFonts w:ascii="Arial" w:hAnsi="Arial" w:cs="Arial"/>
          <w:sz w:val="21"/>
          <w:szCs w:val="21"/>
        </w:rPr>
        <w:t>估价对象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031BBFCA">
      <w:pPr>
        <w:spacing w:line="480" w:lineRule="auto"/>
        <w:ind w:firstLine="420" w:firstLineChars="200"/>
        <w:jc w:val="both"/>
        <w:rPr>
          <w:rFonts w:ascii="Arial" w:hAnsi="Arial" w:cs="Arial"/>
          <w:sz w:val="21"/>
          <w:szCs w:val="21"/>
        </w:rPr>
      </w:pPr>
      <w:r>
        <w:rPr>
          <w:rFonts w:ascii="Arial" w:hAnsi="Arial" w:cs="Arial"/>
          <w:sz w:val="21"/>
          <w:szCs w:val="21"/>
        </w:rPr>
        <w:t>综上所述，我们认为估价对象用途</w:t>
      </w:r>
      <w:r>
        <w:rPr>
          <w:rFonts w:hint="eastAsia" w:ascii="Arial" w:hAnsi="Arial" w:cs="Arial"/>
          <w:sz w:val="21"/>
          <w:szCs w:val="21"/>
        </w:rPr>
        <w:t>为保障性租赁住房（住宅型）</w:t>
      </w:r>
      <w:r>
        <w:rPr>
          <w:rFonts w:ascii="Arial" w:hAnsi="Arial" w:cs="Arial"/>
          <w:sz w:val="21"/>
          <w:szCs w:val="21"/>
        </w:rPr>
        <w:t>为其最高最佳使用途径。</w:t>
      </w:r>
    </w:p>
    <w:p w14:paraId="5A9948AD">
      <w:pPr>
        <w:spacing w:line="480" w:lineRule="auto"/>
        <w:ind w:firstLine="420" w:firstLineChars="200"/>
        <w:jc w:val="both"/>
        <w:rPr>
          <w:rFonts w:ascii="Arial" w:hAnsi="Arial" w:cs="Arial"/>
          <w:sz w:val="21"/>
          <w:szCs w:val="21"/>
        </w:rPr>
      </w:pPr>
    </w:p>
    <w:p w14:paraId="4585F9B4">
      <w:pPr>
        <w:pStyle w:val="3"/>
        <w:numPr>
          <w:ilvl w:val="0"/>
          <w:numId w:val="9"/>
        </w:numPr>
        <w:spacing w:line="480" w:lineRule="auto"/>
        <w:jc w:val="both"/>
        <w:rPr>
          <w:rFonts w:eastAsia="宋体"/>
          <w:kern w:val="2"/>
          <w:sz w:val="21"/>
          <w:szCs w:val="21"/>
        </w:rPr>
      </w:pPr>
      <w:bookmarkStart w:id="65" w:name="_Toc525655439"/>
      <w:bookmarkStart w:id="66" w:name="_Toc155267106"/>
      <w:r>
        <w:rPr>
          <w:rFonts w:eastAsia="宋体"/>
          <w:kern w:val="2"/>
          <w:sz w:val="21"/>
          <w:szCs w:val="21"/>
        </w:rPr>
        <w:t>估价方法适用性分析</w:t>
      </w:r>
      <w:bookmarkEnd w:id="65"/>
      <w:bookmarkEnd w:id="66"/>
    </w:p>
    <w:p w14:paraId="3FC94B9A">
      <w:pPr>
        <w:wordWrap w:val="0"/>
        <w:overflowPunct w:val="0"/>
        <w:spacing w:line="480" w:lineRule="auto"/>
        <w:ind w:firstLine="420" w:firstLineChars="200"/>
        <w:jc w:val="both"/>
        <w:textAlignment w:val="auto"/>
        <w:rPr>
          <w:rFonts w:ascii="Arial" w:hAnsi="Arial" w:cs="Arial"/>
          <w:bCs/>
          <w:spacing w:val="10"/>
          <w:sz w:val="21"/>
          <w:szCs w:val="21"/>
        </w:rPr>
      </w:pPr>
      <w:r>
        <w:rPr>
          <w:rFonts w:ascii="Arial" w:hAnsi="Arial" w:cs="Arial"/>
          <w:sz w:val="21"/>
          <w:szCs w:val="21"/>
        </w:rPr>
        <w:t>由于本次评估是</w:t>
      </w:r>
      <w:r>
        <w:rPr>
          <w:rFonts w:hint="eastAsia" w:ascii="Arial" w:hAnsi="Arial" w:cs="Arial"/>
          <w:sz w:val="21"/>
          <w:szCs w:val="21"/>
        </w:rPr>
        <w:t>为估价委托人合理确定保障性租赁住房项目租金提供参考依据</w:t>
      </w:r>
      <w:r>
        <w:rPr>
          <w:rFonts w:ascii="Arial" w:hAnsi="Arial" w:cs="Arial"/>
          <w:sz w:val="21"/>
          <w:szCs w:val="21"/>
        </w:rPr>
        <w:t>，因此我们在认真分析研究估价对象的相关资料，并通过对邻近地区同类物业调查的基础上，根据《房地产估价规范》</w:t>
      </w:r>
      <w:r>
        <w:rPr>
          <w:rFonts w:hint="eastAsia" w:ascii="Arial" w:hAnsi="Arial" w:cs="Arial"/>
          <w:sz w:val="21"/>
          <w:szCs w:val="21"/>
        </w:rPr>
        <w:t>（</w:t>
      </w:r>
      <w:r>
        <w:rPr>
          <w:rFonts w:ascii="Arial" w:hAnsi="Arial" w:cs="Arial"/>
          <w:sz w:val="21"/>
          <w:szCs w:val="21"/>
        </w:rPr>
        <w:t>GB/T</w:t>
      </w:r>
      <w:r>
        <w:rPr>
          <w:rFonts w:hint="eastAsia" w:ascii="Arial" w:hAnsi="Arial" w:cs="Arial"/>
          <w:sz w:val="21"/>
          <w:szCs w:val="21"/>
        </w:rPr>
        <w:t xml:space="preserve"> </w:t>
      </w:r>
      <w:r>
        <w:rPr>
          <w:rFonts w:ascii="Arial" w:hAnsi="Arial" w:cs="Arial"/>
          <w:sz w:val="21"/>
          <w:szCs w:val="21"/>
        </w:rPr>
        <w:t>50291-2015</w:t>
      </w:r>
      <w:r>
        <w:rPr>
          <w:rFonts w:hint="eastAsia" w:ascii="Arial" w:hAnsi="Arial" w:cs="Arial"/>
          <w:sz w:val="21"/>
          <w:szCs w:val="21"/>
        </w:rPr>
        <w:t>）</w:t>
      </w:r>
      <w:r>
        <w:rPr>
          <w:rFonts w:ascii="Arial" w:hAnsi="Arial" w:cs="Arial"/>
          <w:sz w:val="21"/>
          <w:szCs w:val="21"/>
        </w:rPr>
        <w:t>的估价程序，选用</w:t>
      </w:r>
      <w:r>
        <w:rPr>
          <w:rFonts w:hint="eastAsia" w:ascii="Arial" w:hAnsi="Arial" w:cs="Arial"/>
          <w:sz w:val="21"/>
          <w:szCs w:val="21"/>
        </w:rPr>
        <w:t>比较法</w:t>
      </w:r>
      <w:r>
        <w:rPr>
          <w:rFonts w:ascii="Arial" w:hAnsi="Arial" w:cs="Arial"/>
          <w:sz w:val="21"/>
          <w:szCs w:val="21"/>
        </w:rPr>
        <w:t>为主方法进行估价</w:t>
      </w:r>
      <w:r>
        <w:rPr>
          <w:rFonts w:hint="eastAsia" w:ascii="Arial" w:hAnsi="Arial" w:cs="Arial"/>
          <w:sz w:val="21"/>
          <w:szCs w:val="21"/>
        </w:rPr>
        <w:t>，进而确定</w:t>
      </w:r>
      <w:r>
        <w:rPr>
          <w:rFonts w:hint="eastAsia" w:ascii="Arial" w:hAnsi="Arial"/>
          <w:sz w:val="21"/>
          <w:szCs w:val="21"/>
        </w:rPr>
        <w:t>估价对象</w:t>
      </w:r>
      <w:r>
        <w:rPr>
          <w:rFonts w:hint="eastAsia" w:ascii="Arial" w:hAnsi="Arial" w:cs="Arial"/>
          <w:sz w:val="21"/>
          <w:szCs w:val="21"/>
        </w:rPr>
        <w:t>市场租金价格水平</w:t>
      </w:r>
      <w:r>
        <w:rPr>
          <w:rFonts w:ascii="Arial" w:hAnsi="Arial" w:cs="Arial"/>
          <w:sz w:val="21"/>
          <w:szCs w:val="21"/>
        </w:rPr>
        <w:t>。</w:t>
      </w:r>
    </w:p>
    <w:p w14:paraId="28662B4A">
      <w:pPr>
        <w:pStyle w:val="60"/>
        <w:autoSpaceDE w:val="0"/>
        <w:autoSpaceDN w:val="0"/>
        <w:spacing w:line="480" w:lineRule="auto"/>
        <w:ind w:right="140"/>
        <w:jc w:val="both"/>
        <w:textAlignment w:val="bottom"/>
        <w:rPr>
          <w:rFonts w:ascii="Arial" w:hAnsi="Arial" w:cs="Arial"/>
          <w:b/>
          <w:sz w:val="21"/>
          <w:szCs w:val="21"/>
        </w:rPr>
      </w:pPr>
      <w:r>
        <w:rPr>
          <w:rFonts w:ascii="Arial" w:hAnsi="Arial" w:cs="Arial"/>
          <w:b/>
          <w:sz w:val="21"/>
          <w:szCs w:val="21"/>
        </w:rPr>
        <w:t>（一）</w:t>
      </w:r>
      <w:r>
        <w:rPr>
          <w:rFonts w:hint="eastAsia" w:ascii="Arial" w:hAnsi="Arial" w:cs="Arial"/>
          <w:b/>
          <w:sz w:val="21"/>
          <w:szCs w:val="21"/>
        </w:rPr>
        <w:t>估价思路</w:t>
      </w:r>
      <w:r>
        <w:rPr>
          <w:rFonts w:ascii="Arial" w:hAnsi="Arial" w:cs="Arial"/>
          <w:b/>
          <w:sz w:val="21"/>
          <w:szCs w:val="21"/>
        </w:rPr>
        <w:t xml:space="preserve"> </w:t>
      </w:r>
    </w:p>
    <w:p w14:paraId="72976F46">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3694D5E1">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ascii="Arial" w:hAnsi="Arial" w:cs="Arial"/>
          <w:sz w:val="21"/>
          <w:szCs w:val="21"/>
        </w:rPr>
        <w:t>1.</w:t>
      </w:r>
      <w:r>
        <w:rPr>
          <w:rFonts w:hint="eastAsia" w:ascii="Arial" w:hAnsi="Arial" w:cs="Arial"/>
          <w:sz w:val="21"/>
          <w:szCs w:val="21"/>
        </w:rPr>
        <w:t>首先，根据估价委托人提供的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04E8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56" w:type="dxa"/>
          </w:tcPr>
          <w:p w14:paraId="06DDDF8D">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08D5CA4A">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0CBE36DA">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784B04FC">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710B35CC">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561BD5DC">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3E0C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ABC76D7">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0B27ECF3">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15B9EDC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62.64</w:t>
            </w:r>
          </w:p>
        </w:tc>
        <w:tc>
          <w:tcPr>
            <w:tcW w:w="1557" w:type="dxa"/>
          </w:tcPr>
          <w:p w14:paraId="18E3104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59F37337">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B97EA82">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A25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7B2A10D9">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17D5451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w:t>
            </w:r>
            <w:r>
              <w:rPr>
                <w:rFonts w:ascii="Arial" w:hAnsi="Arial" w:eastAsia="华文细黑" w:cs="Arial"/>
                <w:sz w:val="18"/>
                <w:szCs w:val="18"/>
              </w:rPr>
              <w:t>居室</w:t>
            </w:r>
          </w:p>
        </w:tc>
        <w:tc>
          <w:tcPr>
            <w:tcW w:w="1693" w:type="dxa"/>
          </w:tcPr>
          <w:p w14:paraId="6BC7C7A3">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84.11</w:t>
            </w:r>
          </w:p>
        </w:tc>
        <w:tc>
          <w:tcPr>
            <w:tcW w:w="1557" w:type="dxa"/>
          </w:tcPr>
          <w:p w14:paraId="6A429AF8">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18400585">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6B208898">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588F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D8DEB84">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28911C71">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61FCEDB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115.8</w:t>
            </w:r>
          </w:p>
        </w:tc>
        <w:tc>
          <w:tcPr>
            <w:tcW w:w="1557" w:type="dxa"/>
          </w:tcPr>
          <w:p w14:paraId="3F37ACE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55F17263">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2ABE1097">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09010511">
      <w:pPr>
        <w:pStyle w:val="60"/>
        <w:wordWrap w:val="0"/>
        <w:overflowPunct w:val="0"/>
        <w:autoSpaceDE w:val="0"/>
        <w:autoSpaceDN w:val="0"/>
        <w:spacing w:before="120" w:beforeLines="50" w:line="480" w:lineRule="auto"/>
        <w:ind w:firstLine="420" w:firstLineChars="200"/>
        <w:jc w:val="both"/>
        <w:textAlignment w:val="auto"/>
        <w:rPr>
          <w:rFonts w:ascii="Arial" w:hAnsi="Arial" w:cs="Arial"/>
          <w:sz w:val="21"/>
          <w:szCs w:val="21"/>
        </w:rPr>
      </w:pPr>
      <w:r>
        <w:rPr>
          <w:rFonts w:ascii="Arial" w:hAnsi="Arial" w:cs="Arial"/>
          <w:sz w:val="21"/>
          <w:szCs w:val="21"/>
        </w:rPr>
        <w:t>2.在估价对象周边区域选取适当数量</w:t>
      </w:r>
      <w:r>
        <w:rPr>
          <w:rFonts w:hint="eastAsia" w:ascii="Arial" w:hAnsi="Arial" w:cs="Arial"/>
          <w:sz w:val="21"/>
          <w:szCs w:val="21"/>
        </w:rPr>
        <w:t>住宅项目</w:t>
      </w:r>
      <w:r>
        <w:rPr>
          <w:rFonts w:ascii="Arial" w:hAnsi="Arial" w:cs="Arial"/>
          <w:sz w:val="21"/>
          <w:szCs w:val="21"/>
        </w:rPr>
        <w:t>，结合估价机构市场调查，选取可比小区。</w:t>
      </w:r>
    </w:p>
    <w:p w14:paraId="072C23B0">
      <w:pPr>
        <w:pStyle w:val="60"/>
        <w:wordWrap w:val="0"/>
        <w:overflowPunct w:val="0"/>
        <w:autoSpaceDE w:val="0"/>
        <w:autoSpaceDN w:val="0"/>
        <w:spacing w:line="480" w:lineRule="auto"/>
        <w:ind w:firstLine="420" w:firstLineChars="200"/>
        <w:jc w:val="both"/>
        <w:textAlignment w:val="auto"/>
        <w:rPr>
          <w:rFonts w:ascii="Arial" w:hAnsi="Arial" w:cs="Arial"/>
          <w:sz w:val="21"/>
          <w:szCs w:val="21"/>
        </w:rPr>
      </w:pPr>
      <w:r>
        <w:rPr>
          <w:rFonts w:ascii="Arial" w:hAnsi="Arial" w:cs="Arial"/>
          <w:sz w:val="21"/>
          <w:szCs w:val="21"/>
        </w:rPr>
        <w:t>3.将所选可比小区与评估对象标准房进行比较，进行区位状况调整和实物状况调整，计算各可比实例比准租金，得到</w:t>
      </w:r>
      <w:r>
        <w:rPr>
          <w:rFonts w:hint="eastAsia" w:ascii="Arial" w:hAnsi="Arial" w:cs="Arial"/>
          <w:sz w:val="21"/>
          <w:szCs w:val="21"/>
        </w:rPr>
        <w:t>估价对象标准房</w:t>
      </w:r>
      <w:r>
        <w:rPr>
          <w:rFonts w:ascii="Arial" w:hAnsi="Arial" w:cs="Arial"/>
          <w:sz w:val="21"/>
          <w:szCs w:val="21"/>
        </w:rPr>
        <w:t>租金水平</w:t>
      </w:r>
      <w:r>
        <w:rPr>
          <w:rFonts w:hint="eastAsia" w:ascii="Arial" w:hAnsi="Arial" w:cs="Arial"/>
          <w:sz w:val="21"/>
          <w:szCs w:val="21"/>
        </w:rPr>
        <w:t>。</w:t>
      </w:r>
    </w:p>
    <w:p w14:paraId="4361C77E">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（二）估价方法</w:t>
      </w:r>
      <w:r>
        <w:rPr>
          <w:rFonts w:ascii="Arial" w:hAnsi="Arial" w:cs="Arial"/>
          <w:b/>
          <w:sz w:val="21"/>
          <w:szCs w:val="21"/>
        </w:rPr>
        <w:t xml:space="preserve"> </w:t>
      </w:r>
    </w:p>
    <w:p w14:paraId="192EFB3A">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比较法，是在求取估价对象房地产</w:t>
      </w:r>
      <w:r>
        <w:rPr>
          <w:rFonts w:hint="eastAsia" w:ascii="Arial" w:hAnsi="Arial" w:cs="Arial"/>
          <w:sz w:val="21"/>
          <w:szCs w:val="21"/>
        </w:rPr>
        <w:t>市场租金水平</w:t>
      </w:r>
      <w:r>
        <w:rPr>
          <w:rFonts w:ascii="Arial" w:hAnsi="Arial" w:cs="Arial"/>
          <w:sz w:val="21"/>
          <w:szCs w:val="21"/>
        </w:rPr>
        <w:t>时，根据替代原则，将估价对象与在较近时期内已发生交易的类似房地产</w:t>
      </w:r>
      <w:r>
        <w:rPr>
          <w:rFonts w:hint="eastAsia" w:ascii="Arial" w:hAnsi="Arial" w:cs="Arial"/>
          <w:sz w:val="21"/>
          <w:szCs w:val="21"/>
        </w:rPr>
        <w:t>租赁</w:t>
      </w:r>
      <w:r>
        <w:rPr>
          <w:rFonts w:ascii="Arial" w:hAnsi="Arial" w:cs="Arial"/>
          <w:sz w:val="21"/>
          <w:szCs w:val="21"/>
        </w:rPr>
        <w:t>交易实例进行对照比较，并依据后者已知的价格，参照该房地产的交易情况、期日、区域及实物状况的差别，修正得出估价对象房地产</w:t>
      </w:r>
      <w:r>
        <w:rPr>
          <w:rFonts w:hint="eastAsia" w:ascii="Arial" w:hAnsi="Arial" w:cs="Arial"/>
          <w:sz w:val="21"/>
          <w:szCs w:val="21"/>
        </w:rPr>
        <w:t>市场租金水平</w:t>
      </w:r>
      <w:r>
        <w:rPr>
          <w:rFonts w:ascii="Arial" w:hAnsi="Arial" w:cs="Arial"/>
          <w:sz w:val="21"/>
          <w:szCs w:val="21"/>
        </w:rPr>
        <w:t>的方法。本次估价采用比较法思路评估租金价格水平。</w:t>
      </w:r>
    </w:p>
    <w:p w14:paraId="3A689A5D">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1.</w:t>
      </w:r>
      <w:r>
        <w:rPr>
          <w:rFonts w:ascii="Arial" w:hAnsi="Arial" w:cs="Arial"/>
          <w:sz w:val="21"/>
          <w:szCs w:val="21"/>
        </w:rPr>
        <w:t>采用</w:t>
      </w:r>
      <w:r>
        <w:rPr>
          <w:rFonts w:hint="eastAsia" w:ascii="Arial" w:hAnsi="Arial" w:cs="Arial"/>
          <w:sz w:val="21"/>
          <w:szCs w:val="21"/>
        </w:rPr>
        <w:t>比较法</w:t>
      </w:r>
      <w:r>
        <w:rPr>
          <w:rFonts w:ascii="Arial" w:hAnsi="Arial" w:cs="Arial"/>
          <w:sz w:val="21"/>
          <w:szCs w:val="21"/>
        </w:rPr>
        <w:t>的理由</w:t>
      </w:r>
      <w:r>
        <w:rPr>
          <w:rFonts w:hint="eastAsia" w:ascii="Arial" w:hAnsi="Arial" w:cs="Arial"/>
          <w:sz w:val="21"/>
          <w:szCs w:val="21"/>
        </w:rPr>
        <w:t>：</w:t>
      </w:r>
    </w:p>
    <w:p w14:paraId="59F6C7C3">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估价对象所处区域近期有较多的相同用途物业的出租案例，且交易时间与价值时点接近，故适宜采用比较法进行租赁价格评估；同时有所在区域</w:t>
      </w:r>
      <w:r>
        <w:rPr>
          <w:rFonts w:hint="eastAsia" w:ascii="Arial" w:hAnsi="Arial" w:cs="Arial"/>
          <w:sz w:val="21"/>
          <w:szCs w:val="21"/>
        </w:rPr>
        <w:t>住宅</w:t>
      </w:r>
      <w:r>
        <w:rPr>
          <w:rFonts w:ascii="Arial" w:hAnsi="Arial" w:cs="Arial"/>
          <w:sz w:val="21"/>
          <w:szCs w:val="21"/>
        </w:rPr>
        <w:t>出租的公开信息，可通过因素修正得出估价对象所在区域</w:t>
      </w:r>
      <w:r>
        <w:rPr>
          <w:rFonts w:hint="eastAsia" w:ascii="Arial" w:hAnsi="Arial" w:cs="Arial"/>
          <w:sz w:val="21"/>
          <w:szCs w:val="21"/>
        </w:rPr>
        <w:t>住宅</w:t>
      </w:r>
      <w:r>
        <w:rPr>
          <w:rFonts w:ascii="Arial" w:hAnsi="Arial" w:cs="Arial"/>
          <w:sz w:val="21"/>
          <w:szCs w:val="21"/>
        </w:rPr>
        <w:t>租赁价格水平</w:t>
      </w:r>
      <w:r>
        <w:rPr>
          <w:rFonts w:hint="eastAsia" w:ascii="Arial" w:hAnsi="Arial" w:cs="Arial"/>
          <w:sz w:val="21"/>
          <w:szCs w:val="21"/>
        </w:rPr>
        <w:t>。</w:t>
      </w:r>
      <w:r>
        <w:rPr>
          <w:rFonts w:ascii="Arial" w:hAnsi="Arial" w:cs="Arial"/>
          <w:sz w:val="21"/>
          <w:szCs w:val="21"/>
        </w:rPr>
        <w:t xml:space="preserve"> 同时</w:t>
      </w:r>
      <w:r>
        <w:rPr>
          <w:rFonts w:hint="eastAsia" w:ascii="Arial" w:hAnsi="Arial" w:cs="Arial"/>
          <w:sz w:val="21"/>
          <w:szCs w:val="21"/>
        </w:rPr>
        <w:t>，</w:t>
      </w:r>
      <w:r>
        <w:rPr>
          <w:rFonts w:ascii="Arial" w:hAnsi="Arial" w:cs="Arial"/>
          <w:sz w:val="21"/>
          <w:szCs w:val="21"/>
        </w:rPr>
        <w:t>通过区域因素修正得出估价对象相邻或相似区域</w:t>
      </w:r>
      <w:r>
        <w:rPr>
          <w:rFonts w:hint="eastAsia" w:ascii="Arial" w:hAnsi="Arial" w:cs="Arial"/>
          <w:sz w:val="21"/>
          <w:szCs w:val="21"/>
        </w:rPr>
        <w:t>住宅用房</w:t>
      </w:r>
      <w:r>
        <w:rPr>
          <w:rFonts w:ascii="Arial" w:hAnsi="Arial" w:cs="Arial"/>
          <w:sz w:val="21"/>
          <w:szCs w:val="21"/>
        </w:rPr>
        <w:t>租赁价格水平</w:t>
      </w:r>
      <w:r>
        <w:rPr>
          <w:rFonts w:hint="eastAsia" w:ascii="Arial" w:hAnsi="Arial" w:cs="Arial"/>
          <w:sz w:val="21"/>
          <w:szCs w:val="21"/>
        </w:rPr>
        <w:t>。</w:t>
      </w:r>
    </w:p>
    <w:p w14:paraId="6B5A65D8">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hint="eastAsia" w:ascii="Arial" w:hAnsi="Arial" w:cs="Arial"/>
          <w:sz w:val="21"/>
          <w:szCs w:val="21"/>
        </w:rPr>
        <w:t>2.</w:t>
      </w:r>
      <w:r>
        <w:rPr>
          <w:rFonts w:ascii="Arial" w:hAnsi="Arial" w:cs="Arial"/>
          <w:sz w:val="21"/>
          <w:szCs w:val="21"/>
        </w:rPr>
        <w:t>不采用成本法、假设开发法、收益法的理由</w:t>
      </w:r>
      <w:r>
        <w:rPr>
          <w:rFonts w:hint="eastAsia" w:ascii="Arial" w:hAnsi="Arial" w:cs="Arial"/>
          <w:sz w:val="21"/>
          <w:szCs w:val="21"/>
        </w:rPr>
        <w:t>：</w:t>
      </w:r>
    </w:p>
    <w:p w14:paraId="0601FFCA">
      <w:pPr>
        <w:pStyle w:val="60"/>
        <w:wordWrap w:val="0"/>
        <w:overflowPunct w:val="0"/>
        <w:autoSpaceDE w:val="0"/>
        <w:autoSpaceDN w:val="0"/>
        <w:spacing w:line="480" w:lineRule="auto"/>
        <w:ind w:firstLine="420"/>
        <w:jc w:val="both"/>
        <w:textAlignment w:val="auto"/>
        <w:rPr>
          <w:rFonts w:ascii="Arial" w:hAnsi="Arial" w:cs="Arial"/>
          <w:sz w:val="21"/>
          <w:szCs w:val="21"/>
        </w:rPr>
      </w:pPr>
      <w:bookmarkStart w:id="67" w:name="_Hlk155267600"/>
      <w:r>
        <w:rPr>
          <w:rFonts w:hint="eastAsia" w:hAnsi="宋体" w:cs="Arial"/>
          <w:sz w:val="21"/>
          <w:szCs w:val="21"/>
        </w:rPr>
        <w:t>（1）估价对象适用比较法，且已优先采用比较法进行评估，故不再采用成本法进行测算。</w:t>
      </w:r>
    </w:p>
    <w:p w14:paraId="15BEA6A7">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（2）假设开发法可评估房地产市场价值，但不适于租赁价格的评估。</w:t>
      </w:r>
    </w:p>
    <w:p w14:paraId="4E0C05F8">
      <w:pPr>
        <w:pStyle w:val="60"/>
        <w:wordWrap w:val="0"/>
        <w:overflowPunct w:val="0"/>
        <w:autoSpaceDE w:val="0"/>
        <w:autoSpaceDN w:val="0"/>
        <w:spacing w:line="480" w:lineRule="auto"/>
        <w:ind w:firstLine="420"/>
        <w:jc w:val="both"/>
        <w:textAlignment w:val="auto"/>
        <w:rPr>
          <w:rFonts w:hAnsi="宋体" w:cs="Arial"/>
          <w:sz w:val="21"/>
          <w:szCs w:val="21"/>
        </w:rPr>
      </w:pPr>
      <w:r>
        <w:rPr>
          <w:rFonts w:hint="eastAsia" w:hAnsi="宋体" w:cs="Arial"/>
          <w:sz w:val="21"/>
          <w:szCs w:val="21"/>
        </w:rPr>
        <w:t>（3）</w:t>
      </w:r>
      <w:r>
        <w:rPr>
          <w:rFonts w:hAnsi="宋体" w:cs="Arial"/>
          <w:sz w:val="21"/>
          <w:szCs w:val="21"/>
        </w:rPr>
        <w:t>收益法适用于有现实收益或潜在收益的土地或房地产估价。估价对象用途</w:t>
      </w:r>
      <w:r>
        <w:rPr>
          <w:rFonts w:hint="eastAsia" w:hAnsi="宋体" w:cs="Arial"/>
          <w:sz w:val="21"/>
          <w:szCs w:val="21"/>
        </w:rPr>
        <w:t>设定为保障性租赁住房</w:t>
      </w:r>
      <w:r>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Pr>
          <w:rFonts w:hint="eastAsia" w:hAnsi="宋体" w:cs="Arial"/>
          <w:sz w:val="21"/>
          <w:szCs w:val="21"/>
        </w:rPr>
        <w:t>住宅</w:t>
      </w:r>
      <w:r>
        <w:rPr>
          <w:rFonts w:hAnsi="宋体" w:cs="Arial"/>
          <w:sz w:val="21"/>
          <w:szCs w:val="21"/>
        </w:rPr>
        <w:t>业态租售比差距较大， 采用房屋交易价格测算出的房屋租金不能反映正常的市场租金水平，故未采用收益法</w:t>
      </w:r>
      <w:bookmarkEnd w:id="67"/>
      <w:r>
        <w:rPr>
          <w:rFonts w:hint="eastAsia" w:hAnsi="宋体" w:cs="Arial"/>
          <w:sz w:val="21"/>
          <w:szCs w:val="21"/>
        </w:rPr>
        <w:t>。</w:t>
      </w:r>
    </w:p>
    <w:p w14:paraId="3E4DE8DD">
      <w:pPr>
        <w:pStyle w:val="60"/>
        <w:wordWrap w:val="0"/>
        <w:overflowPunct w:val="0"/>
        <w:autoSpaceDE w:val="0"/>
        <w:autoSpaceDN w:val="0"/>
        <w:spacing w:line="480" w:lineRule="auto"/>
        <w:ind w:right="140"/>
        <w:jc w:val="both"/>
        <w:textAlignment w:val="auto"/>
        <w:rPr>
          <w:rFonts w:ascii="Arial" w:hAnsi="Arial" w:cs="Arial"/>
          <w:b/>
          <w:sz w:val="21"/>
          <w:szCs w:val="21"/>
        </w:rPr>
      </w:pPr>
      <w:r>
        <w:rPr>
          <w:rFonts w:hint="eastAsia" w:ascii="Arial" w:hAnsi="Arial" w:cs="Arial"/>
          <w:b/>
          <w:sz w:val="21"/>
          <w:szCs w:val="21"/>
        </w:rPr>
        <w:t>（三）估价方法公式</w:t>
      </w:r>
      <w:r>
        <w:rPr>
          <w:rFonts w:ascii="Arial" w:hAnsi="Arial" w:cs="Arial"/>
          <w:b/>
          <w:sz w:val="21"/>
          <w:szCs w:val="21"/>
        </w:rPr>
        <w:t xml:space="preserve"> </w:t>
      </w:r>
    </w:p>
    <w:p w14:paraId="4DEB4418">
      <w:pPr>
        <w:pStyle w:val="60"/>
        <w:autoSpaceDE w:val="0"/>
        <w:autoSpaceDN w:val="0"/>
        <w:spacing w:line="480" w:lineRule="auto"/>
        <w:ind w:right="140" w:firstLine="420" w:firstLineChars="200"/>
        <w:jc w:val="both"/>
        <w:textAlignment w:val="bottom"/>
        <w:rPr>
          <w:rFonts w:ascii="Arial" w:hAnsi="Arial" w:cs="Arial"/>
          <w:sz w:val="21"/>
          <w:szCs w:val="21"/>
        </w:rPr>
      </w:pPr>
      <w:r>
        <w:rPr>
          <w:rFonts w:hint="eastAsia" w:ascii="Arial" w:hAnsi="Arial" w:cs="Arial"/>
          <w:sz w:val="21"/>
          <w:szCs w:val="21"/>
        </w:rPr>
        <w:t>比较法计算公式为：</w:t>
      </w:r>
    </w:p>
    <w:p w14:paraId="55A03671">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待估房地产租赁价格＝可比实例房地产租赁价格×（待估房地产交易情况指数/可比实例交易情况指数）×（待估房地产交易日期房地产价租赁格指数/可比实例交易日期房地产租赁价格指数）×（待估房地产</w:t>
      </w:r>
      <w:r>
        <w:rPr>
          <w:rFonts w:hint="eastAsia" w:ascii="Arial" w:hAnsi="Arial" w:cs="Arial"/>
          <w:sz w:val="21"/>
          <w:szCs w:val="21"/>
        </w:rPr>
        <w:t>项目</w:t>
      </w:r>
      <w:r>
        <w:rPr>
          <w:rFonts w:ascii="Arial" w:hAnsi="Arial" w:cs="Arial"/>
          <w:sz w:val="21"/>
          <w:szCs w:val="21"/>
        </w:rPr>
        <w:t>类型指数/可比实例</w:t>
      </w:r>
      <w:r>
        <w:rPr>
          <w:rFonts w:hint="eastAsia" w:ascii="Arial" w:hAnsi="Arial" w:cs="Arial"/>
          <w:sz w:val="21"/>
          <w:szCs w:val="21"/>
        </w:rPr>
        <w:t>项目</w:t>
      </w:r>
      <w:r>
        <w:rPr>
          <w:rFonts w:ascii="Arial" w:hAnsi="Arial" w:cs="Arial"/>
          <w:sz w:val="21"/>
          <w:szCs w:val="21"/>
        </w:rPr>
        <w:t>类型指数</w:t>
      </w:r>
      <w:r>
        <w:rPr>
          <w:rFonts w:hint="eastAsia" w:ascii="Arial" w:hAnsi="Arial" w:cs="Arial"/>
          <w:sz w:val="21"/>
          <w:szCs w:val="21"/>
        </w:rPr>
        <w:t>）</w:t>
      </w:r>
      <w:r>
        <w:rPr>
          <w:rFonts w:ascii="Arial" w:hAnsi="Arial" w:cs="Arial"/>
          <w:sz w:val="21"/>
          <w:szCs w:val="21"/>
        </w:rPr>
        <w:t>…×（待估房地产区域状况条件指数/可比实例房地产区域状况条件指数）×（待估房地产实物状况条件指数/可比实例房地产实物状况条件指数）</w:t>
      </w:r>
    </w:p>
    <w:p w14:paraId="7E557233">
      <w:pPr>
        <w:pStyle w:val="60"/>
        <w:wordWrap w:val="0"/>
        <w:overflowPunct w:val="0"/>
        <w:autoSpaceDE w:val="0"/>
        <w:autoSpaceDN w:val="0"/>
        <w:spacing w:line="480" w:lineRule="auto"/>
        <w:ind w:right="140" w:firstLine="420"/>
        <w:jc w:val="both"/>
        <w:textAlignment w:val="auto"/>
        <w:rPr>
          <w:rFonts w:ascii="Arial" w:hAnsi="Arial" w:cs="Arial"/>
          <w:sz w:val="21"/>
          <w:szCs w:val="21"/>
        </w:rPr>
      </w:pPr>
      <w:r>
        <w:rPr>
          <w:rFonts w:hint="eastAsia" w:ascii="Arial" w:hAnsi="Arial" w:cs="Arial"/>
          <w:sz w:val="21"/>
          <w:szCs w:val="21"/>
        </w:rPr>
        <w:t>具体步骤如下：</w:t>
      </w:r>
    </w:p>
    <w:p w14:paraId="2F0B16F9">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选择可比案例</w:t>
      </w:r>
    </w:p>
    <w:p w14:paraId="577D1F74">
      <w:pPr>
        <w:wordWrap w:val="0"/>
        <w:overflowPunct w:val="0"/>
        <w:spacing w:line="480" w:lineRule="auto"/>
        <w:ind w:left="780"/>
        <w:rPr>
          <w:rFonts w:ascii="Arial" w:hAnsi="Arial"/>
          <w:sz w:val="21"/>
          <w:szCs w:val="21"/>
        </w:rPr>
      </w:pPr>
      <w:r>
        <w:rPr>
          <w:rFonts w:hint="eastAsia" w:ascii="Arial" w:hAnsi="Arial"/>
          <w:sz w:val="21"/>
          <w:szCs w:val="21"/>
        </w:rPr>
        <w:t>选择比较案例时，应符合以下要求（与待估房地产比较）</w:t>
      </w:r>
    </w:p>
    <w:p w14:paraId="762C8C8A">
      <w:pPr>
        <w:wordWrap w:val="0"/>
        <w:overflowPunct w:val="0"/>
        <w:spacing w:line="480" w:lineRule="auto"/>
        <w:ind w:left="780"/>
        <w:rPr>
          <w:rFonts w:ascii="Arial" w:hAnsi="Arial"/>
          <w:sz w:val="21"/>
          <w:szCs w:val="21"/>
        </w:rPr>
      </w:pPr>
      <w:r>
        <w:rPr>
          <w:rFonts w:ascii="Arial" w:hAnsi="Arial"/>
          <w:sz w:val="21"/>
          <w:szCs w:val="21"/>
        </w:rPr>
        <w:t>1</w:t>
      </w:r>
      <w:r>
        <w:rPr>
          <w:rFonts w:hint="eastAsia" w:ascii="Arial" w:hAnsi="Arial"/>
          <w:sz w:val="21"/>
          <w:szCs w:val="21"/>
        </w:rPr>
        <w:t>）用途相同</w:t>
      </w:r>
    </w:p>
    <w:p w14:paraId="26187D73">
      <w:pPr>
        <w:wordWrap w:val="0"/>
        <w:overflowPunct w:val="0"/>
        <w:spacing w:line="480" w:lineRule="auto"/>
        <w:ind w:left="780"/>
        <w:rPr>
          <w:rFonts w:ascii="Arial" w:hAnsi="Arial"/>
          <w:sz w:val="21"/>
          <w:szCs w:val="21"/>
        </w:rPr>
      </w:pPr>
      <w:r>
        <w:rPr>
          <w:rFonts w:ascii="Arial" w:hAnsi="Arial"/>
          <w:sz w:val="21"/>
          <w:szCs w:val="21"/>
        </w:rPr>
        <w:t>2</w:t>
      </w:r>
      <w:r>
        <w:rPr>
          <w:rFonts w:hint="eastAsia" w:ascii="Arial" w:hAnsi="Arial"/>
          <w:sz w:val="21"/>
          <w:szCs w:val="21"/>
        </w:rPr>
        <w:t>）属于正常交易</w:t>
      </w:r>
    </w:p>
    <w:p w14:paraId="14916D3C">
      <w:pPr>
        <w:wordWrap w:val="0"/>
        <w:overflowPunct w:val="0"/>
        <w:spacing w:line="480" w:lineRule="auto"/>
        <w:ind w:left="780"/>
        <w:rPr>
          <w:rFonts w:ascii="Arial" w:hAnsi="Arial"/>
          <w:sz w:val="21"/>
          <w:szCs w:val="21"/>
        </w:rPr>
      </w:pPr>
      <w:r>
        <w:rPr>
          <w:rFonts w:ascii="Arial" w:hAnsi="Arial"/>
          <w:sz w:val="21"/>
          <w:szCs w:val="21"/>
        </w:rPr>
        <w:t>3</w:t>
      </w:r>
      <w:r>
        <w:rPr>
          <w:rFonts w:hint="eastAsia" w:ascii="Arial" w:hAnsi="Arial"/>
          <w:sz w:val="21"/>
          <w:szCs w:val="21"/>
        </w:rPr>
        <w:t>）房地产状况各因素相近</w:t>
      </w:r>
    </w:p>
    <w:p w14:paraId="2A186313">
      <w:pPr>
        <w:wordWrap w:val="0"/>
        <w:overflowPunct w:val="0"/>
        <w:spacing w:line="480" w:lineRule="auto"/>
        <w:ind w:left="780"/>
        <w:rPr>
          <w:rFonts w:ascii="Arial" w:hAnsi="Arial"/>
          <w:sz w:val="21"/>
          <w:szCs w:val="21"/>
        </w:rPr>
      </w:pPr>
      <w:r>
        <w:rPr>
          <w:rFonts w:ascii="Arial" w:hAnsi="Arial"/>
          <w:sz w:val="21"/>
          <w:szCs w:val="21"/>
        </w:rPr>
        <w:t>4</w:t>
      </w:r>
      <w:r>
        <w:rPr>
          <w:rFonts w:hint="eastAsia" w:ascii="Arial" w:hAnsi="Arial"/>
          <w:sz w:val="21"/>
          <w:szCs w:val="21"/>
        </w:rPr>
        <w:t>）价值时点接近</w:t>
      </w:r>
    </w:p>
    <w:p w14:paraId="049DA64C">
      <w:pPr>
        <w:wordWrap w:val="0"/>
        <w:overflowPunct w:val="0"/>
        <w:spacing w:line="480" w:lineRule="auto"/>
        <w:ind w:left="780"/>
        <w:rPr>
          <w:rFonts w:ascii="Arial" w:hAnsi="Arial"/>
          <w:sz w:val="21"/>
          <w:szCs w:val="21"/>
        </w:rPr>
      </w:pPr>
      <w:r>
        <w:rPr>
          <w:rFonts w:ascii="Arial" w:hAnsi="Arial"/>
          <w:sz w:val="21"/>
          <w:szCs w:val="21"/>
        </w:rPr>
        <w:t>5</w:t>
      </w:r>
      <w:r>
        <w:rPr>
          <w:rFonts w:hint="eastAsia" w:ascii="Arial" w:hAnsi="Arial"/>
          <w:sz w:val="21"/>
          <w:szCs w:val="21"/>
        </w:rPr>
        <w:t>）统一价格基础</w:t>
      </w:r>
    </w:p>
    <w:p w14:paraId="2F0175A5">
      <w:pPr>
        <w:pStyle w:val="60"/>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Pr>
          <w:rFonts w:hint="eastAsia" w:ascii="Arial" w:hAnsi="Arial" w:cs="Arial"/>
          <w:sz w:val="21"/>
          <w:szCs w:val="21"/>
        </w:rPr>
        <w:t>进行交易情况、交易日期、项目类型、房地产状况等因素修正</w:t>
      </w:r>
    </w:p>
    <w:p w14:paraId="51C192FC">
      <w:pPr>
        <w:pStyle w:val="60"/>
        <w:numPr>
          <w:ilvl w:val="0"/>
          <w:numId w:val="10"/>
        </w:numPr>
        <w:wordWrap w:val="0"/>
        <w:overflowPunct w:val="0"/>
        <w:autoSpaceDE w:val="0"/>
        <w:autoSpaceDN w:val="0"/>
        <w:spacing w:line="480" w:lineRule="auto"/>
        <w:ind w:right="140"/>
        <w:jc w:val="both"/>
        <w:textAlignment w:val="auto"/>
        <w:rPr>
          <w:rFonts w:hint="eastAsia" w:ascii="Arial" w:hAnsi="Arial" w:cs="Arial"/>
          <w:sz w:val="21"/>
          <w:szCs w:val="21"/>
        </w:rPr>
      </w:pPr>
      <w:r>
        <w:rPr>
          <w:rFonts w:hint="eastAsia" w:ascii="Arial" w:hAnsi="Arial" w:cs="Arial"/>
          <w:sz w:val="21"/>
          <w:szCs w:val="21"/>
        </w:rPr>
        <w:t>求取估价对象比准价格</w:t>
      </w:r>
      <w:bookmarkStart w:id="68" w:name="_Toc155267107"/>
      <w:bookmarkStart w:id="69" w:name="_Toc525655440"/>
    </w:p>
    <w:p w14:paraId="27A69DAE">
      <w:pPr>
        <w:pStyle w:val="60"/>
        <w:numPr>
          <w:numId w:val="0"/>
        </w:numPr>
        <w:wordWrap w:val="0"/>
        <w:overflowPunct w:val="0"/>
        <w:autoSpaceDE w:val="0"/>
        <w:autoSpaceDN w:val="0"/>
        <w:spacing w:line="480" w:lineRule="auto"/>
        <w:ind w:left="420" w:leftChars="0" w:right="140" w:rightChars="0"/>
        <w:jc w:val="both"/>
        <w:textAlignment w:val="auto"/>
        <w:rPr>
          <w:kern w:val="2"/>
          <w:sz w:val="21"/>
          <w:szCs w:val="21"/>
        </w:rPr>
      </w:pPr>
    </w:p>
    <w:p w14:paraId="0A30A1D8">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五、估价测算过程</w:t>
      </w:r>
      <w:bookmarkEnd w:id="68"/>
      <w:bookmarkEnd w:id="69"/>
      <w:r>
        <w:rPr>
          <w:rFonts w:hint="eastAsia" w:eastAsia="宋体"/>
          <w:kern w:val="2"/>
          <w:sz w:val="21"/>
          <w:szCs w:val="21"/>
        </w:rPr>
        <w:t xml:space="preserve">  </w:t>
      </w:r>
    </w:p>
    <w:p w14:paraId="06BD9C36">
      <w:pPr>
        <w:pStyle w:val="60"/>
        <w:autoSpaceDE w:val="0"/>
        <w:autoSpaceDN w:val="0"/>
        <w:spacing w:line="480" w:lineRule="auto"/>
        <w:ind w:right="140" w:firstLine="422" w:firstLineChars="200"/>
        <w:jc w:val="both"/>
        <w:textAlignment w:val="bottom"/>
        <w:rPr>
          <w:rFonts w:ascii="Arial" w:hAnsi="Arial" w:cs="Arial"/>
          <w:b/>
          <w:sz w:val="21"/>
          <w:szCs w:val="21"/>
        </w:rPr>
      </w:pPr>
      <w:r>
        <w:rPr>
          <w:rFonts w:hint="eastAsia" w:ascii="Arial" w:hAnsi="Arial" w:cs="Arial"/>
          <w:b/>
          <w:sz w:val="21"/>
          <w:szCs w:val="21"/>
        </w:rPr>
        <w:t>（一）标准房选取</w:t>
      </w:r>
    </w:p>
    <w:p w14:paraId="331E74B2">
      <w:pPr>
        <w:pStyle w:val="60"/>
        <w:wordWrap w:val="0"/>
        <w:overflowPunct w:val="0"/>
        <w:autoSpaceDE w:val="0"/>
        <w:autoSpaceDN w:val="0"/>
        <w:spacing w:line="480" w:lineRule="auto"/>
        <w:ind w:right="140" w:firstLine="420" w:firstLineChars="20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14:paraId="326FA988">
      <w:pPr>
        <w:pStyle w:val="60"/>
        <w:wordWrap w:val="0"/>
        <w:overflowPunct w:val="0"/>
        <w:autoSpaceDE w:val="0"/>
        <w:autoSpaceDN w:val="0"/>
        <w:snapToGrid w:val="0"/>
        <w:spacing w:line="480" w:lineRule="auto"/>
        <w:ind w:firstLine="420" w:firstLineChars="200"/>
        <w:jc w:val="both"/>
        <w:textAlignment w:val="auto"/>
        <w:rPr>
          <w:rFonts w:ascii="Arial" w:hAnsi="Arial" w:cs="Arial"/>
          <w:sz w:val="21"/>
          <w:szCs w:val="21"/>
        </w:rPr>
      </w:pPr>
      <w:r>
        <w:rPr>
          <w:rFonts w:hint="eastAsia" w:ascii="Arial" w:hAnsi="Arial" w:cs="Arial"/>
          <w:sz w:val="21"/>
          <w:szCs w:val="21"/>
        </w:rPr>
        <w:t>根据估价委托人提供的</w:t>
      </w:r>
      <w:r>
        <w:rPr>
          <w:rFonts w:hint="eastAsia" w:ascii="Arial" w:hAnsi="Arial" w:cs="Arial"/>
          <w:kern w:val="2"/>
          <w:sz w:val="21"/>
        </w:rPr>
        <w:t>《</w:t>
      </w:r>
      <w:r>
        <w:rPr>
          <w:rFonts w:hint="eastAsia" w:ascii="Arial" w:hAnsi="Arial" w:cs="Arial"/>
          <w:kern w:val="2"/>
          <w:sz w:val="21"/>
          <w:szCs w:val="21"/>
        </w:rPr>
        <w:t>估价委托书</w:t>
      </w:r>
      <w:r>
        <w:rPr>
          <w:rFonts w:hint="eastAsia" w:ascii="Arial" w:hAnsi="Arial" w:cs="Arial"/>
          <w:kern w:val="2"/>
          <w:sz w:val="21"/>
        </w:rPr>
        <w:t>》、</w:t>
      </w:r>
      <w:r>
        <w:rPr>
          <w:rFonts w:hint="eastAsia" w:ascii="Arial" w:hAnsi="Arial" w:cs="Arial"/>
          <w:sz w:val="21"/>
          <w:szCs w:val="21"/>
        </w:rPr>
        <w:t>《北京市保障性住房收购合同》及其附件，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Style w:val="33"/>
        <w:tblW w:w="94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1556"/>
        <w:gridCol w:w="1625"/>
        <w:gridCol w:w="1693"/>
        <w:gridCol w:w="1557"/>
        <w:gridCol w:w="1491"/>
        <w:gridCol w:w="1491"/>
      </w:tblGrid>
      <w:tr w14:paraId="2DA5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00C78A38">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w:t>
            </w:r>
          </w:p>
        </w:tc>
        <w:tc>
          <w:tcPr>
            <w:tcW w:w="1625" w:type="dxa"/>
          </w:tcPr>
          <w:p w14:paraId="020E4896">
            <w:pPr>
              <w:snapToGrid w:val="0"/>
              <w:spacing w:line="240" w:lineRule="exact"/>
              <w:jc w:val="center"/>
              <w:rPr>
                <w:rFonts w:ascii="Arial" w:hAnsi="Arial" w:eastAsia="华文细黑" w:cs="Arial"/>
                <w:sz w:val="18"/>
                <w:szCs w:val="18"/>
              </w:rPr>
            </w:pPr>
            <w:r>
              <w:rPr>
                <w:rFonts w:ascii="Arial" w:hAnsi="Arial" w:eastAsia="华文细黑" w:cs="Arial"/>
                <w:sz w:val="18"/>
                <w:szCs w:val="18"/>
              </w:rPr>
              <w:t>户型</w:t>
            </w:r>
          </w:p>
        </w:tc>
        <w:tc>
          <w:tcPr>
            <w:tcW w:w="1693" w:type="dxa"/>
          </w:tcPr>
          <w:p w14:paraId="7903457B">
            <w:pPr>
              <w:snapToGrid w:val="0"/>
              <w:spacing w:line="240" w:lineRule="exact"/>
              <w:jc w:val="center"/>
              <w:rPr>
                <w:rFonts w:ascii="Arial" w:hAnsi="Arial" w:eastAsia="华文细黑" w:cs="Arial"/>
                <w:sz w:val="18"/>
                <w:szCs w:val="18"/>
              </w:rPr>
            </w:pPr>
            <w:r>
              <w:rPr>
                <w:rFonts w:ascii="Arial" w:hAnsi="Arial" w:eastAsia="华文细黑" w:cs="Arial"/>
                <w:sz w:val="18"/>
                <w:szCs w:val="18"/>
              </w:rPr>
              <w:t>建筑面积（㎡）</w:t>
            </w:r>
          </w:p>
        </w:tc>
        <w:tc>
          <w:tcPr>
            <w:tcW w:w="1557" w:type="dxa"/>
          </w:tcPr>
          <w:p w14:paraId="0D8D84B8">
            <w:pPr>
              <w:snapToGrid w:val="0"/>
              <w:spacing w:line="240" w:lineRule="exact"/>
              <w:jc w:val="center"/>
              <w:rPr>
                <w:rFonts w:ascii="Arial" w:hAnsi="Arial" w:eastAsia="华文细黑" w:cs="Arial"/>
                <w:sz w:val="18"/>
                <w:szCs w:val="18"/>
              </w:rPr>
            </w:pPr>
            <w:r>
              <w:rPr>
                <w:rFonts w:ascii="Arial" w:hAnsi="Arial" w:eastAsia="华文细黑" w:cs="Arial"/>
                <w:sz w:val="18"/>
                <w:szCs w:val="18"/>
              </w:rPr>
              <w:t>朝向</w:t>
            </w:r>
          </w:p>
        </w:tc>
        <w:tc>
          <w:tcPr>
            <w:tcW w:w="1491" w:type="dxa"/>
          </w:tcPr>
          <w:p w14:paraId="092949E9">
            <w:pPr>
              <w:snapToGrid w:val="0"/>
              <w:spacing w:line="240" w:lineRule="exact"/>
              <w:jc w:val="center"/>
              <w:rPr>
                <w:rFonts w:ascii="Arial" w:hAnsi="Arial" w:eastAsia="华文细黑" w:cs="Arial"/>
                <w:sz w:val="18"/>
                <w:szCs w:val="18"/>
              </w:rPr>
            </w:pPr>
            <w:r>
              <w:rPr>
                <w:rFonts w:ascii="Arial" w:hAnsi="Arial" w:eastAsia="华文细黑" w:cs="Arial"/>
                <w:sz w:val="18"/>
                <w:szCs w:val="18"/>
              </w:rPr>
              <w:t>楼层</w:t>
            </w:r>
          </w:p>
        </w:tc>
        <w:tc>
          <w:tcPr>
            <w:tcW w:w="1491" w:type="dxa"/>
          </w:tcPr>
          <w:p w14:paraId="10051290">
            <w:pPr>
              <w:snapToGrid w:val="0"/>
              <w:spacing w:line="240" w:lineRule="exact"/>
              <w:jc w:val="center"/>
              <w:rPr>
                <w:rFonts w:ascii="Arial" w:hAnsi="Arial" w:eastAsia="华文细黑" w:cs="Arial"/>
                <w:sz w:val="18"/>
                <w:szCs w:val="18"/>
              </w:rPr>
            </w:pPr>
            <w:r>
              <w:rPr>
                <w:rFonts w:ascii="Arial" w:hAnsi="Arial" w:eastAsia="华文细黑" w:cs="Arial"/>
                <w:sz w:val="18"/>
                <w:szCs w:val="18"/>
              </w:rPr>
              <w:t>装修</w:t>
            </w:r>
          </w:p>
        </w:tc>
      </w:tr>
      <w:tr w14:paraId="457C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1229960">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标准房1</w:t>
            </w:r>
          </w:p>
        </w:tc>
        <w:tc>
          <w:tcPr>
            <w:tcW w:w="1625" w:type="dxa"/>
          </w:tcPr>
          <w:p w14:paraId="3762E665">
            <w:pPr>
              <w:snapToGrid w:val="0"/>
              <w:spacing w:line="240" w:lineRule="exact"/>
              <w:jc w:val="center"/>
              <w:rPr>
                <w:rFonts w:ascii="Arial" w:hAnsi="Arial" w:eastAsia="华文细黑" w:cs="Arial"/>
                <w:sz w:val="18"/>
                <w:szCs w:val="18"/>
              </w:rPr>
            </w:pPr>
            <w:r>
              <w:rPr>
                <w:rFonts w:ascii="Arial" w:hAnsi="Arial" w:eastAsia="华文细黑" w:cs="Arial"/>
                <w:sz w:val="18"/>
                <w:szCs w:val="18"/>
              </w:rPr>
              <w:t>一居室</w:t>
            </w:r>
          </w:p>
        </w:tc>
        <w:tc>
          <w:tcPr>
            <w:tcW w:w="1693" w:type="dxa"/>
          </w:tcPr>
          <w:p w14:paraId="682D877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62.64</w:t>
            </w:r>
          </w:p>
        </w:tc>
        <w:tc>
          <w:tcPr>
            <w:tcW w:w="1557" w:type="dxa"/>
          </w:tcPr>
          <w:p w14:paraId="35B27A62">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1B0DC424">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7A2A57F1">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3338F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59505DE5">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标准房2</w:t>
            </w:r>
          </w:p>
        </w:tc>
        <w:tc>
          <w:tcPr>
            <w:tcW w:w="1625" w:type="dxa"/>
          </w:tcPr>
          <w:p w14:paraId="7B2F08E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两</w:t>
            </w:r>
            <w:r>
              <w:rPr>
                <w:rFonts w:ascii="Arial" w:hAnsi="Arial" w:eastAsia="华文细黑" w:cs="Arial"/>
                <w:sz w:val="18"/>
                <w:szCs w:val="18"/>
              </w:rPr>
              <w:t>居室</w:t>
            </w:r>
          </w:p>
        </w:tc>
        <w:tc>
          <w:tcPr>
            <w:tcW w:w="1693" w:type="dxa"/>
          </w:tcPr>
          <w:p w14:paraId="5676A47F">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84.11</w:t>
            </w:r>
          </w:p>
        </w:tc>
        <w:tc>
          <w:tcPr>
            <w:tcW w:w="1557" w:type="dxa"/>
          </w:tcPr>
          <w:p w14:paraId="209176BA">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07848834">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0269E313">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r w14:paraId="685CB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1556" w:type="dxa"/>
          </w:tcPr>
          <w:p w14:paraId="2C159F7E">
            <w:pPr>
              <w:snapToGrid w:val="0"/>
              <w:spacing w:line="240" w:lineRule="exact"/>
              <w:jc w:val="center"/>
              <w:rPr>
                <w:rFonts w:ascii="Arial" w:hAnsi="Arial" w:eastAsia="华文细黑" w:cs="Arial"/>
                <w:sz w:val="18"/>
                <w:szCs w:val="18"/>
              </w:rPr>
            </w:pPr>
            <w:r>
              <w:rPr>
                <w:rFonts w:ascii="Arial" w:hAnsi="Arial" w:eastAsia="华文细黑" w:cs="Arial"/>
                <w:sz w:val="18"/>
                <w:szCs w:val="18"/>
              </w:rPr>
              <w:t>标准房3</w:t>
            </w:r>
          </w:p>
        </w:tc>
        <w:tc>
          <w:tcPr>
            <w:tcW w:w="1625" w:type="dxa"/>
          </w:tcPr>
          <w:p w14:paraId="54947984">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三</w:t>
            </w:r>
            <w:r>
              <w:rPr>
                <w:rFonts w:ascii="Arial" w:hAnsi="Arial" w:eastAsia="华文细黑" w:cs="Arial"/>
                <w:sz w:val="18"/>
                <w:szCs w:val="18"/>
              </w:rPr>
              <w:t>居室</w:t>
            </w:r>
          </w:p>
        </w:tc>
        <w:tc>
          <w:tcPr>
            <w:tcW w:w="1693" w:type="dxa"/>
          </w:tcPr>
          <w:p w14:paraId="5F06A780">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115.8</w:t>
            </w:r>
          </w:p>
        </w:tc>
        <w:tc>
          <w:tcPr>
            <w:tcW w:w="1557" w:type="dxa"/>
          </w:tcPr>
          <w:p w14:paraId="1D54BE95">
            <w:pPr>
              <w:snapToGrid w:val="0"/>
              <w:spacing w:line="240" w:lineRule="exact"/>
              <w:jc w:val="center"/>
              <w:rPr>
                <w:rFonts w:ascii="Arial" w:hAnsi="Arial" w:eastAsia="华文细黑" w:cs="Arial"/>
                <w:sz w:val="18"/>
                <w:szCs w:val="18"/>
              </w:rPr>
            </w:pPr>
            <w:r>
              <w:rPr>
                <w:rFonts w:hint="eastAsia" w:ascii="Arial" w:hAnsi="Arial" w:eastAsia="华文细黑" w:cs="Arial"/>
                <w:sz w:val="18"/>
                <w:szCs w:val="18"/>
              </w:rPr>
              <w:t>南北</w:t>
            </w:r>
          </w:p>
        </w:tc>
        <w:tc>
          <w:tcPr>
            <w:tcW w:w="1491" w:type="dxa"/>
          </w:tcPr>
          <w:p w14:paraId="57200EE1">
            <w:pPr>
              <w:snapToGrid w:val="0"/>
              <w:spacing w:line="240" w:lineRule="exact"/>
              <w:jc w:val="center"/>
              <w:rPr>
                <w:rFonts w:ascii="Arial" w:hAnsi="Arial" w:eastAsia="华文细黑" w:cs="Arial"/>
                <w:sz w:val="18"/>
                <w:szCs w:val="18"/>
              </w:rPr>
            </w:pPr>
            <w:r>
              <w:rPr>
                <w:rFonts w:hint="eastAsia" w:ascii="华文细黑" w:hAnsi="华文细黑" w:eastAsia="华文细黑" w:cs="Arial"/>
                <w:sz w:val="18"/>
                <w:szCs w:val="18"/>
              </w:rPr>
              <w:t>高楼层</w:t>
            </w:r>
          </w:p>
        </w:tc>
        <w:tc>
          <w:tcPr>
            <w:tcW w:w="1491" w:type="dxa"/>
          </w:tcPr>
          <w:p w14:paraId="03E7A2C9">
            <w:pPr>
              <w:snapToGrid w:val="0"/>
              <w:spacing w:line="240" w:lineRule="exact"/>
              <w:jc w:val="center"/>
              <w:rPr>
                <w:rFonts w:hint="eastAsia" w:ascii="Arial" w:hAnsi="Arial" w:eastAsia="华文细黑" w:cs="Arial"/>
                <w:sz w:val="18"/>
                <w:szCs w:val="18"/>
                <w:lang w:eastAsia="zh-CN"/>
              </w:rPr>
            </w:pPr>
            <w:r>
              <w:rPr>
                <w:rFonts w:hint="eastAsia" w:ascii="华文细黑" w:hAnsi="华文细黑" w:eastAsia="华文细黑" w:cs="Arial"/>
                <w:sz w:val="18"/>
                <w:szCs w:val="18"/>
                <w:lang w:eastAsia="zh-CN"/>
              </w:rPr>
              <w:t>中档装修</w:t>
            </w:r>
          </w:p>
        </w:tc>
      </w:tr>
    </w:tbl>
    <w:p w14:paraId="4740EB13">
      <w:pPr>
        <w:pStyle w:val="18"/>
        <w:spacing w:before="240" w:beforeLines="100" w:line="480" w:lineRule="auto"/>
        <w:ind w:firstLine="422" w:firstLineChars="200"/>
        <w:rPr>
          <w:rFonts w:ascii="Arial" w:hAnsi="Arial" w:eastAsia="宋体" w:cs="Arial"/>
          <w:sz w:val="21"/>
          <w:szCs w:val="21"/>
        </w:rPr>
      </w:pPr>
      <w:r>
        <w:rPr>
          <w:rFonts w:ascii="Arial" w:hAnsi="Arial" w:eastAsia="宋体" w:cs="Arial"/>
          <w:sz w:val="21"/>
          <w:szCs w:val="21"/>
        </w:rPr>
        <w:t>（</w:t>
      </w:r>
      <w:r>
        <w:rPr>
          <w:rFonts w:hint="eastAsia" w:ascii="Arial" w:hAnsi="Arial" w:eastAsia="宋体" w:cs="Arial"/>
          <w:sz w:val="21"/>
          <w:szCs w:val="21"/>
        </w:rPr>
        <w:t>二</w:t>
      </w:r>
      <w:r>
        <w:rPr>
          <w:rFonts w:ascii="Arial" w:hAnsi="Arial" w:eastAsia="宋体" w:cs="Arial"/>
          <w:sz w:val="21"/>
          <w:szCs w:val="21"/>
        </w:rPr>
        <w:t>）</w:t>
      </w:r>
      <w:r>
        <w:rPr>
          <w:rFonts w:hint="eastAsia" w:ascii="Arial" w:hAnsi="Arial" w:eastAsia="宋体" w:cs="Arial"/>
          <w:sz w:val="21"/>
          <w:szCs w:val="21"/>
        </w:rPr>
        <w:t>比较法测算过程</w:t>
      </w:r>
    </w:p>
    <w:p w14:paraId="20871484">
      <w:pPr>
        <w:wordWrap w:val="0"/>
        <w:overflowPunct w:val="0"/>
        <w:spacing w:line="480" w:lineRule="auto"/>
        <w:ind w:firstLine="420" w:firstLineChars="200"/>
        <w:rPr>
          <w:rFonts w:ascii="Arial" w:hAnsi="Arial" w:cs="Arial"/>
          <w:sz w:val="21"/>
          <w:szCs w:val="21"/>
        </w:rPr>
      </w:pPr>
      <w:r>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14:paraId="792AD2E8">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A.标准房1（一居室</w:t>
      </w:r>
      <w:r>
        <w:rPr>
          <w:rFonts w:hint="eastAsia" w:ascii="宋体" w:hAnsi="宋体"/>
          <w:b/>
          <w:sz w:val="21"/>
          <w:szCs w:val="21"/>
        </w:rPr>
        <w:t>标准房市场租金水平）</w:t>
      </w:r>
    </w:p>
    <w:p w14:paraId="7AEA0F01">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004E9BF8">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62C21D48">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可比实例1</w:t>
      </w:r>
      <w:r>
        <w:rPr>
          <w:rFonts w:ascii="Arial" w:hAnsi="Arial" w:cs="Arial"/>
          <w:sz w:val="21"/>
          <w:szCs w:val="21"/>
        </w:rPr>
        <w:t>：</w:t>
      </w:r>
    </w:p>
    <w:p w14:paraId="4BEA491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7603023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6C78284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58AD3BA0">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08D54644">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8F549B5">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可比实例1周边2公里内有漪景苑、埝坛华庭北区、壹品兴创颐和公馆、矿林庄小区、锦华园小区、义和庄东里等居住项目，居住小区规模适中，入住率较好，综合评价居住区成熟度较好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可比实例1</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为44.12元/平方米·月（含物业费1.1元/平方米·月、取暖费2.5元/平方米·月）。</w:t>
      </w:r>
    </w:p>
    <w:p w14:paraId="7519AEFE">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可比实例2</w:t>
      </w:r>
      <w:r>
        <w:rPr>
          <w:rFonts w:ascii="Arial" w:hAnsi="Arial" w:cs="Arial"/>
          <w:sz w:val="21"/>
          <w:szCs w:val="21"/>
        </w:rPr>
        <w:t>：</w:t>
      </w:r>
    </w:p>
    <w:p w14:paraId="755B4B6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锦华园</w:t>
      </w:r>
    </w:p>
    <w:p w14:paraId="4A693F8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大兴区义平路92号</w:t>
      </w:r>
    </w:p>
    <w:p w14:paraId="42B7216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0688E32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4C7E2EBF">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1FD43359">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w:t>
      </w:r>
      <w:r>
        <w:rPr>
          <w:rFonts w:ascii="Arial" w:hAnsi="Arial" w:cs="Arial"/>
          <w:sz w:val="21"/>
          <w:szCs w:val="21"/>
        </w:rPr>
        <w:t>2</w:t>
      </w:r>
      <w:r>
        <w:rPr>
          <w:rFonts w:hint="eastAsia" w:ascii="Arial" w:hAnsi="Arial" w:cs="Arial"/>
          <w:sz w:val="21"/>
          <w:szCs w:val="21"/>
        </w:rPr>
        <w:t>周边有义和庄北里、中骏金辉未来云城、漪景苑、埝坛华庭北区、壹品兴创颐和公馆、矿林庄小区、义和庄东里等居住项目，居住小区规模适中，入住率较好，综合评价居住区成熟度较好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w:t>
      </w:r>
      <w:r>
        <w:rPr>
          <w:rFonts w:ascii="Arial" w:hAnsi="Arial" w:cs="Arial"/>
          <w:sz w:val="21"/>
          <w:szCs w:val="21"/>
        </w:rPr>
        <w:t>2为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68.05</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为44.09元/平方米·月（含物业费1.47元/平方米·月、取暖费2.5元/平方米·月）</w:t>
      </w:r>
      <w:r>
        <w:rPr>
          <w:rFonts w:ascii="Arial" w:hAnsi="Arial" w:cs="Arial"/>
          <w:sz w:val="21"/>
          <w:szCs w:val="21"/>
        </w:rPr>
        <w:t>。</w:t>
      </w:r>
    </w:p>
    <w:p w14:paraId="2AC2AEA1">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可比实例3</w:t>
      </w:r>
      <w:r>
        <w:rPr>
          <w:rFonts w:ascii="Arial" w:hAnsi="Arial" w:cs="Arial"/>
          <w:sz w:val="21"/>
          <w:szCs w:val="21"/>
        </w:rPr>
        <w:t>：</w:t>
      </w:r>
    </w:p>
    <w:p w14:paraId="09B23367">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146AB2E3">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5C5D7858">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08DEA58F">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0820D67">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84919EE">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可比实例3周边有德贤华府、埝坛华庭西区、埝坛华庭北区等居住项目，居住小区规模适中，入住率一般，综合评价居住社区成熟度一般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可比实例3</w:t>
      </w:r>
      <w:r>
        <w:rPr>
          <w:rFonts w:ascii="Arial" w:hAnsi="Arial" w:cs="Arial"/>
          <w:sz w:val="21"/>
          <w:szCs w:val="21"/>
        </w:rPr>
        <w:t>为</w:t>
      </w:r>
      <w:r>
        <w:rPr>
          <w:rFonts w:hint="eastAsia" w:ascii="Arial" w:hAnsi="Arial" w:cs="Arial"/>
          <w:sz w:val="21"/>
          <w:szCs w:val="21"/>
        </w:rPr>
        <w:t>一</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66.16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p>
    <w:p w14:paraId="2774C6C9">
      <w:pPr>
        <w:wordWrap w:val="0"/>
        <w:overflowPunct w:val="0"/>
        <w:spacing w:line="480" w:lineRule="auto"/>
        <w:jc w:val="both"/>
        <w:rPr>
          <w:rFonts w:ascii="Arial" w:hAnsi="Arial" w:cs="Arial"/>
          <w:sz w:val="21"/>
          <w:szCs w:val="21"/>
        </w:rPr>
      </w:pPr>
      <w:r>
        <w:rPr>
          <w:rFonts w:hint="eastAsia" w:ascii="Arial" w:hAnsi="Arial" w:cs="Arial"/>
          <w:sz w:val="21"/>
          <w:szCs w:val="21"/>
        </w:rPr>
        <w:t>43.83元/平方米·月（含物业费1.56元/平方米·月、取暖费2.5元/平方米·月）</w:t>
      </w:r>
      <w:r>
        <w:rPr>
          <w:rFonts w:ascii="Arial" w:hAnsi="Arial" w:cs="Arial"/>
          <w:sz w:val="21"/>
          <w:szCs w:val="21"/>
        </w:rPr>
        <w:t>。</w:t>
      </w:r>
    </w:p>
    <w:p w14:paraId="45FAC24B">
      <w:pPr>
        <w:rPr>
          <w:rFonts w:ascii="宋体" w:hAnsi="宋体"/>
          <w:sz w:val="21"/>
          <w:szCs w:val="21"/>
        </w:rPr>
      </w:pPr>
      <w:r>
        <w:rPr>
          <w:rFonts w:hint="eastAsia" w:ascii="宋体" w:hAnsi="宋体"/>
          <w:sz w:val="21"/>
          <w:szCs w:val="21"/>
        </w:rPr>
        <w:br w:type="page"/>
      </w:r>
    </w:p>
    <w:p w14:paraId="3FFC96B4">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18E7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82E60F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064ABAF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7BF2C03C">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可比实例1</w:t>
            </w:r>
          </w:p>
        </w:tc>
        <w:tc>
          <w:tcPr>
            <w:tcW w:w="1812" w:type="dxa"/>
            <w:vAlign w:val="center"/>
          </w:tcPr>
          <w:p w14:paraId="2AC5B45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可比实例2</w:t>
            </w:r>
          </w:p>
        </w:tc>
        <w:tc>
          <w:tcPr>
            <w:tcW w:w="1815" w:type="dxa"/>
            <w:vAlign w:val="center"/>
          </w:tcPr>
          <w:p w14:paraId="7DA4088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可比实例3</w:t>
            </w:r>
          </w:p>
        </w:tc>
      </w:tr>
      <w:tr w14:paraId="216B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75925B5F">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0AC8463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1812" w:type="dxa"/>
            <w:vAlign w:val="center"/>
          </w:tcPr>
          <w:p w14:paraId="403BA6B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4B78A84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815" w:type="dxa"/>
            <w:vAlign w:val="center"/>
          </w:tcPr>
          <w:p w14:paraId="6EDCA32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48644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45DF0BFE">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18DBD7A8">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44ED0D57">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44.12</w:t>
            </w:r>
          </w:p>
        </w:tc>
        <w:tc>
          <w:tcPr>
            <w:tcW w:w="1812" w:type="dxa"/>
            <w:vAlign w:val="center"/>
          </w:tcPr>
          <w:p w14:paraId="55259D1E">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44.09</w:t>
            </w:r>
          </w:p>
        </w:tc>
        <w:tc>
          <w:tcPr>
            <w:tcW w:w="1815" w:type="dxa"/>
            <w:vAlign w:val="center"/>
          </w:tcPr>
          <w:p w14:paraId="1F0971ED">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43.83</w:t>
            </w:r>
          </w:p>
        </w:tc>
      </w:tr>
      <w:tr w14:paraId="31DED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49C72BA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78E2781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lang w:eastAsia="zh-CN"/>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2325DCB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2" w:type="dxa"/>
            <w:vAlign w:val="center"/>
          </w:tcPr>
          <w:p w14:paraId="7E90B0D7">
            <w:pPr>
              <w:spacing w:line="276" w:lineRule="auto"/>
              <w:rPr>
                <w:sz w:val="16"/>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c>
          <w:tcPr>
            <w:tcW w:w="1815" w:type="dxa"/>
            <w:vAlign w:val="center"/>
          </w:tcPr>
          <w:p w14:paraId="0FDD24F0">
            <w:pPr>
              <w:spacing w:line="276" w:lineRule="auto"/>
              <w:rPr>
                <w:sz w:val="16"/>
              </w:rPr>
            </w:pPr>
            <w:r>
              <w:rPr>
                <w:rFonts w:hint="eastAsia" w:ascii="Arial" w:hAnsi="Arial" w:cs="Arial"/>
                <w:sz w:val="16"/>
                <w:szCs w:val="18"/>
                <w:lang w:eastAsia="zh-CN"/>
              </w:rPr>
              <w:t>含房屋、家具家电使用费及租赁税费、物业费、供暖费、有线电视费，不含增值服务费、制冷费、水电费、天然气费、通信费、上网宽带费、车位使用费等</w:t>
            </w:r>
          </w:p>
        </w:tc>
      </w:tr>
      <w:tr w14:paraId="796CF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4CD1A890">
            <w:pPr>
              <w:pStyle w:val="61"/>
              <w:autoSpaceDE w:val="0"/>
              <w:autoSpaceDN w:val="0"/>
              <w:spacing w:line="240" w:lineRule="exact"/>
              <w:textAlignment w:val="bottom"/>
              <w:rPr>
                <w:rFonts w:ascii="Arial" w:hAnsi="Arial" w:cs="Arial"/>
                <w:sz w:val="16"/>
                <w:szCs w:val="18"/>
              </w:rPr>
            </w:pPr>
          </w:p>
        </w:tc>
        <w:tc>
          <w:tcPr>
            <w:tcW w:w="1812" w:type="dxa"/>
            <w:vAlign w:val="center"/>
          </w:tcPr>
          <w:p w14:paraId="223C77C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04CCC50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3EAE361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w:t>
            </w:r>
          </w:p>
        </w:tc>
        <w:tc>
          <w:tcPr>
            <w:tcW w:w="1815" w:type="dxa"/>
            <w:vAlign w:val="center"/>
          </w:tcPr>
          <w:p w14:paraId="3C5DE6D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3228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6465BB0D">
            <w:pPr>
              <w:pStyle w:val="61"/>
              <w:autoSpaceDE w:val="0"/>
              <w:autoSpaceDN w:val="0"/>
              <w:spacing w:line="240" w:lineRule="exact"/>
              <w:textAlignment w:val="bottom"/>
              <w:rPr>
                <w:rFonts w:ascii="Arial" w:hAnsi="Arial" w:cs="Arial"/>
                <w:sz w:val="16"/>
                <w:szCs w:val="18"/>
              </w:rPr>
            </w:pPr>
          </w:p>
        </w:tc>
        <w:tc>
          <w:tcPr>
            <w:tcW w:w="1812" w:type="dxa"/>
            <w:vAlign w:val="center"/>
          </w:tcPr>
          <w:p w14:paraId="2DC5C5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1734C3E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5E4CBA8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409BC02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39.77</w:t>
            </w:r>
          </w:p>
        </w:tc>
      </w:tr>
      <w:tr w14:paraId="57C0C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53C2D8F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750A6DB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2C1F2A1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429DB74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378DD8B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285FE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AA08D0C">
            <w:pPr>
              <w:pStyle w:val="61"/>
              <w:autoSpaceDE w:val="0"/>
              <w:autoSpaceDN w:val="0"/>
              <w:spacing w:line="240" w:lineRule="exact"/>
              <w:textAlignment w:val="bottom"/>
              <w:rPr>
                <w:rFonts w:ascii="Arial" w:hAnsi="Arial" w:cs="Arial"/>
                <w:sz w:val="16"/>
                <w:szCs w:val="18"/>
              </w:rPr>
            </w:pPr>
          </w:p>
        </w:tc>
        <w:tc>
          <w:tcPr>
            <w:tcW w:w="1812" w:type="dxa"/>
            <w:vAlign w:val="center"/>
          </w:tcPr>
          <w:p w14:paraId="1C4FB53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38E8C19F">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458D02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E35FE0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0C0F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32EAFB1">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3116CD9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52DA5E8B">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1E69E3EC">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5F599E0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61229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504BB74">
            <w:pPr>
              <w:pStyle w:val="61"/>
              <w:autoSpaceDE w:val="0"/>
              <w:autoSpaceDN w:val="0"/>
              <w:spacing w:line="240" w:lineRule="exact"/>
              <w:textAlignment w:val="bottom"/>
              <w:rPr>
                <w:rFonts w:ascii="Arial" w:hAnsi="Arial" w:cs="Arial"/>
                <w:sz w:val="16"/>
                <w:szCs w:val="18"/>
              </w:rPr>
            </w:pPr>
          </w:p>
        </w:tc>
        <w:tc>
          <w:tcPr>
            <w:tcW w:w="1812" w:type="dxa"/>
            <w:vAlign w:val="center"/>
          </w:tcPr>
          <w:p w14:paraId="31983FA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38CF0D2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7A38C4C5">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EE1A277">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2A36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06A635A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rPr>
              <w:t>元/㎡·月</w:t>
            </w:r>
            <w:r>
              <w:rPr>
                <w:rFonts w:ascii="Arial" w:hAnsi="Arial" w:cs="Arial"/>
                <w:sz w:val="16"/>
                <w:szCs w:val="18"/>
              </w:rPr>
              <w:t>）</w:t>
            </w:r>
          </w:p>
        </w:tc>
        <w:tc>
          <w:tcPr>
            <w:tcW w:w="1812" w:type="dxa"/>
            <w:vAlign w:val="center"/>
          </w:tcPr>
          <w:p w14:paraId="31643542">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6C5C01A9">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812" w:type="dxa"/>
            <w:vAlign w:val="center"/>
          </w:tcPr>
          <w:p w14:paraId="20B8A4A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815" w:type="dxa"/>
            <w:vAlign w:val="center"/>
          </w:tcPr>
          <w:p w14:paraId="6692A3D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39.77</w:t>
            </w:r>
          </w:p>
        </w:tc>
      </w:tr>
    </w:tbl>
    <w:p w14:paraId="71756659">
      <w:pPr>
        <w:wordWrap w:val="0"/>
        <w:overflowPunct w:val="0"/>
        <w:spacing w:line="480" w:lineRule="auto"/>
        <w:ind w:firstLine="420" w:firstLineChars="200"/>
        <w:rPr>
          <w:rFonts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33824087">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3FE446F0">
            <w:pPr>
              <w:jc w:val="center"/>
              <w:rPr>
                <w:rFonts w:ascii="华文细黑" w:hAnsi="华文细黑" w:eastAsia="华文细黑"/>
              </w:rPr>
            </w:pPr>
            <w:r>
              <w:rPr>
                <w:rFonts w:hint="eastAsia" w:ascii="华文细黑" w:hAnsi="华文细黑" w:eastAsia="华文细黑"/>
              </w:rPr>
              <w:t>实例位置</w:t>
            </w:r>
          </w:p>
        </w:tc>
      </w:tr>
      <w:tr w14:paraId="36597A2F">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26F23EA1">
            <w:pPr>
              <w:jc w:val="center"/>
              <w:rPr>
                <w:rFonts w:ascii="Calibri" w:hAnsi="Calibri"/>
              </w:rPr>
            </w:pPr>
            <w:r>
              <w:drawing>
                <wp:inline distT="0" distB="0" distL="114300" distR="114300">
                  <wp:extent cx="5869305" cy="3977640"/>
                  <wp:effectExtent l="0" t="0" r="13335"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48"/>
                          <a:stretch>
                            <a:fillRect/>
                          </a:stretch>
                        </pic:blipFill>
                        <pic:spPr>
                          <a:xfrm>
                            <a:off x="0" y="0"/>
                            <a:ext cx="5869305" cy="3977640"/>
                          </a:xfrm>
                          <a:prstGeom prst="rect">
                            <a:avLst/>
                          </a:prstGeom>
                          <a:noFill/>
                          <a:ln>
                            <a:noFill/>
                          </a:ln>
                        </pic:spPr>
                      </pic:pic>
                    </a:graphicData>
                  </a:graphic>
                </wp:inline>
              </w:drawing>
            </w:r>
          </w:p>
        </w:tc>
      </w:tr>
    </w:tbl>
    <w:p w14:paraId="21B132CB"/>
    <w:p w14:paraId="25F667CB">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78F8AC9C">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702E304">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1AA020EF">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4CC0484">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61D623BA">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6F25865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968" w:type="pct"/>
            <w:tcBorders>
              <w:top w:val="single" w:color="auto" w:sz="4" w:space="0"/>
              <w:left w:val="nil"/>
              <w:bottom w:val="single" w:color="auto" w:sz="4" w:space="0"/>
              <w:right w:val="single" w:color="auto" w:sz="4" w:space="0"/>
            </w:tcBorders>
            <w:vAlign w:val="center"/>
          </w:tcPr>
          <w:p w14:paraId="0DA077ED">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970" w:type="pct"/>
            <w:tcBorders>
              <w:top w:val="single" w:color="auto" w:sz="4" w:space="0"/>
              <w:left w:val="nil"/>
              <w:bottom w:val="single" w:color="auto" w:sz="4" w:space="0"/>
              <w:right w:val="single" w:color="auto" w:sz="4" w:space="0"/>
            </w:tcBorders>
            <w:vAlign w:val="center"/>
          </w:tcPr>
          <w:p w14:paraId="6025865A">
            <w:pPr>
              <w:widowControl/>
              <w:adjustRightInd/>
              <w:spacing w:line="240" w:lineRule="auto"/>
              <w:jc w:val="center"/>
              <w:textAlignment w:val="auto"/>
              <w:rPr>
                <w:rFonts w:ascii="Arial" w:hAnsi="Arial" w:cs="Arial"/>
                <w:sz w:val="16"/>
                <w:szCs w:val="18"/>
              </w:rPr>
            </w:pPr>
            <w:r>
              <w:rPr>
                <w:rFonts w:ascii="Arial" w:hAnsi="Arial" w:cs="Arial"/>
                <w:sz w:val="16"/>
                <w:szCs w:val="18"/>
              </w:rPr>
              <w:t>可比案例3</w:t>
            </w:r>
          </w:p>
        </w:tc>
      </w:tr>
      <w:tr w14:paraId="0808442B">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C1C3C6E">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3247060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968" w:type="pct"/>
            <w:tcBorders>
              <w:top w:val="nil"/>
              <w:left w:val="nil"/>
              <w:bottom w:val="single" w:color="auto" w:sz="4" w:space="0"/>
              <w:right w:val="single" w:color="auto" w:sz="4" w:space="0"/>
            </w:tcBorders>
            <w:vAlign w:val="center"/>
          </w:tcPr>
          <w:p w14:paraId="69BE171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3C89FA6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70" w:type="pct"/>
            <w:tcBorders>
              <w:top w:val="nil"/>
              <w:left w:val="nil"/>
              <w:bottom w:val="single" w:color="auto" w:sz="4" w:space="0"/>
              <w:right w:val="single" w:color="auto" w:sz="4" w:space="0"/>
            </w:tcBorders>
            <w:vAlign w:val="center"/>
          </w:tcPr>
          <w:p w14:paraId="1457D16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3C7A2B8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02BD580">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6CAA6BF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60FC9BC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968" w:type="pct"/>
            <w:tcBorders>
              <w:top w:val="nil"/>
              <w:left w:val="nil"/>
              <w:bottom w:val="single" w:color="auto" w:sz="4" w:space="0"/>
              <w:right w:val="single" w:color="auto" w:sz="4" w:space="0"/>
            </w:tcBorders>
            <w:vAlign w:val="center"/>
          </w:tcPr>
          <w:p w14:paraId="55EFF76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970" w:type="pct"/>
            <w:tcBorders>
              <w:top w:val="nil"/>
              <w:left w:val="nil"/>
              <w:bottom w:val="single" w:color="auto" w:sz="4" w:space="0"/>
              <w:right w:val="single" w:color="auto" w:sz="4" w:space="0"/>
            </w:tcBorders>
            <w:vAlign w:val="center"/>
          </w:tcPr>
          <w:p w14:paraId="71F4194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39.77</w:t>
            </w:r>
          </w:p>
        </w:tc>
      </w:tr>
      <w:tr w14:paraId="29F66871">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5E4D48D">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26BAFE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6EBDFBA5">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096BE76D">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0B99E517">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4023F758">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6D117CA8">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52E82F6B">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306FF569">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5226994E">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2DD42F36">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1C902CA5">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ED4C4CF">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038F0AE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21A0E6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34B3CBA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709844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552852AC">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620D709C">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38A5F321">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516D066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估价对象周边2公里内有德贤华府、兴水家园、漪景园、矿林庄小区、锦华园小区、义和庄东里等居住项目，居住小区规模适中，入住率较好，综合评价居住社区成熟度较好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5E9AF62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79E22F7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7544381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7466E753">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6F8709F">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40538F7">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57670DD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c>
          <w:tcPr>
            <w:tcW w:w="968" w:type="pct"/>
            <w:tcBorders>
              <w:top w:val="nil"/>
              <w:left w:val="nil"/>
              <w:bottom w:val="single" w:color="auto" w:sz="4" w:space="0"/>
              <w:right w:val="single" w:color="auto" w:sz="4" w:space="0"/>
            </w:tcBorders>
            <w:vAlign w:val="center"/>
          </w:tcPr>
          <w:p w14:paraId="278B784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2C912C7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58634BF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066C0DB6">
        <w:tblPrEx>
          <w:tblCellMar>
            <w:top w:w="0" w:type="dxa"/>
            <w:left w:w="108" w:type="dxa"/>
            <w:bottom w:w="0" w:type="dxa"/>
            <w:right w:w="108" w:type="dxa"/>
          </w:tblCellMar>
        </w:tblPrEx>
        <w:trPr>
          <w:trHeight w:val="90"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AC540C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C5211A4">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237B9F2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5894E48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631098B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0EC0684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49BC898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A56A3E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8DADC3C">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2F3FEBC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周边1公里内有456路、827路、829路、840路、兴11路、兴21路等公交线路途径并设立站点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4245D0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0B5F344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5E64527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6A81AED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0F5DCC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322E5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7CDC958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35627993">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1DDEC22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05CB7CD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40CA5D7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C1DE479">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1D2B26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3B13C97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估价对象周边2公里有念坛公园、兴良路公园、永定公园、小龙河等自然景观，有首都医科大学（大兴校区）、金隅高新产业园等人文环境、综合评价自然与人文环境较好</w:t>
            </w:r>
          </w:p>
        </w:tc>
        <w:tc>
          <w:tcPr>
            <w:tcW w:w="968" w:type="pct"/>
            <w:tcBorders>
              <w:top w:val="nil"/>
              <w:left w:val="nil"/>
              <w:bottom w:val="single" w:color="auto" w:sz="4" w:space="0"/>
              <w:right w:val="single" w:color="auto" w:sz="4" w:space="0"/>
            </w:tcBorders>
            <w:vAlign w:val="center"/>
          </w:tcPr>
          <w:p w14:paraId="01252B0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09F19AD8">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14CE1362">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04EE8AF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E6FC18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05F675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370CBA5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7E5582DA">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3189F0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13ECF7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0A6C1EB3">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E570FB5">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D027FF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63F5536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龙湖北京大兴天街、北京明发广场等商业场所；有北京市邮政学校、北京育才学校（大兴分校）、新星双语艺术幼儿园等教育机构，有北京市大兴区心康医院、天宫院街道社区卫生服务中心等医疗机构；有中国银行、中国工商银行等金融网点，公共配套设施状况较好</w:t>
            </w:r>
          </w:p>
        </w:tc>
        <w:tc>
          <w:tcPr>
            <w:tcW w:w="968" w:type="pct"/>
            <w:tcBorders>
              <w:top w:val="nil"/>
              <w:left w:val="nil"/>
              <w:bottom w:val="single" w:color="auto" w:sz="4" w:space="0"/>
              <w:right w:val="single" w:color="auto" w:sz="4" w:space="0"/>
            </w:tcBorders>
            <w:vAlign w:val="center"/>
          </w:tcPr>
          <w:p w14:paraId="558D29F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23901EF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6B006D4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6BAC0B3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0E2629C">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7EDF39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3EA761B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365D871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3D1492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5935452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051EEB94">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2363EF4">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619DCB3">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934928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0E4F95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B3D507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3A4506B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2AAA4578">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0E404B7C">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39C88CC">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3738CF2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196FEB3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w:t>
            </w:r>
          </w:p>
        </w:tc>
        <w:tc>
          <w:tcPr>
            <w:tcW w:w="968" w:type="pct"/>
            <w:tcBorders>
              <w:top w:val="nil"/>
              <w:left w:val="nil"/>
              <w:bottom w:val="single" w:color="auto" w:sz="4" w:space="0"/>
              <w:right w:val="single" w:color="auto" w:sz="4" w:space="0"/>
            </w:tcBorders>
            <w:vAlign w:val="center"/>
          </w:tcPr>
          <w:p w14:paraId="759FE4A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12142A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1EBEFA2B">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6137E6F5">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38A42117">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0B96524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20DEA53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1873FBE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3493A21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27D8FD2C">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F900FFA">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4C1A0D1">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968" w:type="pct"/>
            <w:tcBorders>
              <w:top w:val="single" w:color="auto" w:sz="4" w:space="0"/>
              <w:left w:val="nil"/>
              <w:bottom w:val="single" w:color="auto" w:sz="4" w:space="0"/>
              <w:right w:val="single" w:color="auto" w:sz="4" w:space="0"/>
            </w:tcBorders>
            <w:vAlign w:val="center"/>
          </w:tcPr>
          <w:p w14:paraId="434358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099B9A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3182477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6DFD41F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1D6926A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A754372">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FA94AAD">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968" w:type="pct"/>
            <w:tcBorders>
              <w:top w:val="single" w:color="auto" w:sz="4" w:space="0"/>
              <w:left w:val="nil"/>
              <w:bottom w:val="single" w:color="auto" w:sz="4" w:space="0"/>
              <w:right w:val="single" w:color="auto" w:sz="4" w:space="0"/>
            </w:tcBorders>
            <w:vAlign w:val="center"/>
          </w:tcPr>
          <w:p w14:paraId="6CA295A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34541A7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68" w:type="pct"/>
            <w:tcBorders>
              <w:top w:val="single" w:color="auto" w:sz="4" w:space="0"/>
              <w:left w:val="nil"/>
              <w:bottom w:val="single" w:color="auto" w:sz="4" w:space="0"/>
              <w:right w:val="single" w:color="auto" w:sz="4" w:space="0"/>
            </w:tcBorders>
            <w:vAlign w:val="center"/>
          </w:tcPr>
          <w:p w14:paraId="1987DE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970" w:type="pct"/>
            <w:tcBorders>
              <w:top w:val="single" w:color="auto" w:sz="4" w:space="0"/>
              <w:left w:val="nil"/>
              <w:bottom w:val="single" w:color="auto" w:sz="4" w:space="0"/>
              <w:right w:val="single" w:color="auto" w:sz="4" w:space="0"/>
            </w:tcBorders>
            <w:vAlign w:val="center"/>
          </w:tcPr>
          <w:p w14:paraId="0C7C73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1811633">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65FCFDB4">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59DDA34">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03C8C16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47AF5A77">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D2E51D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5073B76">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536425D4">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03D97C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5F5047D">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63B9FCA9">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711EC3A5">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4444927E">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15B4C7DD">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2CEF721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40C06DD">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C7025C1">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15650B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60880A8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68" w:type="pct"/>
            <w:tcBorders>
              <w:top w:val="single" w:color="auto" w:sz="4" w:space="0"/>
              <w:left w:val="nil"/>
              <w:bottom w:val="single" w:color="auto" w:sz="4" w:space="0"/>
              <w:right w:val="single" w:color="auto" w:sz="4" w:space="0"/>
            </w:tcBorders>
            <w:vAlign w:val="center"/>
          </w:tcPr>
          <w:p w14:paraId="5E09693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c>
          <w:tcPr>
            <w:tcW w:w="970" w:type="pct"/>
            <w:tcBorders>
              <w:top w:val="single" w:color="auto" w:sz="4" w:space="0"/>
              <w:left w:val="nil"/>
              <w:bottom w:val="single" w:color="auto" w:sz="4" w:space="0"/>
              <w:right w:val="single" w:color="auto" w:sz="4" w:space="0"/>
            </w:tcBorders>
            <w:vAlign w:val="center"/>
          </w:tcPr>
          <w:p w14:paraId="2A1619F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一居室</w:t>
            </w:r>
          </w:p>
        </w:tc>
      </w:tr>
      <w:tr w14:paraId="023DA3E1">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8F90098">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398CD6B">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180D41A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4F9BD3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2818FAD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615B2F9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1FB8F288">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1C4910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CFDA745">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6A06E31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60.49</w:t>
            </w:r>
          </w:p>
        </w:tc>
        <w:tc>
          <w:tcPr>
            <w:tcW w:w="968" w:type="pct"/>
            <w:tcBorders>
              <w:top w:val="single" w:color="auto" w:sz="4" w:space="0"/>
              <w:left w:val="nil"/>
              <w:bottom w:val="single" w:color="auto" w:sz="4" w:space="0"/>
              <w:right w:val="single" w:color="auto" w:sz="4" w:space="0"/>
            </w:tcBorders>
            <w:vAlign w:val="center"/>
          </w:tcPr>
          <w:p w14:paraId="2543188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w:t>
            </w:r>
          </w:p>
        </w:tc>
        <w:tc>
          <w:tcPr>
            <w:tcW w:w="968" w:type="pct"/>
            <w:tcBorders>
              <w:top w:val="single" w:color="auto" w:sz="4" w:space="0"/>
              <w:left w:val="nil"/>
              <w:bottom w:val="single" w:color="auto" w:sz="4" w:space="0"/>
              <w:right w:val="single" w:color="auto" w:sz="4" w:space="0"/>
            </w:tcBorders>
            <w:vAlign w:val="center"/>
          </w:tcPr>
          <w:p w14:paraId="1A11338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68.05</w:t>
            </w:r>
          </w:p>
        </w:tc>
        <w:tc>
          <w:tcPr>
            <w:tcW w:w="970" w:type="pct"/>
            <w:tcBorders>
              <w:top w:val="single" w:color="auto" w:sz="4" w:space="0"/>
              <w:left w:val="nil"/>
              <w:bottom w:val="single" w:color="auto" w:sz="4" w:space="0"/>
              <w:right w:val="single" w:color="auto" w:sz="4" w:space="0"/>
            </w:tcBorders>
            <w:vAlign w:val="center"/>
          </w:tcPr>
          <w:p w14:paraId="20F2DA9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66.16</w:t>
            </w:r>
          </w:p>
        </w:tc>
      </w:tr>
      <w:tr w14:paraId="7FB93C3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53D01C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07B10BA">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968" w:type="pct"/>
            <w:tcBorders>
              <w:top w:val="single" w:color="auto" w:sz="4" w:space="0"/>
              <w:left w:val="nil"/>
              <w:bottom w:val="single" w:color="auto" w:sz="4" w:space="0"/>
              <w:right w:val="single" w:color="auto" w:sz="4" w:space="0"/>
            </w:tcBorders>
            <w:vAlign w:val="center"/>
          </w:tcPr>
          <w:p w14:paraId="6C3DA80D">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968" w:type="pct"/>
            <w:tcBorders>
              <w:top w:val="single" w:color="auto" w:sz="4" w:space="0"/>
              <w:left w:val="nil"/>
              <w:bottom w:val="single" w:color="auto" w:sz="4" w:space="0"/>
              <w:right w:val="single" w:color="auto" w:sz="4" w:space="0"/>
            </w:tcBorders>
            <w:vAlign w:val="center"/>
          </w:tcPr>
          <w:p w14:paraId="1464FDED">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68" w:type="pct"/>
            <w:tcBorders>
              <w:top w:val="single" w:color="auto" w:sz="4" w:space="0"/>
              <w:left w:val="nil"/>
              <w:bottom w:val="single" w:color="auto" w:sz="4" w:space="0"/>
              <w:right w:val="single" w:color="auto" w:sz="4" w:space="0"/>
            </w:tcBorders>
            <w:vAlign w:val="center"/>
          </w:tcPr>
          <w:p w14:paraId="016E22AD">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970" w:type="pct"/>
            <w:tcBorders>
              <w:top w:val="single" w:color="auto" w:sz="4" w:space="0"/>
              <w:left w:val="nil"/>
              <w:bottom w:val="single" w:color="auto" w:sz="4" w:space="0"/>
              <w:right w:val="single" w:color="auto" w:sz="4" w:space="0"/>
            </w:tcBorders>
            <w:vAlign w:val="center"/>
          </w:tcPr>
          <w:p w14:paraId="7934F573">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0709A38C">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004887C4">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798D2611">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36FA5F67">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3E2AB2A2">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713BDE2">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1B683017">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12AACFCF">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7D3E663">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73A241B">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4C87E5DE">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48A491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823EB14">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34FE1650">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3DF2FC62">
      <w:pPr>
        <w:overflowPunct w:val="0"/>
        <w:spacing w:line="480" w:lineRule="auto"/>
        <w:ind w:firstLine="420" w:firstLineChars="200"/>
        <w:jc w:val="center"/>
        <w:rPr>
          <w:rFonts w:ascii="Arial" w:hAnsi="Arial"/>
          <w:sz w:val="21"/>
          <w:szCs w:val="21"/>
        </w:rPr>
      </w:pPr>
    </w:p>
    <w:p w14:paraId="2DC920AE">
      <w:pPr>
        <w:overflowPunct w:val="0"/>
        <w:spacing w:line="480" w:lineRule="auto"/>
        <w:ind w:firstLine="420" w:firstLineChars="200"/>
        <w:jc w:val="center"/>
        <w:rPr>
          <w:rFonts w:ascii="Arial" w:hAnsi="Arial"/>
          <w:sz w:val="21"/>
          <w:szCs w:val="21"/>
        </w:rPr>
      </w:pPr>
    </w:p>
    <w:p w14:paraId="17F78E54">
      <w:pPr>
        <w:overflowPunct w:val="0"/>
        <w:spacing w:line="480" w:lineRule="auto"/>
        <w:ind w:firstLine="420" w:firstLineChars="200"/>
        <w:jc w:val="center"/>
        <w:rPr>
          <w:rFonts w:ascii="Arial" w:hAnsi="Arial"/>
          <w:sz w:val="21"/>
          <w:szCs w:val="21"/>
        </w:rPr>
      </w:pPr>
    </w:p>
    <w:p w14:paraId="0F1BDB33">
      <w:pPr>
        <w:overflowPunct w:val="0"/>
        <w:spacing w:line="480" w:lineRule="auto"/>
        <w:ind w:firstLine="420" w:firstLineChars="200"/>
        <w:jc w:val="center"/>
        <w:rPr>
          <w:rFonts w:ascii="Arial" w:hAnsi="Arial"/>
          <w:sz w:val="21"/>
          <w:szCs w:val="21"/>
        </w:rPr>
      </w:pPr>
    </w:p>
    <w:p w14:paraId="3AB4ED39">
      <w:pPr>
        <w:overflowPunct w:val="0"/>
        <w:spacing w:line="480" w:lineRule="auto"/>
        <w:ind w:firstLine="420" w:firstLineChars="200"/>
        <w:jc w:val="center"/>
        <w:rPr>
          <w:rFonts w:ascii="Arial" w:hAnsi="Arial"/>
          <w:sz w:val="21"/>
          <w:szCs w:val="21"/>
        </w:rPr>
      </w:pPr>
    </w:p>
    <w:p w14:paraId="49FD784D">
      <w:pPr>
        <w:overflowPunct w:val="0"/>
        <w:spacing w:line="480" w:lineRule="auto"/>
        <w:ind w:firstLine="420" w:firstLineChars="200"/>
        <w:jc w:val="center"/>
        <w:rPr>
          <w:rFonts w:ascii="Arial" w:hAnsi="Arial"/>
          <w:sz w:val="21"/>
          <w:szCs w:val="21"/>
        </w:rPr>
      </w:pPr>
    </w:p>
    <w:p w14:paraId="1BFCFE96">
      <w:pPr>
        <w:overflowPunct w:val="0"/>
        <w:spacing w:line="480" w:lineRule="auto"/>
        <w:ind w:firstLine="420" w:firstLineChars="200"/>
        <w:jc w:val="center"/>
        <w:rPr>
          <w:rFonts w:ascii="Arial" w:hAnsi="Arial"/>
          <w:sz w:val="21"/>
          <w:szCs w:val="21"/>
        </w:rPr>
      </w:pPr>
    </w:p>
    <w:p w14:paraId="53BF8773">
      <w:pPr>
        <w:overflowPunct w:val="0"/>
        <w:spacing w:line="480" w:lineRule="auto"/>
        <w:ind w:firstLine="420" w:firstLineChars="200"/>
        <w:jc w:val="center"/>
        <w:rPr>
          <w:rFonts w:ascii="Arial" w:hAnsi="Arial"/>
          <w:sz w:val="21"/>
          <w:szCs w:val="21"/>
        </w:rPr>
      </w:pPr>
    </w:p>
    <w:p w14:paraId="75BC2123">
      <w:pPr>
        <w:overflowPunct w:val="0"/>
        <w:spacing w:line="480" w:lineRule="auto"/>
        <w:ind w:firstLine="420" w:firstLineChars="200"/>
        <w:jc w:val="center"/>
        <w:rPr>
          <w:rFonts w:ascii="Arial" w:hAnsi="Arial"/>
          <w:sz w:val="21"/>
          <w:szCs w:val="21"/>
        </w:rPr>
      </w:pPr>
    </w:p>
    <w:p w14:paraId="4D503E2A">
      <w:pPr>
        <w:wordWrap w:val="0"/>
        <w:overflowPunct w:val="0"/>
        <w:spacing w:line="480" w:lineRule="auto"/>
        <w:rPr>
          <w:rFonts w:ascii="Arial" w:hAnsi="Arial"/>
          <w:sz w:val="21"/>
          <w:szCs w:val="21"/>
        </w:rPr>
      </w:pPr>
    </w:p>
    <w:p w14:paraId="1A6DB43E">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7DA85FF9">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3F76CF2A">
      <w:pPr>
        <w:overflowPunct w:val="0"/>
        <w:spacing w:line="480" w:lineRule="auto"/>
        <w:ind w:firstLine="420" w:firstLineChars="200"/>
        <w:jc w:val="center"/>
        <w:rPr>
          <w:rFonts w:ascii="Arial" w:hAnsi="Arial"/>
          <w:sz w:val="21"/>
          <w:szCs w:val="21"/>
        </w:rPr>
      </w:pPr>
      <w:r>
        <w:rPr>
          <w:rFonts w:hint="eastAsia" w:ascii="Arial" w:hAnsi="Arial"/>
          <w:sz w:val="21"/>
          <w:szCs w:val="21"/>
        </w:rPr>
        <w:t>埝坛华庭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70"/>
        <w:gridCol w:w="996"/>
        <w:gridCol w:w="988"/>
        <w:gridCol w:w="988"/>
        <w:gridCol w:w="988"/>
        <w:gridCol w:w="988"/>
        <w:gridCol w:w="3775"/>
      </w:tblGrid>
      <w:tr w14:paraId="7BA8783E">
        <w:tblPrEx>
          <w:tblCellMar>
            <w:top w:w="57" w:type="dxa"/>
            <w:left w:w="57" w:type="dxa"/>
            <w:bottom w:w="57" w:type="dxa"/>
            <w:right w:w="57" w:type="dxa"/>
          </w:tblCellMar>
        </w:tblPrEx>
        <w:trPr>
          <w:trHeight w:val="20" w:hRule="atLeast"/>
          <w:tblHeader/>
          <w:jc w:val="center"/>
        </w:trPr>
        <w:tc>
          <w:tcPr>
            <w:tcW w:w="843"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BF653E7">
            <w:pPr>
              <w:snapToGrid w:val="0"/>
              <w:spacing w:line="240" w:lineRule="exact"/>
              <w:jc w:val="right"/>
              <w:rPr>
                <w:rFonts w:ascii="宋体" w:hAnsi="宋体" w:cs="Arial"/>
                <w:sz w:val="16"/>
                <w:szCs w:val="18"/>
              </w:rPr>
            </w:pPr>
            <w:r>
              <w:rPr>
                <w:rFonts w:ascii="宋体" w:hAnsi="宋体" w:cs="Arial"/>
                <w:sz w:val="16"/>
                <w:szCs w:val="18"/>
              </w:rPr>
              <w:t>估价对象及</w:t>
            </w:r>
          </w:p>
          <w:p w14:paraId="43FD8FFF">
            <w:pPr>
              <w:snapToGrid w:val="0"/>
              <w:spacing w:line="240" w:lineRule="exact"/>
              <w:jc w:val="right"/>
              <w:rPr>
                <w:rFonts w:ascii="宋体" w:hAnsi="宋体" w:cs="Arial"/>
                <w:sz w:val="16"/>
                <w:szCs w:val="18"/>
              </w:rPr>
            </w:pPr>
            <w:r>
              <w:rPr>
                <w:rFonts w:ascii="宋体" w:hAnsi="宋体" w:cs="Arial"/>
                <w:sz w:val="16"/>
                <w:szCs w:val="18"/>
              </w:rPr>
              <w:t>可比实例</w:t>
            </w:r>
          </w:p>
          <w:p w14:paraId="718A039F">
            <w:pPr>
              <w:snapToGrid w:val="0"/>
              <w:spacing w:line="240" w:lineRule="exact"/>
              <w:jc w:val="both"/>
              <w:rPr>
                <w:rFonts w:ascii="宋体" w:hAnsi="宋体" w:cs="Arial"/>
                <w:sz w:val="16"/>
                <w:szCs w:val="18"/>
              </w:rPr>
            </w:pPr>
          </w:p>
          <w:p w14:paraId="56B9F0BC">
            <w:pPr>
              <w:snapToGrid w:val="0"/>
              <w:spacing w:line="240" w:lineRule="exact"/>
              <w:jc w:val="both"/>
              <w:rPr>
                <w:rFonts w:ascii="宋体" w:hAnsi="宋体" w:cs="Arial"/>
                <w:sz w:val="16"/>
                <w:szCs w:val="18"/>
              </w:rPr>
            </w:pPr>
          </w:p>
          <w:p w14:paraId="36552D72">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7CBD3D63">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02E8EA0B">
            <w:pPr>
              <w:snapToGrid w:val="0"/>
              <w:spacing w:line="240" w:lineRule="exact"/>
              <w:jc w:val="both"/>
              <w:rPr>
                <w:rFonts w:ascii="宋体" w:hAnsi="宋体" w:cs="Arial"/>
                <w:sz w:val="16"/>
                <w:szCs w:val="18"/>
              </w:rPr>
            </w:pPr>
            <w:r>
              <w:rPr>
                <w:rFonts w:ascii="宋体" w:hAnsi="宋体" w:cs="Arial"/>
                <w:sz w:val="16"/>
                <w:szCs w:val="18"/>
              </w:rPr>
              <w:t>可比实例1</w:t>
            </w:r>
          </w:p>
        </w:tc>
        <w:tc>
          <w:tcPr>
            <w:tcW w:w="531" w:type="pct"/>
            <w:tcBorders>
              <w:top w:val="single" w:color="auto" w:sz="4" w:space="0"/>
              <w:left w:val="nil"/>
              <w:bottom w:val="single" w:color="auto" w:sz="4" w:space="0"/>
              <w:right w:val="single" w:color="auto" w:sz="4" w:space="0"/>
            </w:tcBorders>
            <w:vAlign w:val="center"/>
          </w:tcPr>
          <w:p w14:paraId="3C674AD7">
            <w:pPr>
              <w:snapToGrid w:val="0"/>
              <w:spacing w:line="240" w:lineRule="exact"/>
              <w:jc w:val="both"/>
              <w:rPr>
                <w:rFonts w:ascii="宋体" w:hAnsi="宋体" w:cs="Arial"/>
                <w:sz w:val="16"/>
                <w:szCs w:val="18"/>
              </w:rPr>
            </w:pPr>
            <w:r>
              <w:rPr>
                <w:rFonts w:ascii="宋体" w:hAnsi="宋体" w:cs="Arial"/>
                <w:sz w:val="16"/>
                <w:szCs w:val="18"/>
              </w:rPr>
              <w:t>可比实例2</w:t>
            </w:r>
          </w:p>
        </w:tc>
        <w:tc>
          <w:tcPr>
            <w:tcW w:w="531" w:type="pct"/>
            <w:tcBorders>
              <w:top w:val="single" w:color="auto" w:sz="4" w:space="0"/>
              <w:left w:val="nil"/>
              <w:bottom w:val="single" w:color="auto" w:sz="4" w:space="0"/>
              <w:right w:val="single" w:color="auto" w:sz="4" w:space="0"/>
            </w:tcBorders>
            <w:vAlign w:val="center"/>
          </w:tcPr>
          <w:p w14:paraId="61AEDF57">
            <w:pPr>
              <w:snapToGrid w:val="0"/>
              <w:spacing w:line="240" w:lineRule="exact"/>
              <w:jc w:val="both"/>
              <w:rPr>
                <w:rFonts w:ascii="宋体" w:hAnsi="宋体" w:cs="Arial"/>
                <w:sz w:val="16"/>
                <w:szCs w:val="18"/>
              </w:rPr>
            </w:pPr>
            <w:r>
              <w:rPr>
                <w:rFonts w:ascii="宋体" w:hAnsi="宋体" w:cs="Arial"/>
                <w:sz w:val="16"/>
                <w:szCs w:val="18"/>
              </w:rPr>
              <w:t>可比实例3</w:t>
            </w:r>
          </w:p>
        </w:tc>
        <w:tc>
          <w:tcPr>
            <w:tcW w:w="2030" w:type="pct"/>
            <w:tcBorders>
              <w:top w:val="single" w:color="auto" w:sz="4" w:space="0"/>
              <w:left w:val="nil"/>
              <w:bottom w:val="single" w:color="auto" w:sz="4" w:space="0"/>
              <w:right w:val="single" w:color="auto" w:sz="4" w:space="0"/>
            </w:tcBorders>
            <w:vAlign w:val="center"/>
          </w:tcPr>
          <w:p w14:paraId="0CBAF728">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46940F09">
        <w:tblPrEx>
          <w:tblCellMar>
            <w:top w:w="57" w:type="dxa"/>
            <w:left w:w="57" w:type="dxa"/>
            <w:bottom w:w="57" w:type="dxa"/>
            <w:right w:w="57" w:type="dxa"/>
          </w:tblCellMar>
        </w:tblPrEx>
        <w:trPr>
          <w:trHeight w:val="20" w:hRule="atLeast"/>
          <w:tblHeader/>
          <w:jc w:val="center"/>
        </w:trPr>
        <w:tc>
          <w:tcPr>
            <w:tcW w:w="843" w:type="pct"/>
            <w:gridSpan w:val="2"/>
            <w:vMerge w:val="continue"/>
            <w:tcBorders>
              <w:top w:val="single" w:color="auto" w:sz="4" w:space="0"/>
              <w:left w:val="single" w:color="auto" w:sz="4" w:space="0"/>
              <w:bottom w:val="single" w:color="000000" w:sz="4" w:space="0"/>
              <w:right w:val="single" w:color="000000" w:sz="4" w:space="0"/>
            </w:tcBorders>
            <w:vAlign w:val="center"/>
          </w:tcPr>
          <w:p w14:paraId="0919E401">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414CA90B">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988" w:type="dxa"/>
            <w:tcBorders>
              <w:top w:val="nil"/>
              <w:left w:val="nil"/>
              <w:bottom w:val="single" w:color="auto" w:sz="4" w:space="0"/>
              <w:right w:val="single" w:color="auto" w:sz="4" w:space="0"/>
            </w:tcBorders>
            <w:vAlign w:val="center"/>
          </w:tcPr>
          <w:p w14:paraId="34FDEB0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88" w:type="dxa"/>
            <w:tcBorders>
              <w:top w:val="nil"/>
              <w:left w:val="nil"/>
              <w:bottom w:val="single" w:color="auto" w:sz="4" w:space="0"/>
              <w:right w:val="single" w:color="auto" w:sz="4" w:space="0"/>
            </w:tcBorders>
            <w:vAlign w:val="center"/>
          </w:tcPr>
          <w:p w14:paraId="0C2F4CA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988" w:type="dxa"/>
            <w:tcBorders>
              <w:top w:val="nil"/>
              <w:left w:val="nil"/>
              <w:bottom w:val="single" w:color="auto" w:sz="4" w:space="0"/>
              <w:right w:val="single" w:color="auto" w:sz="4" w:space="0"/>
            </w:tcBorders>
            <w:vAlign w:val="center"/>
          </w:tcPr>
          <w:p w14:paraId="0D9D8BD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0" w:type="pct"/>
            <w:tcBorders>
              <w:top w:val="nil"/>
              <w:left w:val="nil"/>
              <w:bottom w:val="single" w:color="auto" w:sz="4" w:space="0"/>
              <w:right w:val="single" w:color="auto" w:sz="4" w:space="0"/>
            </w:tcBorders>
            <w:vAlign w:val="center"/>
          </w:tcPr>
          <w:p w14:paraId="7009E49B">
            <w:pPr>
              <w:snapToGrid w:val="0"/>
              <w:spacing w:line="240" w:lineRule="exact"/>
              <w:jc w:val="both"/>
              <w:rPr>
                <w:rFonts w:ascii="宋体" w:hAnsi="宋体" w:cs="Arial"/>
                <w:sz w:val="16"/>
                <w:szCs w:val="18"/>
              </w:rPr>
            </w:pPr>
            <w:r>
              <w:rPr>
                <w:rFonts w:ascii="宋体" w:hAnsi="宋体" w:cs="Arial"/>
                <w:sz w:val="16"/>
                <w:szCs w:val="18"/>
              </w:rPr>
              <w:t>——</w:t>
            </w:r>
          </w:p>
        </w:tc>
      </w:tr>
      <w:tr w14:paraId="0639C005">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000000" w:sz="4" w:space="0"/>
            </w:tcBorders>
            <w:vAlign w:val="center"/>
          </w:tcPr>
          <w:p w14:paraId="3911A882">
            <w:pPr>
              <w:snapToGrid w:val="0"/>
              <w:spacing w:line="240" w:lineRule="exact"/>
              <w:jc w:val="both"/>
              <w:rPr>
                <w:rFonts w:ascii="宋体" w:hAnsi="宋体" w:cs="Arial"/>
                <w:sz w:val="16"/>
                <w:szCs w:val="18"/>
              </w:rPr>
            </w:pPr>
            <w:r>
              <w:rPr>
                <w:rFonts w:ascii="宋体" w:hAnsi="宋体" w:cs="Arial"/>
                <w:sz w:val="16"/>
                <w:szCs w:val="18"/>
              </w:rPr>
              <w:t>确定的租金价格（</w:t>
            </w:r>
            <w:r>
              <w:rPr>
                <w:rStyle w:val="40"/>
              </w:rPr>
              <w:commentReference w:id="9"/>
            </w:r>
            <w:r>
              <w:rPr>
                <w:rFonts w:hint="eastAsia" w:ascii="宋体" w:hAnsi="宋体" w:cs="Arial"/>
                <w:sz w:val="16"/>
                <w:szCs w:val="18"/>
                <w:lang w:eastAsia="zh-CN"/>
              </w:rPr>
              <w:t>元/平方米·月</w:t>
            </w:r>
            <w:r>
              <w:rPr>
                <w:rFonts w:ascii="宋体" w:hAnsi="宋体" w:cs="Arial"/>
                <w:sz w:val="16"/>
                <w:szCs w:val="18"/>
              </w:rPr>
              <w:t>）</w:t>
            </w:r>
          </w:p>
        </w:tc>
        <w:tc>
          <w:tcPr>
            <w:tcW w:w="531" w:type="pct"/>
            <w:tcBorders>
              <w:top w:val="nil"/>
              <w:left w:val="nil"/>
              <w:bottom w:val="single" w:color="auto" w:sz="4" w:space="0"/>
              <w:right w:val="single" w:color="auto" w:sz="4" w:space="0"/>
            </w:tcBorders>
            <w:noWrap/>
            <w:vAlign w:val="center"/>
          </w:tcPr>
          <w:p w14:paraId="757A4DB4">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988" w:type="dxa"/>
            <w:tcBorders>
              <w:top w:val="nil"/>
              <w:left w:val="nil"/>
              <w:bottom w:val="single" w:color="auto" w:sz="4" w:space="0"/>
              <w:right w:val="single" w:color="auto" w:sz="4" w:space="0"/>
            </w:tcBorders>
            <w:noWrap/>
            <w:vAlign w:val="center"/>
          </w:tcPr>
          <w:p w14:paraId="7003E15B">
            <w:pPr>
              <w:autoSpaceDE w:val="0"/>
              <w:autoSpaceDN w:val="0"/>
              <w:spacing w:line="240" w:lineRule="exact"/>
              <w:textAlignment w:val="bottom"/>
              <w:rPr>
                <w:rFonts w:ascii="Arial" w:hAnsi="Arial" w:cs="Arial"/>
                <w:sz w:val="16"/>
                <w:szCs w:val="18"/>
              </w:rPr>
            </w:pPr>
            <w:r>
              <w:rPr>
                <w:rFonts w:hint="eastAsia" w:ascii="Arial" w:hAnsi="Arial" w:cs="Arial"/>
                <w:sz w:val="16"/>
                <w:szCs w:val="18"/>
              </w:rPr>
              <w:t>40.52</w:t>
            </w:r>
          </w:p>
        </w:tc>
        <w:tc>
          <w:tcPr>
            <w:tcW w:w="988" w:type="dxa"/>
            <w:tcBorders>
              <w:top w:val="nil"/>
              <w:left w:val="nil"/>
              <w:bottom w:val="single" w:color="auto" w:sz="4" w:space="0"/>
              <w:right w:val="single" w:color="auto" w:sz="4" w:space="0"/>
            </w:tcBorders>
            <w:noWrap/>
            <w:vAlign w:val="center"/>
          </w:tcPr>
          <w:p w14:paraId="5FE960B5">
            <w:pPr>
              <w:autoSpaceDE w:val="0"/>
              <w:autoSpaceDN w:val="0"/>
              <w:spacing w:line="240" w:lineRule="exact"/>
              <w:textAlignment w:val="bottom"/>
              <w:rPr>
                <w:rFonts w:ascii="Arial" w:hAnsi="Arial" w:cs="Arial"/>
                <w:sz w:val="16"/>
                <w:szCs w:val="18"/>
              </w:rPr>
            </w:pPr>
            <w:r>
              <w:rPr>
                <w:rFonts w:hint="eastAsia" w:ascii="Arial" w:hAnsi="Arial" w:cs="Arial"/>
                <w:sz w:val="16"/>
                <w:szCs w:val="18"/>
              </w:rPr>
              <w:t>40.12</w:t>
            </w:r>
          </w:p>
        </w:tc>
        <w:tc>
          <w:tcPr>
            <w:tcW w:w="988" w:type="dxa"/>
            <w:tcBorders>
              <w:top w:val="nil"/>
              <w:left w:val="nil"/>
              <w:bottom w:val="single" w:color="auto" w:sz="4" w:space="0"/>
              <w:right w:val="single" w:color="auto" w:sz="4" w:space="0"/>
            </w:tcBorders>
            <w:noWrap/>
            <w:vAlign w:val="center"/>
          </w:tcPr>
          <w:p w14:paraId="172FFB50">
            <w:pPr>
              <w:autoSpaceDE w:val="0"/>
              <w:autoSpaceDN w:val="0"/>
              <w:spacing w:line="240" w:lineRule="exact"/>
              <w:textAlignment w:val="bottom"/>
              <w:rPr>
                <w:rFonts w:ascii="Arial" w:hAnsi="Arial" w:cs="Arial"/>
                <w:sz w:val="16"/>
                <w:szCs w:val="18"/>
              </w:rPr>
            </w:pPr>
            <w:r>
              <w:rPr>
                <w:rFonts w:hint="eastAsia" w:ascii="Arial" w:hAnsi="Arial" w:cs="Arial"/>
                <w:sz w:val="16"/>
                <w:szCs w:val="18"/>
              </w:rPr>
              <w:t>39.77</w:t>
            </w:r>
          </w:p>
        </w:tc>
        <w:tc>
          <w:tcPr>
            <w:tcW w:w="2030" w:type="pct"/>
            <w:tcBorders>
              <w:top w:val="nil"/>
              <w:left w:val="nil"/>
              <w:bottom w:val="single" w:color="auto" w:sz="4" w:space="0"/>
              <w:right w:val="single" w:color="auto" w:sz="4" w:space="0"/>
            </w:tcBorders>
            <w:vAlign w:val="center"/>
          </w:tcPr>
          <w:p w14:paraId="26C8F3B2">
            <w:pPr>
              <w:snapToGrid w:val="0"/>
              <w:spacing w:line="240" w:lineRule="exact"/>
              <w:jc w:val="both"/>
              <w:rPr>
                <w:rFonts w:ascii="宋体" w:hAnsi="宋体" w:cs="Arial"/>
                <w:sz w:val="16"/>
                <w:szCs w:val="18"/>
              </w:rPr>
            </w:pPr>
            <w:r>
              <w:rPr>
                <w:rFonts w:ascii="宋体" w:hAnsi="宋体" w:cs="Arial"/>
                <w:sz w:val="16"/>
                <w:szCs w:val="18"/>
              </w:rPr>
              <w:t>——</w:t>
            </w:r>
          </w:p>
        </w:tc>
      </w:tr>
      <w:tr w14:paraId="5C341932">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708836D0">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34ABAFD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85A2B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BF6D7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8D7502A">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472B1E3E">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21A01938">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55B789D9">
            <w:pPr>
              <w:snapToGrid w:val="0"/>
              <w:spacing w:line="240" w:lineRule="exact"/>
              <w:jc w:val="both"/>
              <w:rPr>
                <w:rFonts w:ascii="宋体" w:hAnsi="宋体" w:cs="Arial"/>
                <w:sz w:val="16"/>
                <w:szCs w:val="18"/>
              </w:rPr>
            </w:pPr>
            <w:r>
              <w:rPr>
                <w:rFonts w:ascii="宋体" w:hAnsi="宋体" w:cs="Arial"/>
                <w:sz w:val="16"/>
                <w:szCs w:val="18"/>
              </w:rPr>
              <w:t>交易情况</w:t>
            </w:r>
          </w:p>
        </w:tc>
        <w:tc>
          <w:tcPr>
            <w:tcW w:w="988" w:type="dxa"/>
            <w:tcBorders>
              <w:top w:val="nil"/>
              <w:left w:val="nil"/>
              <w:bottom w:val="single" w:color="auto" w:sz="4" w:space="0"/>
              <w:right w:val="single" w:color="auto" w:sz="4" w:space="0"/>
            </w:tcBorders>
            <w:noWrap/>
            <w:vAlign w:val="center"/>
          </w:tcPr>
          <w:p w14:paraId="7D303F3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EF71F9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982C2D6">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879585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23E0DB2">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793E0EC5">
        <w:tblPrEx>
          <w:tblCellMar>
            <w:top w:w="57" w:type="dxa"/>
            <w:left w:w="57" w:type="dxa"/>
            <w:bottom w:w="57" w:type="dxa"/>
            <w:right w:w="57" w:type="dxa"/>
          </w:tblCellMar>
        </w:tblPrEx>
        <w:trPr>
          <w:trHeight w:val="20" w:hRule="atLeast"/>
          <w:jc w:val="center"/>
        </w:trPr>
        <w:tc>
          <w:tcPr>
            <w:tcW w:w="843" w:type="pct"/>
            <w:gridSpan w:val="2"/>
            <w:tcBorders>
              <w:top w:val="single" w:color="auto" w:sz="4" w:space="0"/>
              <w:left w:val="single" w:color="auto" w:sz="4" w:space="0"/>
              <w:bottom w:val="single" w:color="auto" w:sz="4" w:space="0"/>
              <w:right w:val="single" w:color="auto" w:sz="4" w:space="0"/>
            </w:tcBorders>
            <w:vAlign w:val="center"/>
          </w:tcPr>
          <w:p w14:paraId="15F42BA0">
            <w:pPr>
              <w:snapToGrid w:val="0"/>
              <w:spacing w:line="240" w:lineRule="exact"/>
              <w:jc w:val="both"/>
              <w:rPr>
                <w:rFonts w:ascii="宋体" w:hAnsi="宋体" w:cs="Arial"/>
                <w:sz w:val="16"/>
                <w:szCs w:val="18"/>
              </w:rPr>
            </w:pPr>
            <w:r>
              <w:rPr>
                <w:rFonts w:ascii="宋体" w:hAnsi="宋体" w:cs="Arial"/>
                <w:sz w:val="16"/>
                <w:szCs w:val="18"/>
              </w:rPr>
              <w:t>项目类型</w:t>
            </w:r>
          </w:p>
        </w:tc>
        <w:tc>
          <w:tcPr>
            <w:tcW w:w="988" w:type="dxa"/>
            <w:tcBorders>
              <w:top w:val="nil"/>
              <w:left w:val="nil"/>
              <w:bottom w:val="single" w:color="auto" w:sz="4" w:space="0"/>
              <w:right w:val="single" w:color="auto" w:sz="4" w:space="0"/>
            </w:tcBorders>
            <w:noWrap/>
            <w:vAlign w:val="center"/>
          </w:tcPr>
          <w:p w14:paraId="533A5F0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15CA1CF">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59B824E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86C1C7E">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68DCEAA">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322449EE">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5CC9928D">
            <w:pPr>
              <w:snapToGrid w:val="0"/>
              <w:spacing w:line="240" w:lineRule="exact"/>
              <w:jc w:val="both"/>
              <w:rPr>
                <w:rFonts w:ascii="宋体" w:hAnsi="宋体" w:cs="Arial"/>
                <w:sz w:val="16"/>
                <w:szCs w:val="18"/>
              </w:rPr>
            </w:pPr>
            <w:r>
              <w:rPr>
                <w:rFonts w:ascii="宋体" w:hAnsi="宋体" w:cs="Arial"/>
                <w:sz w:val="16"/>
                <w:szCs w:val="18"/>
              </w:rPr>
              <w:t>区域</w:t>
            </w:r>
          </w:p>
          <w:p w14:paraId="3C081625">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1D466B00">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988" w:type="dxa"/>
            <w:tcBorders>
              <w:top w:val="nil"/>
              <w:left w:val="nil"/>
              <w:bottom w:val="single" w:color="auto" w:sz="4" w:space="0"/>
              <w:right w:val="single" w:color="auto" w:sz="4" w:space="0"/>
            </w:tcBorders>
            <w:noWrap/>
            <w:vAlign w:val="center"/>
          </w:tcPr>
          <w:p w14:paraId="3183A582">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271432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E29B0E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5073FB7C">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0C83AA2D">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6B934F89">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534F12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B150A49">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988" w:type="dxa"/>
            <w:tcBorders>
              <w:top w:val="nil"/>
              <w:left w:val="nil"/>
              <w:bottom w:val="single" w:color="auto" w:sz="4" w:space="0"/>
              <w:right w:val="single" w:color="auto" w:sz="4" w:space="0"/>
            </w:tcBorders>
            <w:noWrap/>
            <w:vAlign w:val="center"/>
          </w:tcPr>
          <w:p w14:paraId="0138828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FF4B0D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92FFCC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100010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8345AFC">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27D0056F">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D5F1A6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483CC63">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988" w:type="dxa"/>
            <w:tcBorders>
              <w:top w:val="nil"/>
              <w:left w:val="nil"/>
              <w:bottom w:val="single" w:color="auto" w:sz="4" w:space="0"/>
              <w:right w:val="single" w:color="auto" w:sz="4" w:space="0"/>
            </w:tcBorders>
            <w:noWrap/>
            <w:vAlign w:val="center"/>
          </w:tcPr>
          <w:p w14:paraId="1F44C0F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BAAA243">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C1FAD7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64EB938">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45249760">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036652D4">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726D38B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325593C">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988" w:type="dxa"/>
            <w:tcBorders>
              <w:top w:val="nil"/>
              <w:left w:val="nil"/>
              <w:bottom w:val="single" w:color="auto" w:sz="4" w:space="0"/>
              <w:right w:val="single" w:color="auto" w:sz="4" w:space="0"/>
            </w:tcBorders>
            <w:noWrap/>
            <w:vAlign w:val="center"/>
          </w:tcPr>
          <w:p w14:paraId="2ADD38C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3D7E5F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C9CF22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C0233A1">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7B839E8C">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5EA14631">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7844D2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98FDB14">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988" w:type="dxa"/>
            <w:tcBorders>
              <w:top w:val="nil"/>
              <w:left w:val="nil"/>
              <w:bottom w:val="single" w:color="auto" w:sz="4" w:space="0"/>
              <w:right w:val="single" w:color="auto" w:sz="4" w:space="0"/>
            </w:tcBorders>
            <w:noWrap/>
            <w:vAlign w:val="center"/>
          </w:tcPr>
          <w:p w14:paraId="1ED4844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59E374ED">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6099FD6">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A45924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1A08CCB0">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79FC2B88">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C0E9FD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817C7DE">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988" w:type="dxa"/>
            <w:tcBorders>
              <w:top w:val="nil"/>
              <w:left w:val="nil"/>
              <w:bottom w:val="single" w:color="auto" w:sz="4" w:space="0"/>
              <w:right w:val="single" w:color="auto" w:sz="4" w:space="0"/>
            </w:tcBorders>
            <w:noWrap/>
            <w:vAlign w:val="center"/>
          </w:tcPr>
          <w:p w14:paraId="135B366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D424A49">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3288F96">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61948C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308F718">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0A5545B7">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5A1EFC1D">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1BABA2D">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988" w:type="dxa"/>
            <w:tcBorders>
              <w:top w:val="nil"/>
              <w:left w:val="nil"/>
              <w:bottom w:val="single" w:color="auto" w:sz="4" w:space="0"/>
              <w:right w:val="single" w:color="auto" w:sz="4" w:space="0"/>
            </w:tcBorders>
            <w:noWrap/>
            <w:vAlign w:val="center"/>
          </w:tcPr>
          <w:p w14:paraId="238541C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A39BC8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40227DD">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1C0123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4086B186">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7C6E8A43">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460346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9C732B9">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988" w:type="dxa"/>
            <w:tcBorders>
              <w:top w:val="nil"/>
              <w:left w:val="nil"/>
              <w:bottom w:val="single" w:color="auto" w:sz="4" w:space="0"/>
              <w:right w:val="single" w:color="auto" w:sz="4" w:space="0"/>
            </w:tcBorders>
            <w:noWrap/>
            <w:vAlign w:val="center"/>
          </w:tcPr>
          <w:p w14:paraId="69F1E53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FF301C9">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8986C9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A89A38E">
            <w:pPr>
              <w:snapToGrid w:val="0"/>
              <w:spacing w:line="240" w:lineRule="exact"/>
              <w:jc w:val="both"/>
              <w:rPr>
                <w:rFonts w:ascii="Arial" w:hAnsi="Arial" w:cs="Arial"/>
                <w:sz w:val="16"/>
                <w:szCs w:val="18"/>
              </w:rPr>
            </w:pPr>
            <w:r>
              <w:rPr>
                <w:rFonts w:hint="eastAsia" w:ascii="Arial" w:hAnsi="Arial" w:cs="Arial"/>
                <w:sz w:val="16"/>
                <w:szCs w:val="18"/>
              </w:rPr>
              <w:t>98</w:t>
            </w:r>
          </w:p>
        </w:tc>
        <w:tc>
          <w:tcPr>
            <w:tcW w:w="2030" w:type="pct"/>
            <w:tcBorders>
              <w:top w:val="nil"/>
              <w:left w:val="nil"/>
              <w:bottom w:val="single" w:color="auto" w:sz="4" w:space="0"/>
              <w:right w:val="single" w:color="auto" w:sz="4" w:space="0"/>
            </w:tcBorders>
            <w:vAlign w:val="center"/>
          </w:tcPr>
          <w:p w14:paraId="0D547739">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6104AD11">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37BB344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3D0B500">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988" w:type="dxa"/>
            <w:tcBorders>
              <w:top w:val="nil"/>
              <w:left w:val="nil"/>
              <w:bottom w:val="single" w:color="auto" w:sz="4" w:space="0"/>
              <w:right w:val="single" w:color="auto" w:sz="4" w:space="0"/>
            </w:tcBorders>
            <w:noWrap/>
            <w:vAlign w:val="center"/>
          </w:tcPr>
          <w:p w14:paraId="18BC7F7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273CAFC">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988" w:type="dxa"/>
            <w:tcBorders>
              <w:top w:val="nil"/>
              <w:left w:val="nil"/>
              <w:bottom w:val="single" w:color="auto" w:sz="4" w:space="0"/>
              <w:right w:val="single" w:color="auto" w:sz="4" w:space="0"/>
            </w:tcBorders>
            <w:noWrap/>
            <w:vAlign w:val="center"/>
          </w:tcPr>
          <w:p w14:paraId="7F3EE096">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988" w:type="dxa"/>
            <w:tcBorders>
              <w:top w:val="nil"/>
              <w:left w:val="nil"/>
              <w:bottom w:val="single" w:color="auto" w:sz="4" w:space="0"/>
              <w:right w:val="single" w:color="auto" w:sz="4" w:space="0"/>
            </w:tcBorders>
            <w:noWrap/>
            <w:vAlign w:val="center"/>
          </w:tcPr>
          <w:p w14:paraId="2A3ADFC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0" w:type="pct"/>
            <w:tcBorders>
              <w:top w:val="nil"/>
              <w:left w:val="nil"/>
              <w:bottom w:val="single" w:color="auto" w:sz="4" w:space="0"/>
              <w:right w:val="single" w:color="auto" w:sz="4" w:space="0"/>
            </w:tcBorders>
            <w:vAlign w:val="center"/>
          </w:tcPr>
          <w:p w14:paraId="2FA8279E">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382E3C1B">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0B7048C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A3FD4F">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988" w:type="dxa"/>
            <w:tcBorders>
              <w:top w:val="nil"/>
              <w:left w:val="nil"/>
              <w:bottom w:val="single" w:color="auto" w:sz="4" w:space="0"/>
              <w:right w:val="single" w:color="auto" w:sz="4" w:space="0"/>
            </w:tcBorders>
            <w:noWrap/>
            <w:vAlign w:val="center"/>
          </w:tcPr>
          <w:p w14:paraId="4739C0CD">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DA6511E">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40829ACE">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6D799F6F">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DE653EA">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3B1BAE30">
        <w:tblPrEx>
          <w:tblCellMar>
            <w:top w:w="57" w:type="dxa"/>
            <w:left w:w="57" w:type="dxa"/>
            <w:bottom w:w="57" w:type="dxa"/>
            <w:right w:w="57" w:type="dxa"/>
          </w:tblCellMar>
        </w:tblPrEx>
        <w:trPr>
          <w:trHeight w:val="20" w:hRule="atLeast"/>
          <w:jc w:val="center"/>
        </w:trPr>
        <w:tc>
          <w:tcPr>
            <w:tcW w:w="307" w:type="pct"/>
            <w:vMerge w:val="continue"/>
            <w:tcBorders>
              <w:top w:val="single" w:color="auto" w:sz="4" w:space="0"/>
              <w:left w:val="single" w:color="auto" w:sz="4" w:space="0"/>
              <w:bottom w:val="single" w:color="auto" w:sz="4" w:space="0"/>
              <w:right w:val="single" w:color="auto" w:sz="4" w:space="0"/>
            </w:tcBorders>
            <w:vAlign w:val="center"/>
          </w:tcPr>
          <w:p w14:paraId="60C4BAA3">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638EF74">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988" w:type="dxa"/>
            <w:tcBorders>
              <w:top w:val="nil"/>
              <w:left w:val="nil"/>
              <w:bottom w:val="single" w:color="auto" w:sz="4" w:space="0"/>
              <w:right w:val="single" w:color="auto" w:sz="4" w:space="0"/>
            </w:tcBorders>
            <w:noWrap/>
            <w:vAlign w:val="center"/>
          </w:tcPr>
          <w:p w14:paraId="0147391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465FC40">
            <w:pPr>
              <w:snapToGrid w:val="0"/>
              <w:spacing w:line="240" w:lineRule="exact"/>
              <w:jc w:val="both"/>
              <w:rPr>
                <w:rFonts w:ascii="Arial" w:hAnsi="Arial" w:cs="Arial"/>
                <w:sz w:val="16"/>
                <w:szCs w:val="18"/>
              </w:rPr>
            </w:pPr>
            <w:r>
              <w:rPr>
                <w:rFonts w:hint="eastAsia" w:ascii="Arial" w:hAnsi="Arial" w:cs="Arial"/>
                <w:sz w:val="16"/>
                <w:szCs w:val="18"/>
              </w:rPr>
              <w:t>99</w:t>
            </w:r>
          </w:p>
        </w:tc>
        <w:tc>
          <w:tcPr>
            <w:tcW w:w="988" w:type="dxa"/>
            <w:tcBorders>
              <w:top w:val="nil"/>
              <w:left w:val="nil"/>
              <w:bottom w:val="single" w:color="auto" w:sz="4" w:space="0"/>
              <w:right w:val="single" w:color="auto" w:sz="4" w:space="0"/>
            </w:tcBorders>
            <w:noWrap/>
            <w:vAlign w:val="center"/>
          </w:tcPr>
          <w:p w14:paraId="778AF55F">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988" w:type="dxa"/>
            <w:tcBorders>
              <w:top w:val="nil"/>
              <w:left w:val="nil"/>
              <w:bottom w:val="single" w:color="auto" w:sz="4" w:space="0"/>
              <w:right w:val="single" w:color="auto" w:sz="4" w:space="0"/>
            </w:tcBorders>
            <w:noWrap/>
            <w:vAlign w:val="center"/>
          </w:tcPr>
          <w:p w14:paraId="28F425DA">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95CE075">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99、100、100</w:t>
            </w:r>
            <w:r>
              <w:rPr>
                <w:rFonts w:ascii="Arial" w:hAnsi="Arial" w:cs="Arial"/>
                <w:sz w:val="16"/>
                <w:szCs w:val="18"/>
              </w:rPr>
              <w:t>；</w:t>
            </w:r>
          </w:p>
        </w:tc>
      </w:tr>
      <w:tr w14:paraId="0BE29DC3">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noWrap/>
            <w:vAlign w:val="center"/>
          </w:tcPr>
          <w:p w14:paraId="2FF63E6E">
            <w:pPr>
              <w:snapToGrid w:val="0"/>
              <w:spacing w:line="240" w:lineRule="exact"/>
              <w:jc w:val="both"/>
              <w:rPr>
                <w:rFonts w:ascii="宋体" w:hAnsi="宋体" w:cs="Arial"/>
                <w:sz w:val="16"/>
                <w:szCs w:val="18"/>
              </w:rPr>
            </w:pPr>
            <w:r>
              <w:rPr>
                <w:rFonts w:ascii="宋体" w:hAnsi="宋体" w:cs="Arial"/>
                <w:sz w:val="16"/>
                <w:szCs w:val="18"/>
              </w:rPr>
              <w:t>实物</w:t>
            </w:r>
          </w:p>
          <w:p w14:paraId="14C5D762">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4E480C7">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988" w:type="dxa"/>
            <w:tcBorders>
              <w:top w:val="nil"/>
              <w:left w:val="nil"/>
              <w:bottom w:val="single" w:color="auto" w:sz="4" w:space="0"/>
              <w:right w:val="single" w:color="auto" w:sz="4" w:space="0"/>
            </w:tcBorders>
            <w:noWrap/>
            <w:vAlign w:val="center"/>
          </w:tcPr>
          <w:p w14:paraId="4D2D124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552332A4">
            <w:pPr>
              <w:snapToGrid w:val="0"/>
              <w:spacing w:line="240" w:lineRule="exact"/>
              <w:jc w:val="both"/>
              <w:rPr>
                <w:rFonts w:ascii="Arial" w:hAnsi="Arial" w:cs="Arial"/>
                <w:sz w:val="16"/>
                <w:szCs w:val="18"/>
              </w:rPr>
            </w:pPr>
            <w:r>
              <w:rPr>
                <w:rFonts w:hint="eastAsia" w:ascii="Arial" w:hAnsi="Arial" w:cs="Arial"/>
                <w:sz w:val="16"/>
                <w:szCs w:val="18"/>
              </w:rPr>
              <w:t>94</w:t>
            </w:r>
          </w:p>
        </w:tc>
        <w:tc>
          <w:tcPr>
            <w:tcW w:w="988" w:type="dxa"/>
            <w:tcBorders>
              <w:top w:val="nil"/>
              <w:left w:val="nil"/>
              <w:bottom w:val="single" w:color="auto" w:sz="4" w:space="0"/>
              <w:right w:val="single" w:color="auto" w:sz="4" w:space="0"/>
            </w:tcBorders>
            <w:noWrap/>
            <w:vAlign w:val="center"/>
          </w:tcPr>
          <w:p w14:paraId="425A994A">
            <w:pPr>
              <w:snapToGrid w:val="0"/>
              <w:spacing w:line="240" w:lineRule="exact"/>
              <w:jc w:val="both"/>
              <w:rPr>
                <w:rFonts w:ascii="Arial" w:hAnsi="Arial" w:cs="Arial"/>
                <w:sz w:val="16"/>
                <w:szCs w:val="18"/>
              </w:rPr>
            </w:pPr>
            <w:r>
              <w:rPr>
                <w:rFonts w:hint="eastAsia" w:ascii="Arial" w:hAnsi="Arial" w:cs="Arial"/>
                <w:sz w:val="16"/>
                <w:szCs w:val="18"/>
              </w:rPr>
              <w:t>94</w:t>
            </w:r>
          </w:p>
        </w:tc>
        <w:tc>
          <w:tcPr>
            <w:tcW w:w="988" w:type="dxa"/>
            <w:tcBorders>
              <w:top w:val="nil"/>
              <w:left w:val="nil"/>
              <w:bottom w:val="single" w:color="auto" w:sz="4" w:space="0"/>
              <w:right w:val="single" w:color="auto" w:sz="4" w:space="0"/>
            </w:tcBorders>
            <w:noWrap/>
            <w:vAlign w:val="center"/>
          </w:tcPr>
          <w:p w14:paraId="28B79250">
            <w:pPr>
              <w:snapToGrid w:val="0"/>
              <w:spacing w:line="240" w:lineRule="exact"/>
              <w:jc w:val="both"/>
              <w:rPr>
                <w:rFonts w:ascii="Arial" w:hAnsi="Arial" w:cs="Arial"/>
                <w:sz w:val="16"/>
                <w:szCs w:val="18"/>
              </w:rPr>
            </w:pPr>
            <w:r>
              <w:rPr>
                <w:rFonts w:hint="eastAsia" w:ascii="Arial" w:hAnsi="Arial" w:cs="Arial"/>
                <w:sz w:val="16"/>
                <w:szCs w:val="18"/>
              </w:rPr>
              <w:t>96</w:t>
            </w:r>
          </w:p>
        </w:tc>
        <w:tc>
          <w:tcPr>
            <w:tcW w:w="2030" w:type="pct"/>
            <w:tcBorders>
              <w:top w:val="nil"/>
              <w:left w:val="nil"/>
              <w:bottom w:val="single" w:color="auto" w:sz="4" w:space="0"/>
              <w:right w:val="single" w:color="auto" w:sz="4" w:space="0"/>
            </w:tcBorders>
            <w:vAlign w:val="center"/>
          </w:tcPr>
          <w:p w14:paraId="2574C627">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0C30AA45">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0FCB024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A233FB9">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988" w:type="dxa"/>
            <w:tcBorders>
              <w:top w:val="nil"/>
              <w:left w:val="nil"/>
              <w:bottom w:val="single" w:color="auto" w:sz="4" w:space="0"/>
              <w:right w:val="single" w:color="auto" w:sz="4" w:space="0"/>
            </w:tcBorders>
            <w:noWrap/>
            <w:vAlign w:val="center"/>
          </w:tcPr>
          <w:p w14:paraId="3550858F">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D208168">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13117768">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201E97BE">
            <w:pPr>
              <w:snapToGrid w:val="0"/>
              <w:spacing w:line="240" w:lineRule="exact"/>
              <w:jc w:val="both"/>
              <w:rPr>
                <w:rFonts w:ascii="Arial" w:hAnsi="Arial" w:cs="Arial"/>
                <w:sz w:val="16"/>
                <w:szCs w:val="18"/>
              </w:rPr>
            </w:pPr>
            <w:r>
              <w:rPr>
                <w:rFonts w:ascii="Arial" w:hAnsi="Arial" w:cs="Arial"/>
                <w:sz w:val="16"/>
                <w:szCs w:val="18"/>
              </w:rPr>
              <w:t>100</w:t>
            </w:r>
          </w:p>
        </w:tc>
        <w:tc>
          <w:tcPr>
            <w:tcW w:w="3775" w:type="dxa"/>
            <w:tcBorders>
              <w:top w:val="nil"/>
              <w:left w:val="nil"/>
              <w:bottom w:val="single" w:color="auto" w:sz="4" w:space="0"/>
              <w:right w:val="single" w:color="auto" w:sz="4" w:space="0"/>
            </w:tcBorders>
            <w:vAlign w:val="center"/>
          </w:tcPr>
          <w:p w14:paraId="50B00806">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06089582">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4200D59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50F9285">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988" w:type="dxa"/>
            <w:tcBorders>
              <w:top w:val="nil"/>
              <w:left w:val="nil"/>
              <w:bottom w:val="single" w:color="auto" w:sz="4" w:space="0"/>
              <w:right w:val="single" w:color="auto" w:sz="4" w:space="0"/>
            </w:tcBorders>
            <w:noWrap/>
            <w:vAlign w:val="center"/>
          </w:tcPr>
          <w:p w14:paraId="3174D1C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9A0BAD9">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562D04D3">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81F055F">
            <w:pPr>
              <w:snapToGrid w:val="0"/>
              <w:spacing w:line="240" w:lineRule="exact"/>
              <w:jc w:val="both"/>
              <w:rPr>
                <w:rFonts w:ascii="Arial" w:hAnsi="Arial" w:cs="Arial"/>
                <w:sz w:val="16"/>
                <w:szCs w:val="18"/>
              </w:rPr>
            </w:pPr>
            <w:r>
              <w:rPr>
                <w:rFonts w:ascii="Arial" w:hAnsi="Arial" w:cs="Arial"/>
                <w:sz w:val="16"/>
                <w:szCs w:val="18"/>
              </w:rPr>
              <w:t>100</w:t>
            </w:r>
          </w:p>
        </w:tc>
        <w:tc>
          <w:tcPr>
            <w:tcW w:w="3775" w:type="dxa"/>
            <w:tcBorders>
              <w:top w:val="nil"/>
              <w:left w:val="nil"/>
              <w:bottom w:val="single" w:color="auto" w:sz="4" w:space="0"/>
              <w:right w:val="single" w:color="auto" w:sz="4" w:space="0"/>
            </w:tcBorders>
            <w:vAlign w:val="center"/>
          </w:tcPr>
          <w:p w14:paraId="791DC482">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44322720">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125C4D7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A1441F0">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988" w:type="dxa"/>
            <w:tcBorders>
              <w:top w:val="nil"/>
              <w:left w:val="nil"/>
              <w:bottom w:val="single" w:color="auto" w:sz="4" w:space="0"/>
              <w:right w:val="single" w:color="auto" w:sz="4" w:space="0"/>
            </w:tcBorders>
            <w:noWrap/>
            <w:vAlign w:val="center"/>
          </w:tcPr>
          <w:p w14:paraId="76329C7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EAA041C">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B6C6F8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9FF6136">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55414648">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09B640A8">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313D0D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A3F9642">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988" w:type="dxa"/>
            <w:tcBorders>
              <w:top w:val="nil"/>
              <w:left w:val="nil"/>
              <w:bottom w:val="single" w:color="auto" w:sz="4" w:space="0"/>
              <w:right w:val="single" w:color="auto" w:sz="4" w:space="0"/>
            </w:tcBorders>
            <w:noWrap/>
            <w:vAlign w:val="center"/>
          </w:tcPr>
          <w:p w14:paraId="347426C3">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6FFD6F0">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FE595B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5ACA5B5">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B5DD4B6">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6C363FEB">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2FDB2E4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68BD51B">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988" w:type="dxa"/>
            <w:tcBorders>
              <w:top w:val="nil"/>
              <w:left w:val="nil"/>
              <w:bottom w:val="single" w:color="auto" w:sz="4" w:space="0"/>
              <w:right w:val="single" w:color="auto" w:sz="4" w:space="0"/>
            </w:tcBorders>
            <w:noWrap/>
            <w:vAlign w:val="center"/>
          </w:tcPr>
          <w:p w14:paraId="3D7B28D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8DA137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988" w:type="dxa"/>
            <w:tcBorders>
              <w:top w:val="nil"/>
              <w:left w:val="nil"/>
              <w:bottom w:val="single" w:color="auto" w:sz="4" w:space="0"/>
              <w:right w:val="single" w:color="auto" w:sz="4" w:space="0"/>
            </w:tcBorders>
            <w:noWrap/>
            <w:vAlign w:val="center"/>
          </w:tcPr>
          <w:p w14:paraId="2128F2B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988" w:type="dxa"/>
            <w:tcBorders>
              <w:top w:val="nil"/>
              <w:left w:val="nil"/>
              <w:bottom w:val="single" w:color="auto" w:sz="4" w:space="0"/>
              <w:right w:val="single" w:color="auto" w:sz="4" w:space="0"/>
            </w:tcBorders>
            <w:noWrap/>
            <w:vAlign w:val="center"/>
          </w:tcPr>
          <w:p w14:paraId="3AF49C2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0" w:type="pct"/>
            <w:tcBorders>
              <w:top w:val="nil"/>
              <w:left w:val="nil"/>
              <w:bottom w:val="single" w:color="auto" w:sz="4" w:space="0"/>
              <w:right w:val="single" w:color="auto" w:sz="4" w:space="0"/>
            </w:tcBorders>
            <w:vAlign w:val="center"/>
          </w:tcPr>
          <w:p w14:paraId="5516F15C">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4075455E">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783F10F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67B5BB4">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988" w:type="dxa"/>
            <w:tcBorders>
              <w:top w:val="nil"/>
              <w:left w:val="nil"/>
              <w:bottom w:val="single" w:color="auto" w:sz="4" w:space="0"/>
              <w:right w:val="single" w:color="auto" w:sz="4" w:space="0"/>
            </w:tcBorders>
            <w:noWrap/>
            <w:vAlign w:val="center"/>
          </w:tcPr>
          <w:p w14:paraId="6579DF3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F75C848">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4913093">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10136A4">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669A171B">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78E70A15">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6DF309D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FCCEC53">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988" w:type="dxa"/>
            <w:tcBorders>
              <w:top w:val="nil"/>
              <w:left w:val="nil"/>
              <w:bottom w:val="single" w:color="auto" w:sz="4" w:space="0"/>
              <w:right w:val="single" w:color="auto" w:sz="4" w:space="0"/>
            </w:tcBorders>
            <w:noWrap/>
            <w:vAlign w:val="center"/>
          </w:tcPr>
          <w:p w14:paraId="1392EB9F">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665E079">
            <w:pPr>
              <w:snapToGrid w:val="0"/>
              <w:spacing w:line="240" w:lineRule="exact"/>
              <w:jc w:val="both"/>
              <w:rPr>
                <w:rFonts w:ascii="Arial" w:hAnsi="Arial" w:cs="Arial"/>
                <w:sz w:val="16"/>
                <w:szCs w:val="18"/>
              </w:rPr>
            </w:pPr>
            <w:r>
              <w:rPr>
                <w:rFonts w:hint="eastAsia"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D612DC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426822F">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345D432E">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4AAF86F8">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27AC7AE">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B4B4862">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2224C03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76EE543E">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3022C80F">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4161B2E7">
            <w:pPr>
              <w:snapToGrid w:val="0"/>
              <w:spacing w:line="240" w:lineRule="exact"/>
              <w:jc w:val="both"/>
              <w:rPr>
                <w:rFonts w:ascii="Arial" w:hAnsi="Arial" w:cs="Arial"/>
                <w:sz w:val="16"/>
                <w:szCs w:val="18"/>
              </w:rPr>
            </w:pPr>
            <w:r>
              <w:rPr>
                <w:rFonts w:hint="eastAsia" w:ascii="Arial" w:hAnsi="Arial" w:cs="Arial"/>
                <w:sz w:val="16"/>
                <w:szCs w:val="18"/>
              </w:rPr>
              <w:t>91</w:t>
            </w:r>
          </w:p>
        </w:tc>
        <w:tc>
          <w:tcPr>
            <w:tcW w:w="3775" w:type="dxa"/>
            <w:tcBorders>
              <w:top w:val="nil"/>
              <w:left w:val="nil"/>
              <w:bottom w:val="single" w:color="auto" w:sz="4" w:space="0"/>
              <w:right w:val="single" w:color="auto" w:sz="4" w:space="0"/>
            </w:tcBorders>
            <w:vAlign w:val="center"/>
          </w:tcPr>
          <w:p w14:paraId="5C191E62">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3BA20F02">
        <w:tblPrEx>
          <w:tblCellMar>
            <w:top w:w="57" w:type="dxa"/>
            <w:left w:w="57" w:type="dxa"/>
            <w:bottom w:w="57" w:type="dxa"/>
            <w:right w:w="57" w:type="dxa"/>
          </w:tblCellMar>
        </w:tblPrEx>
        <w:trPr>
          <w:trHeight w:val="20" w:hRule="atLeast"/>
          <w:jc w:val="center"/>
        </w:trPr>
        <w:tc>
          <w:tcPr>
            <w:tcW w:w="307" w:type="pct"/>
            <w:vMerge w:val="restart"/>
            <w:tcBorders>
              <w:top w:val="single" w:color="auto" w:sz="4" w:space="0"/>
              <w:left w:val="single" w:color="auto" w:sz="4" w:space="0"/>
              <w:bottom w:val="single" w:color="auto" w:sz="4" w:space="0"/>
              <w:right w:val="single" w:color="auto" w:sz="4" w:space="0"/>
            </w:tcBorders>
            <w:vAlign w:val="center"/>
          </w:tcPr>
          <w:p w14:paraId="4AD9AB1D">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1B865B44">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988" w:type="dxa"/>
            <w:tcBorders>
              <w:top w:val="nil"/>
              <w:left w:val="nil"/>
              <w:bottom w:val="single" w:color="auto" w:sz="4" w:space="0"/>
              <w:right w:val="single" w:color="auto" w:sz="4" w:space="0"/>
            </w:tcBorders>
            <w:noWrap/>
            <w:vAlign w:val="center"/>
          </w:tcPr>
          <w:p w14:paraId="0C68107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0F4CEAD2">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4D92D3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AA96AC7">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0724A89">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7E079B16">
        <w:tblPrEx>
          <w:tblCellMar>
            <w:top w:w="57" w:type="dxa"/>
            <w:left w:w="57" w:type="dxa"/>
            <w:bottom w:w="57" w:type="dxa"/>
            <w:right w:w="57" w:type="dxa"/>
          </w:tblCellMar>
        </w:tblPrEx>
        <w:trPr>
          <w:trHeight w:val="20" w:hRule="atLeast"/>
          <w:jc w:val="center"/>
        </w:trPr>
        <w:tc>
          <w:tcPr>
            <w:tcW w:w="307" w:type="pct"/>
            <w:vMerge w:val="continue"/>
            <w:tcBorders>
              <w:top w:val="nil"/>
              <w:left w:val="single" w:color="auto" w:sz="4" w:space="0"/>
              <w:bottom w:val="single" w:color="auto" w:sz="4" w:space="0"/>
              <w:right w:val="single" w:color="auto" w:sz="4" w:space="0"/>
            </w:tcBorders>
            <w:vAlign w:val="center"/>
          </w:tcPr>
          <w:p w14:paraId="5326A421">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C737A95">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988" w:type="dxa"/>
            <w:tcBorders>
              <w:top w:val="nil"/>
              <w:left w:val="nil"/>
              <w:bottom w:val="single" w:color="auto" w:sz="4" w:space="0"/>
              <w:right w:val="single" w:color="auto" w:sz="4" w:space="0"/>
            </w:tcBorders>
            <w:noWrap/>
            <w:vAlign w:val="center"/>
          </w:tcPr>
          <w:p w14:paraId="45324B85">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587F94B">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C73932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8E02D82">
            <w:pPr>
              <w:snapToGrid w:val="0"/>
              <w:spacing w:line="240" w:lineRule="exact"/>
              <w:jc w:val="both"/>
              <w:rPr>
                <w:rFonts w:ascii="Arial" w:hAnsi="Arial" w:cs="Arial"/>
                <w:sz w:val="16"/>
                <w:szCs w:val="18"/>
              </w:rPr>
            </w:pPr>
            <w:r>
              <w:rPr>
                <w:rFonts w:ascii="Arial" w:hAnsi="Arial" w:cs="Arial"/>
                <w:sz w:val="16"/>
                <w:szCs w:val="18"/>
              </w:rPr>
              <w:t>100</w:t>
            </w:r>
          </w:p>
        </w:tc>
        <w:tc>
          <w:tcPr>
            <w:tcW w:w="2030" w:type="pct"/>
            <w:tcBorders>
              <w:top w:val="nil"/>
              <w:left w:val="nil"/>
              <w:bottom w:val="single" w:color="auto" w:sz="4" w:space="0"/>
              <w:right w:val="single" w:color="auto" w:sz="4" w:space="0"/>
            </w:tcBorders>
            <w:vAlign w:val="center"/>
          </w:tcPr>
          <w:p w14:paraId="0B3EA9E0">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04D59B59">
      <w:pPr>
        <w:wordWrap w:val="0"/>
        <w:overflowPunct w:val="0"/>
        <w:spacing w:line="480" w:lineRule="auto"/>
        <w:rPr>
          <w:rFonts w:ascii="Arial" w:hAnsi="Arial"/>
          <w:sz w:val="21"/>
          <w:szCs w:val="21"/>
        </w:rPr>
      </w:pPr>
    </w:p>
    <w:p w14:paraId="11B55EA8">
      <w:pPr>
        <w:wordWrap w:val="0"/>
        <w:overflowPunct w:val="0"/>
        <w:spacing w:line="480" w:lineRule="auto"/>
        <w:rPr>
          <w:rFonts w:ascii="Arial" w:hAnsi="Arial"/>
          <w:sz w:val="21"/>
          <w:szCs w:val="21"/>
        </w:rPr>
      </w:pPr>
    </w:p>
    <w:p w14:paraId="75FD04C8">
      <w:pPr>
        <w:rPr>
          <w:rFonts w:ascii="Arial" w:hAnsi="Arial"/>
          <w:sz w:val="21"/>
          <w:szCs w:val="21"/>
        </w:rPr>
      </w:pPr>
      <w:r>
        <w:rPr>
          <w:rFonts w:hint="eastAsia" w:ascii="Arial" w:hAnsi="Arial"/>
          <w:sz w:val="21"/>
          <w:szCs w:val="21"/>
        </w:rPr>
        <w:br w:type="page"/>
      </w:r>
    </w:p>
    <w:p w14:paraId="06AD5DE0">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43F71F89">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7A819758">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6EE3F730">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5897FD3C">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59DAC0C9">
            <w:pPr>
              <w:widowControl/>
              <w:adjustRightInd/>
              <w:spacing w:line="240" w:lineRule="auto"/>
              <w:jc w:val="center"/>
              <w:textAlignment w:val="auto"/>
              <w:rPr>
                <w:rFonts w:ascii="Arial" w:hAnsi="Arial" w:cs="Arial"/>
                <w:sz w:val="16"/>
                <w:szCs w:val="18"/>
              </w:rPr>
            </w:pPr>
            <w:r>
              <w:rPr>
                <w:rFonts w:ascii="Arial" w:hAnsi="Arial" w:cs="Arial"/>
                <w:sz w:val="16"/>
                <w:szCs w:val="18"/>
              </w:rPr>
              <w:t>可比实例1</w:t>
            </w:r>
          </w:p>
        </w:tc>
        <w:tc>
          <w:tcPr>
            <w:tcW w:w="897" w:type="pct"/>
            <w:tcBorders>
              <w:top w:val="single" w:color="auto" w:sz="4" w:space="0"/>
              <w:left w:val="nil"/>
              <w:bottom w:val="single" w:color="auto" w:sz="4" w:space="0"/>
              <w:right w:val="single" w:color="auto" w:sz="4" w:space="0"/>
            </w:tcBorders>
            <w:vAlign w:val="center"/>
          </w:tcPr>
          <w:p w14:paraId="3822BEA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可比实例2</w:t>
            </w:r>
          </w:p>
        </w:tc>
        <w:tc>
          <w:tcPr>
            <w:tcW w:w="897" w:type="pct"/>
            <w:tcBorders>
              <w:top w:val="single" w:color="auto" w:sz="4" w:space="0"/>
              <w:left w:val="nil"/>
              <w:bottom w:val="single" w:color="auto" w:sz="4" w:space="0"/>
              <w:right w:val="single" w:color="auto" w:sz="4" w:space="0"/>
            </w:tcBorders>
            <w:vAlign w:val="center"/>
          </w:tcPr>
          <w:p w14:paraId="27F7F7A3">
            <w:pPr>
              <w:widowControl/>
              <w:adjustRightInd/>
              <w:spacing w:line="240" w:lineRule="auto"/>
              <w:jc w:val="center"/>
              <w:textAlignment w:val="auto"/>
              <w:rPr>
                <w:rFonts w:ascii="Arial" w:hAnsi="Arial" w:cs="Arial"/>
                <w:sz w:val="16"/>
                <w:szCs w:val="18"/>
              </w:rPr>
            </w:pPr>
            <w:r>
              <w:rPr>
                <w:rFonts w:ascii="Arial" w:hAnsi="Arial" w:cs="Arial"/>
                <w:sz w:val="16"/>
                <w:szCs w:val="18"/>
              </w:rPr>
              <w:t>可比实例3</w:t>
            </w:r>
          </w:p>
        </w:tc>
      </w:tr>
      <w:tr w14:paraId="6CD88EB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A8ED783">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14EE85CC">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1D8FA858">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锦华园</w:t>
            </w:r>
          </w:p>
        </w:tc>
        <w:tc>
          <w:tcPr>
            <w:tcW w:w="1708" w:type="dxa"/>
            <w:tcBorders>
              <w:top w:val="nil"/>
              <w:left w:val="nil"/>
              <w:bottom w:val="single" w:color="auto" w:sz="4" w:space="0"/>
              <w:right w:val="single" w:color="auto" w:sz="4" w:space="0"/>
            </w:tcBorders>
            <w:vAlign w:val="center"/>
          </w:tcPr>
          <w:p w14:paraId="2B3A0B8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67FF38B0">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AE89C96">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8CBFBA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40.52</w:t>
            </w:r>
          </w:p>
        </w:tc>
        <w:tc>
          <w:tcPr>
            <w:tcW w:w="1707" w:type="dxa"/>
            <w:tcBorders>
              <w:top w:val="nil"/>
              <w:left w:val="nil"/>
              <w:bottom w:val="single" w:color="auto" w:sz="4" w:space="0"/>
              <w:right w:val="single" w:color="auto" w:sz="4" w:space="0"/>
            </w:tcBorders>
            <w:vAlign w:val="center"/>
          </w:tcPr>
          <w:p w14:paraId="2483569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40.12</w:t>
            </w:r>
          </w:p>
        </w:tc>
        <w:tc>
          <w:tcPr>
            <w:tcW w:w="1708" w:type="dxa"/>
            <w:tcBorders>
              <w:top w:val="nil"/>
              <w:left w:val="nil"/>
              <w:bottom w:val="single" w:color="auto" w:sz="4" w:space="0"/>
              <w:right w:val="single" w:color="auto" w:sz="4" w:space="0"/>
            </w:tcBorders>
            <w:vAlign w:val="center"/>
          </w:tcPr>
          <w:p w14:paraId="5D9CEB64">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39.77</w:t>
            </w:r>
          </w:p>
        </w:tc>
      </w:tr>
      <w:tr w14:paraId="68AC0A6A">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52E9E37">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28787B8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12696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307A8E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4BD41C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B1870B5">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63A88E5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468ACF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EC05D0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3F6EE9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B90B17B">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68F574C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B8DDFD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CD21ED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68A8826">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532CA6EB">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730C73D0">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3FC3E8B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9C3EC4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C4C4F4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21AC1C7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B95F17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25D765D">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4692AB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3CDCFF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9AF35B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C2F56C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2CD1EE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2267E2B">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49C32F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FF11A9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F96831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4BBEA5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F20F93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F04B206">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722E9F9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1AD572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1F5FB7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6A6820B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81985F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635FCD9">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2031E4A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51EA48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399B2A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78824A1">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7BCCB9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0DB9DB9">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643EA6A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28D77A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834AAC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90D7C1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7CF1FEE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ACC58D4">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3C789B5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9EC99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4CB5F2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745583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55E1E9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6C7CB49">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19CEA03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6E518A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DEF7AC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0A58A39A">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A570E5A">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8CE65A4">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511E215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0BF1DB8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587E8F9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1437DD77">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0589007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3E2E369">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623B36B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14AF093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A002FD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3726CA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E37E4F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1579D31">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193622E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99</w:t>
            </w:r>
          </w:p>
        </w:tc>
        <w:tc>
          <w:tcPr>
            <w:tcW w:w="1707" w:type="dxa"/>
            <w:tcBorders>
              <w:top w:val="nil"/>
              <w:left w:val="nil"/>
              <w:bottom w:val="single" w:color="auto" w:sz="4" w:space="0"/>
              <w:right w:val="single" w:color="auto" w:sz="4" w:space="0"/>
            </w:tcBorders>
            <w:vAlign w:val="center"/>
          </w:tcPr>
          <w:p w14:paraId="4CE5403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11DE97C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51A5F3AB">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77BE88E5">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6396B7AB">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28110C5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31132AB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47598DE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08CB352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681C0A9">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AC8EF8F">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299B0476">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3B06EF9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1422741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486CBF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6C1BFA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1E237E6">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5E8717F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FAE6AE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147A4B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36ADC9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24A664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B431640">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67B9684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EE202C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F921CE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4BA8BA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59DB2E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DE4E8D0">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41C4437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15BEB4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E5E5A4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76BEC9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38C0CB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D07ECF">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6F9D72C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0648791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2559F72B">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1D3CFE6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5260FB2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D90093E">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49BF75F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11CD0C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9834D6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60AE889">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7F764D1">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8E38BC0">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4C753F2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905C0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CB3BA9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5D16DB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B879EF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CEA69B5">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27E627E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4394EED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439C14A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44A48FD8">
        <w:tblPrEx>
          <w:tblCellMar>
            <w:top w:w="0" w:type="dxa"/>
            <w:left w:w="108" w:type="dxa"/>
            <w:bottom w:w="0" w:type="dxa"/>
            <w:right w:w="108" w:type="dxa"/>
          </w:tblCellMar>
        </w:tblPrEx>
        <w:trPr>
          <w:trHeight w:val="227" w:hRule="atLeast"/>
        </w:trPr>
        <w:tc>
          <w:tcPr>
            <w:tcW w:w="791" w:type="pct"/>
            <w:vMerge w:val="restart"/>
            <w:tcBorders>
              <w:left w:val="single" w:color="auto" w:sz="4" w:space="0"/>
              <w:bottom w:val="single" w:color="auto" w:sz="4" w:space="0"/>
              <w:right w:val="single" w:color="auto" w:sz="4" w:space="0"/>
            </w:tcBorders>
            <w:vAlign w:val="center"/>
          </w:tcPr>
          <w:p w14:paraId="5E6AC28C">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40B6501F">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2D2C98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2D95A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76B90F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C352D61">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82F3BF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71B6AA9">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01D7B4A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B39592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21E371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257222E">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F1A8D9F">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68B7ED1E">
            <w:pPr>
              <w:spacing w:line="240" w:lineRule="auto"/>
              <w:jc w:val="center"/>
              <w:rPr>
                <w:rFonts w:ascii="Arial" w:hAnsi="Arial" w:cs="Arial"/>
                <w:sz w:val="16"/>
                <w:szCs w:val="18"/>
              </w:rPr>
            </w:pPr>
            <w:r>
              <w:rPr>
                <w:rFonts w:hint="eastAsia" w:ascii="Arial" w:hAnsi="Arial" w:cs="Arial"/>
                <w:sz w:val="16"/>
                <w:szCs w:val="18"/>
              </w:rPr>
              <w:t>1.1823</w:t>
            </w:r>
          </w:p>
        </w:tc>
        <w:tc>
          <w:tcPr>
            <w:tcW w:w="897" w:type="pct"/>
            <w:tcBorders>
              <w:top w:val="single" w:color="auto" w:sz="4" w:space="0"/>
              <w:left w:val="nil"/>
              <w:bottom w:val="single" w:color="auto" w:sz="4" w:space="0"/>
              <w:right w:val="single" w:color="auto" w:sz="4" w:space="0"/>
            </w:tcBorders>
            <w:vAlign w:val="center"/>
          </w:tcPr>
          <w:p w14:paraId="73108883">
            <w:pPr>
              <w:spacing w:line="240" w:lineRule="auto"/>
              <w:jc w:val="center"/>
              <w:rPr>
                <w:rFonts w:ascii="Arial" w:hAnsi="Arial" w:cs="Arial"/>
                <w:sz w:val="16"/>
                <w:szCs w:val="18"/>
              </w:rPr>
            </w:pPr>
            <w:r>
              <w:rPr>
                <w:rFonts w:hint="eastAsia" w:ascii="Arial" w:hAnsi="Arial" w:cs="Arial"/>
                <w:sz w:val="16"/>
                <w:szCs w:val="18"/>
              </w:rPr>
              <w:t>1.1704</w:t>
            </w:r>
          </w:p>
        </w:tc>
        <w:tc>
          <w:tcPr>
            <w:tcW w:w="897" w:type="pct"/>
            <w:tcBorders>
              <w:top w:val="single" w:color="auto" w:sz="4" w:space="0"/>
              <w:left w:val="nil"/>
              <w:bottom w:val="single" w:color="auto" w:sz="4" w:space="0"/>
              <w:right w:val="single" w:color="auto" w:sz="4" w:space="0"/>
            </w:tcBorders>
            <w:vAlign w:val="center"/>
          </w:tcPr>
          <w:p w14:paraId="5C520A04">
            <w:pPr>
              <w:spacing w:line="240" w:lineRule="auto"/>
              <w:jc w:val="center"/>
              <w:rPr>
                <w:rFonts w:ascii="Arial" w:hAnsi="Arial" w:cs="Arial"/>
                <w:sz w:val="16"/>
                <w:szCs w:val="18"/>
              </w:rPr>
            </w:pPr>
            <w:r>
              <w:rPr>
                <w:rFonts w:hint="eastAsia" w:ascii="Arial" w:hAnsi="Arial" w:cs="Arial"/>
                <w:sz w:val="16"/>
                <w:szCs w:val="18"/>
              </w:rPr>
              <w:t>1.1924</w:t>
            </w:r>
          </w:p>
        </w:tc>
      </w:tr>
      <w:tr w14:paraId="22931D3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3C719AC">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3830C8F5">
            <w:pPr>
              <w:spacing w:line="240" w:lineRule="auto"/>
              <w:jc w:val="center"/>
              <w:rPr>
                <w:rFonts w:ascii="Arial" w:hAnsi="Arial" w:cs="Arial"/>
                <w:sz w:val="16"/>
                <w:szCs w:val="18"/>
              </w:rPr>
            </w:pPr>
            <w:r>
              <w:rPr>
                <w:rFonts w:hint="eastAsia" w:ascii="Arial" w:hAnsi="Arial" w:cs="Arial"/>
                <w:sz w:val="16"/>
                <w:szCs w:val="18"/>
              </w:rPr>
              <w:t>47.90</w:t>
            </w:r>
          </w:p>
        </w:tc>
        <w:tc>
          <w:tcPr>
            <w:tcW w:w="897" w:type="pct"/>
            <w:tcBorders>
              <w:top w:val="single" w:color="auto" w:sz="4" w:space="0"/>
              <w:left w:val="nil"/>
              <w:bottom w:val="single" w:color="auto" w:sz="4" w:space="0"/>
              <w:right w:val="single" w:color="auto" w:sz="4" w:space="0"/>
            </w:tcBorders>
            <w:vAlign w:val="center"/>
          </w:tcPr>
          <w:p w14:paraId="429A2104">
            <w:pPr>
              <w:spacing w:line="240" w:lineRule="auto"/>
              <w:jc w:val="center"/>
              <w:rPr>
                <w:rFonts w:ascii="Arial" w:hAnsi="Arial" w:cs="Arial"/>
                <w:sz w:val="16"/>
                <w:szCs w:val="18"/>
              </w:rPr>
            </w:pPr>
            <w:r>
              <w:rPr>
                <w:rFonts w:hint="eastAsia" w:ascii="Arial" w:hAnsi="Arial" w:cs="Arial"/>
                <w:sz w:val="16"/>
                <w:szCs w:val="18"/>
              </w:rPr>
              <w:t>46.96</w:t>
            </w:r>
          </w:p>
        </w:tc>
        <w:tc>
          <w:tcPr>
            <w:tcW w:w="897" w:type="pct"/>
            <w:tcBorders>
              <w:top w:val="single" w:color="auto" w:sz="4" w:space="0"/>
              <w:left w:val="nil"/>
              <w:bottom w:val="single" w:color="auto" w:sz="4" w:space="0"/>
              <w:right w:val="single" w:color="auto" w:sz="4" w:space="0"/>
            </w:tcBorders>
            <w:vAlign w:val="center"/>
          </w:tcPr>
          <w:p w14:paraId="2DF17145">
            <w:pPr>
              <w:spacing w:line="240" w:lineRule="auto"/>
              <w:jc w:val="center"/>
              <w:rPr>
                <w:rFonts w:ascii="Arial" w:hAnsi="Arial" w:cs="Arial"/>
                <w:sz w:val="16"/>
                <w:szCs w:val="18"/>
              </w:rPr>
            </w:pPr>
            <w:r>
              <w:rPr>
                <w:rFonts w:hint="eastAsia" w:ascii="Arial" w:hAnsi="Arial" w:cs="Arial"/>
                <w:sz w:val="16"/>
                <w:szCs w:val="18"/>
              </w:rPr>
              <w:t>47.42</w:t>
            </w:r>
          </w:p>
        </w:tc>
      </w:tr>
    </w:tbl>
    <w:p w14:paraId="00D57758">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185017B4">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53AA18BA">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3F836FB9">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即：标准房1</w:t>
      </w:r>
      <w:r>
        <w:rPr>
          <w:rFonts w:hint="eastAsia" w:ascii="Arial" w:hAnsi="Arial"/>
          <w:bCs/>
          <w:sz w:val="21"/>
        </w:rPr>
        <w:t>市场租赁住房租金</w:t>
      </w:r>
      <w:r>
        <w:rPr>
          <w:rFonts w:hint="eastAsia" w:ascii="Arial" w:hAnsi="Arial"/>
          <w:sz w:val="21"/>
          <w:szCs w:val="21"/>
        </w:rPr>
        <w:t>＝（47.90+46.96+447.42）÷</w:t>
      </w:r>
      <w:r>
        <w:rPr>
          <w:rFonts w:ascii="Arial" w:hAnsi="Arial"/>
          <w:sz w:val="21"/>
          <w:szCs w:val="21"/>
        </w:rPr>
        <w:t>3</w:t>
      </w:r>
      <w:r>
        <w:rPr>
          <w:rFonts w:hint="eastAsia" w:ascii="Arial" w:hAnsi="Arial"/>
          <w:sz w:val="21"/>
          <w:szCs w:val="21"/>
        </w:rPr>
        <w:t>+2.3</w:t>
      </w:r>
    </w:p>
    <w:p w14:paraId="3061EDC4">
      <w:pPr>
        <w:wordWrap w:val="0"/>
        <w:overflowPunct w:val="0"/>
        <w:spacing w:line="480" w:lineRule="auto"/>
        <w:ind w:firstLine="3360" w:firstLineChars="1600"/>
        <w:rPr>
          <w:rFonts w:ascii="Arial" w:hAnsi="Arial"/>
          <w:sz w:val="21"/>
          <w:szCs w:val="21"/>
        </w:rPr>
      </w:pPr>
      <w:r>
        <w:rPr>
          <w:rFonts w:hint="eastAsia" w:ascii="Arial" w:hAnsi="Arial"/>
          <w:sz w:val="21"/>
          <w:szCs w:val="21"/>
        </w:rPr>
        <w:t>＝47.43+2.3</w:t>
      </w:r>
    </w:p>
    <w:p w14:paraId="37EB3EB6">
      <w:pPr>
        <w:wordWrap w:val="0"/>
        <w:overflowPunct w:val="0"/>
        <w:spacing w:line="480" w:lineRule="auto"/>
        <w:ind w:firstLine="420" w:firstLineChars="200"/>
        <w:rPr>
          <w:rFonts w:ascii="宋体" w:hAnsi="宋体"/>
          <w:sz w:val="21"/>
          <w:szCs w:val="21"/>
        </w:rPr>
      </w:pPr>
      <w:r>
        <w:rPr>
          <w:rFonts w:ascii="Arial" w:hAnsi="Arial"/>
          <w:sz w:val="21"/>
          <w:szCs w:val="21"/>
        </w:rPr>
        <w:t xml:space="preserve">                            </w:t>
      </w:r>
      <w:r>
        <w:rPr>
          <w:rFonts w:hint="eastAsia" w:ascii="Arial" w:hAnsi="Arial"/>
          <w:sz w:val="21"/>
          <w:szCs w:val="21"/>
        </w:rPr>
        <w:t>＝49.73（元/平方米·月）</w:t>
      </w:r>
      <w:r>
        <w:rPr>
          <w:rFonts w:hint="eastAsia" w:ascii="宋体" w:hAnsi="宋体"/>
          <w:sz w:val="21"/>
          <w:szCs w:val="21"/>
        </w:rPr>
        <w:t>（含物业费、不含取暖费）</w:t>
      </w:r>
    </w:p>
    <w:p w14:paraId="56D1A308">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B.标准房2（两居室</w:t>
      </w:r>
      <w:r>
        <w:rPr>
          <w:rFonts w:hint="eastAsia" w:ascii="宋体" w:hAnsi="宋体"/>
          <w:b/>
          <w:sz w:val="21"/>
          <w:szCs w:val="21"/>
        </w:rPr>
        <w:t>标准房市场租金水平）</w:t>
      </w:r>
    </w:p>
    <w:p w14:paraId="43685EB8">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16069981">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163BA97B">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可比实例4</w:t>
      </w:r>
      <w:r>
        <w:rPr>
          <w:rFonts w:ascii="Arial" w:hAnsi="Arial" w:cs="Arial"/>
          <w:sz w:val="21"/>
          <w:szCs w:val="21"/>
        </w:rPr>
        <w:t>：</w:t>
      </w:r>
    </w:p>
    <w:p w14:paraId="09E18F55">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2D445379">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31430726">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73760D80">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12F0D965">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3CD0AEC4">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可比实例4周边2公里内有漪景苑、埝坛华庭北区、壹品兴创颐和公馆、矿林庄小区、锦华园小区、义和庄东里等居住项目，居住小区规模适中，入住率较好，综合评价居住区成熟度较好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可比实例4</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81.74</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为36.70元/平方米·月（含物业费1.1元/平方米·月、取暖费2.5元/平方米·月）。</w:t>
      </w:r>
    </w:p>
    <w:p w14:paraId="2CCD5C16">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可比实例5</w:t>
      </w:r>
      <w:r>
        <w:rPr>
          <w:rFonts w:ascii="Arial" w:hAnsi="Arial" w:cs="Arial"/>
          <w:sz w:val="21"/>
          <w:szCs w:val="21"/>
        </w:rPr>
        <w:t>：</w:t>
      </w:r>
    </w:p>
    <w:p w14:paraId="5D528B63">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漪景园</w:t>
      </w:r>
    </w:p>
    <w:p w14:paraId="42BA352C">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大兴区林校路60号</w:t>
      </w:r>
    </w:p>
    <w:p w14:paraId="7C96BB8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3DA48B5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6C81B702">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756A8FC">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可比实例5周边2公里内有漪景苑、埝坛华庭北区、壹品兴创颐和公馆、矿林庄小区、锦华园小区、义和庄东里等居住项目，居住小区规模适中，入住率较好，综合评价居住区成熟度较好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可比实例5</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02</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91.32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为37.23元/平方米·月（含物业费1.2元/平方米·月、取暖费2.5元/平方米·月）</w:t>
      </w:r>
      <w:r>
        <w:rPr>
          <w:rFonts w:ascii="Arial" w:hAnsi="Arial" w:cs="Arial"/>
          <w:sz w:val="21"/>
          <w:szCs w:val="21"/>
        </w:rPr>
        <w:t>。</w:t>
      </w:r>
    </w:p>
    <w:p w14:paraId="629D9CB1">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可比实例6</w:t>
      </w:r>
      <w:r>
        <w:rPr>
          <w:rFonts w:ascii="Arial" w:hAnsi="Arial" w:cs="Arial"/>
          <w:sz w:val="21"/>
          <w:szCs w:val="21"/>
        </w:rPr>
        <w:t>：</w:t>
      </w:r>
    </w:p>
    <w:p w14:paraId="539127A3">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联港嘉园</w:t>
      </w:r>
    </w:p>
    <w:p w14:paraId="02AA834B">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大兴区文新南街272号</w:t>
      </w:r>
    </w:p>
    <w:p w14:paraId="627B770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359192B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CB68B84">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730D6EA0">
      <w:pPr>
        <w:wordWrap w:val="0"/>
        <w:overflowPunct w:val="0"/>
        <w:spacing w:line="480" w:lineRule="auto"/>
        <w:ind w:firstLine="420" w:firstLineChars="200"/>
        <w:jc w:val="both"/>
        <w:rPr>
          <w:rFonts w:hint="eastAsia" w:ascii="Arial" w:hAnsi="Arial" w:cs="Arial"/>
          <w:sz w:val="21"/>
          <w:szCs w:val="21"/>
        </w:rPr>
      </w:pPr>
      <w:r>
        <w:rPr>
          <w:rFonts w:hint="eastAsia" w:ascii="Arial" w:hAnsi="Arial" w:cs="Arial"/>
          <w:sz w:val="21"/>
          <w:szCs w:val="21"/>
        </w:rPr>
        <w:t>可比实例6周边有德贤华府、埝坛华庭西区、埝坛华庭北区等居住项目，居住小区规模适中，入住率一般，综合评价居住社区成熟度一般</w:t>
      </w:r>
      <w:r>
        <w:rPr>
          <w:rFonts w:ascii="Arial" w:hAnsi="Arial" w:cs="Arial"/>
          <w:sz w:val="21"/>
          <w:szCs w:val="21"/>
        </w:rPr>
        <w:t>；紧邻城市</w:t>
      </w:r>
      <w:r>
        <w:rPr>
          <w:rFonts w:hint="eastAsia" w:ascii="Arial" w:hAnsi="Arial" w:cs="Arial"/>
          <w:sz w:val="21"/>
          <w:szCs w:val="21"/>
        </w:rPr>
        <w:t>主干道——兴良路</w:t>
      </w:r>
      <w:r>
        <w:rPr>
          <w:rFonts w:ascii="Arial" w:hAnsi="Arial" w:cs="Arial"/>
          <w:sz w:val="21"/>
          <w:szCs w:val="21"/>
        </w:rPr>
        <w:t>，</w:t>
      </w:r>
      <w:r>
        <w:rPr>
          <w:rFonts w:hint="eastAsia" w:ascii="Arial" w:hAnsi="Arial" w:cs="Arial"/>
          <w:kern w:val="2"/>
          <w:sz w:val="21"/>
          <w:szCs w:val="21"/>
        </w:rPr>
        <w:t>周边2公里范围内无轨道交通站点，周边1公里内有兴13路、兴37路、兴53路、840路等公交线路途径并设立站点，综合评价交通便捷度一般；</w:t>
      </w:r>
      <w:r>
        <w:rPr>
          <w:rFonts w:hint="eastAsia" w:ascii="Arial" w:hAnsi="Arial" w:cs="Arial"/>
          <w:sz w:val="21"/>
          <w:szCs w:val="21"/>
        </w:rPr>
        <w:t>周边2公里有念坛公园、兴良路公园、永定公园、小龙河等自然景观，有首都医科大学（大兴校区）、金隅高新产业园等人文环境、综合评价自然与人文环境较好</w:t>
      </w:r>
      <w:r>
        <w:rPr>
          <w:rFonts w:ascii="Arial" w:hAnsi="Arial" w:cs="Arial"/>
          <w:sz w:val="21"/>
          <w:szCs w:val="21"/>
        </w:rPr>
        <w:t>；</w:t>
      </w:r>
      <w:r>
        <w:rPr>
          <w:rFonts w:hint="eastAsia" w:ascii="Arial" w:hAnsi="Arial" w:cs="Arial"/>
          <w:sz w:val="21"/>
          <w:szCs w:val="21"/>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可比实例6</w:t>
      </w:r>
      <w:r>
        <w:rPr>
          <w:rFonts w:ascii="Arial" w:hAnsi="Arial" w:cs="Arial"/>
          <w:sz w:val="21"/>
          <w:szCs w:val="21"/>
        </w:rPr>
        <w:t>为</w:t>
      </w:r>
      <w:r>
        <w:rPr>
          <w:rFonts w:hint="eastAsia" w:ascii="Arial" w:hAnsi="Arial" w:cs="Arial"/>
          <w:sz w:val="21"/>
          <w:szCs w:val="21"/>
        </w:rPr>
        <w:t>两</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13</w:t>
      </w:r>
      <w:r>
        <w:rPr>
          <w:rFonts w:ascii="Arial" w:hAnsi="Arial" w:cs="Arial"/>
          <w:sz w:val="21"/>
          <w:szCs w:val="21"/>
        </w:rPr>
        <w:t>年，建筑结构为钢混结构，</w:t>
      </w:r>
      <w:r>
        <w:rPr>
          <w:rFonts w:hint="eastAsia" w:ascii="Arial" w:hAnsi="Arial" w:cs="Arial"/>
          <w:sz w:val="21"/>
          <w:szCs w:val="21"/>
        </w:rPr>
        <w:t>装修为中档装修</w:t>
      </w:r>
      <w:r>
        <w:rPr>
          <w:rFonts w:ascii="Arial" w:hAnsi="Arial" w:cs="Arial"/>
          <w:sz w:val="21"/>
          <w:szCs w:val="21"/>
        </w:rPr>
        <w:t>，建筑面积为</w:t>
      </w:r>
      <w:r>
        <w:rPr>
          <w:rFonts w:hint="eastAsia" w:ascii="Arial" w:hAnsi="Arial" w:cs="Arial"/>
          <w:sz w:val="21"/>
          <w:szCs w:val="21"/>
        </w:rPr>
        <w:t>88.22</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w:t>
      </w:r>
    </w:p>
    <w:p w14:paraId="7213054A">
      <w:pPr>
        <w:wordWrap w:val="0"/>
        <w:overflowPunct w:val="0"/>
        <w:spacing w:line="480" w:lineRule="auto"/>
        <w:jc w:val="both"/>
        <w:rPr>
          <w:rFonts w:ascii="Arial" w:hAnsi="Arial" w:cs="Arial"/>
          <w:sz w:val="21"/>
          <w:szCs w:val="21"/>
        </w:rPr>
      </w:pPr>
      <w:commentRangeStart w:id="10"/>
      <w:r>
        <w:rPr>
          <w:rFonts w:hint="eastAsia" w:ascii="Arial" w:hAnsi="Arial" w:cs="Arial"/>
          <w:sz w:val="21"/>
          <w:szCs w:val="21"/>
        </w:rPr>
        <w:t>38.54元/平方米·月</w:t>
      </w:r>
      <w:commentRangeEnd w:id="10"/>
      <w:r>
        <w:rPr>
          <w:rStyle w:val="40"/>
        </w:rPr>
        <w:commentReference w:id="10"/>
      </w:r>
      <w:r>
        <w:rPr>
          <w:rFonts w:hint="eastAsia" w:ascii="Arial" w:hAnsi="Arial" w:cs="Arial"/>
          <w:sz w:val="21"/>
          <w:szCs w:val="21"/>
        </w:rPr>
        <w:t>（含物业费1.56元/平方米·月、取暖费2.5元/平方米·月）</w:t>
      </w:r>
      <w:r>
        <w:rPr>
          <w:rFonts w:ascii="Arial" w:hAnsi="Arial" w:cs="Arial"/>
          <w:sz w:val="21"/>
          <w:szCs w:val="21"/>
        </w:rPr>
        <w:t>。</w:t>
      </w:r>
    </w:p>
    <w:p w14:paraId="5EBEECE1">
      <w:pPr>
        <w:rPr>
          <w:rFonts w:ascii="宋体" w:hAnsi="宋体"/>
          <w:sz w:val="21"/>
          <w:szCs w:val="21"/>
        </w:rPr>
      </w:pPr>
      <w:r>
        <w:rPr>
          <w:rFonts w:hint="eastAsia" w:ascii="宋体" w:hAnsi="宋体"/>
          <w:sz w:val="21"/>
          <w:szCs w:val="21"/>
        </w:rPr>
        <w:br w:type="page"/>
      </w:r>
    </w:p>
    <w:p w14:paraId="5D925D76">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5937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3185D0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68B56AE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12D2CA7B">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1812" w:type="dxa"/>
            <w:vAlign w:val="center"/>
          </w:tcPr>
          <w:p w14:paraId="3BAE8AC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1815" w:type="dxa"/>
            <w:vAlign w:val="center"/>
          </w:tcPr>
          <w:p w14:paraId="320DDF30">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p>
        </w:tc>
      </w:tr>
      <w:tr w14:paraId="7F7E7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3DC6A3E">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49E4BBA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1812" w:type="dxa"/>
            <w:vAlign w:val="center"/>
          </w:tcPr>
          <w:p w14:paraId="66FF6AB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6FAE4DD7">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815" w:type="dxa"/>
            <w:vAlign w:val="center"/>
          </w:tcPr>
          <w:p w14:paraId="0CED1D0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01C6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1DE7E88">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3FA90358">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51F21BF0">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36.70</w:t>
            </w:r>
          </w:p>
        </w:tc>
        <w:tc>
          <w:tcPr>
            <w:tcW w:w="1812" w:type="dxa"/>
            <w:vAlign w:val="center"/>
          </w:tcPr>
          <w:p w14:paraId="50269F47">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37.23</w:t>
            </w:r>
          </w:p>
        </w:tc>
        <w:tc>
          <w:tcPr>
            <w:tcW w:w="1815" w:type="dxa"/>
            <w:vAlign w:val="center"/>
          </w:tcPr>
          <w:p w14:paraId="74B93F81">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38.54</w:t>
            </w:r>
          </w:p>
        </w:tc>
      </w:tr>
      <w:tr w14:paraId="3213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2CBDB1C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045A3B9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14AD235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2" w:type="dxa"/>
            <w:vAlign w:val="center"/>
          </w:tcPr>
          <w:p w14:paraId="51309FE2">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5" w:type="dxa"/>
            <w:vAlign w:val="center"/>
          </w:tcPr>
          <w:p w14:paraId="5172898D">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r>
      <w:tr w14:paraId="1C6E9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BECA9C7">
            <w:pPr>
              <w:pStyle w:val="61"/>
              <w:autoSpaceDE w:val="0"/>
              <w:autoSpaceDN w:val="0"/>
              <w:spacing w:line="240" w:lineRule="exact"/>
              <w:textAlignment w:val="bottom"/>
              <w:rPr>
                <w:rFonts w:ascii="Arial" w:hAnsi="Arial" w:cs="Arial"/>
                <w:sz w:val="16"/>
                <w:szCs w:val="18"/>
              </w:rPr>
            </w:pPr>
          </w:p>
        </w:tc>
        <w:tc>
          <w:tcPr>
            <w:tcW w:w="1812" w:type="dxa"/>
            <w:vAlign w:val="center"/>
          </w:tcPr>
          <w:p w14:paraId="013A01DA">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2965B168">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3D53B8E0">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3.70</w:t>
            </w:r>
          </w:p>
        </w:tc>
        <w:tc>
          <w:tcPr>
            <w:tcW w:w="1815" w:type="dxa"/>
            <w:vAlign w:val="center"/>
          </w:tcPr>
          <w:p w14:paraId="4FE8436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4.06</w:t>
            </w:r>
          </w:p>
        </w:tc>
      </w:tr>
      <w:tr w14:paraId="3D58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98886D9">
            <w:pPr>
              <w:pStyle w:val="61"/>
              <w:autoSpaceDE w:val="0"/>
              <w:autoSpaceDN w:val="0"/>
              <w:spacing w:line="240" w:lineRule="exact"/>
              <w:textAlignment w:val="bottom"/>
              <w:rPr>
                <w:rFonts w:ascii="Arial" w:hAnsi="Arial" w:cs="Arial"/>
                <w:sz w:val="16"/>
                <w:szCs w:val="18"/>
              </w:rPr>
            </w:pPr>
          </w:p>
        </w:tc>
        <w:tc>
          <w:tcPr>
            <w:tcW w:w="1812" w:type="dxa"/>
            <w:vAlign w:val="center"/>
          </w:tcPr>
          <w:p w14:paraId="65AA173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494A41E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33.10</w:t>
            </w:r>
          </w:p>
        </w:tc>
        <w:tc>
          <w:tcPr>
            <w:tcW w:w="1812" w:type="dxa"/>
            <w:vAlign w:val="center"/>
          </w:tcPr>
          <w:p w14:paraId="40CFCE81">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15" w:type="dxa"/>
            <w:vAlign w:val="center"/>
          </w:tcPr>
          <w:p w14:paraId="7F32078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34.48</w:t>
            </w:r>
          </w:p>
        </w:tc>
      </w:tr>
      <w:tr w14:paraId="0AD1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0652DA0D">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3383DAD2">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646E89AC">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7FA46E1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622043B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4E514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CD895D1">
            <w:pPr>
              <w:pStyle w:val="61"/>
              <w:autoSpaceDE w:val="0"/>
              <w:autoSpaceDN w:val="0"/>
              <w:spacing w:line="240" w:lineRule="exact"/>
              <w:textAlignment w:val="bottom"/>
              <w:rPr>
                <w:rFonts w:ascii="Arial" w:hAnsi="Arial" w:cs="Arial"/>
                <w:sz w:val="16"/>
                <w:szCs w:val="18"/>
              </w:rPr>
            </w:pPr>
          </w:p>
        </w:tc>
        <w:tc>
          <w:tcPr>
            <w:tcW w:w="1812" w:type="dxa"/>
            <w:vAlign w:val="center"/>
          </w:tcPr>
          <w:p w14:paraId="0BF84487">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4E699B1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447006C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18C16520">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4EAB7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FE236C0">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445B366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7A42A7F0">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A31ADED">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0EEA5429">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1BFC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229E30AC">
            <w:pPr>
              <w:pStyle w:val="61"/>
              <w:autoSpaceDE w:val="0"/>
              <w:autoSpaceDN w:val="0"/>
              <w:spacing w:line="240" w:lineRule="exact"/>
              <w:textAlignment w:val="bottom"/>
              <w:rPr>
                <w:rFonts w:ascii="Arial" w:hAnsi="Arial" w:cs="Arial"/>
                <w:sz w:val="16"/>
                <w:szCs w:val="18"/>
              </w:rPr>
            </w:pPr>
          </w:p>
        </w:tc>
        <w:tc>
          <w:tcPr>
            <w:tcW w:w="1812" w:type="dxa"/>
            <w:vAlign w:val="center"/>
          </w:tcPr>
          <w:p w14:paraId="29BDFD5E">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78ADD28A">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3F72FEB4">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39A221EC">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2D9F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34A7E684">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rPr>
              <w:t>元/㎡·月</w:t>
            </w:r>
            <w:r>
              <w:rPr>
                <w:rFonts w:ascii="Arial" w:hAnsi="Arial" w:cs="Arial"/>
                <w:sz w:val="16"/>
                <w:szCs w:val="18"/>
              </w:rPr>
              <w:t>）</w:t>
            </w:r>
          </w:p>
        </w:tc>
        <w:tc>
          <w:tcPr>
            <w:tcW w:w="1812" w:type="dxa"/>
            <w:vAlign w:val="center"/>
          </w:tcPr>
          <w:p w14:paraId="2843294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33933BA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33.10</w:t>
            </w:r>
          </w:p>
        </w:tc>
        <w:tc>
          <w:tcPr>
            <w:tcW w:w="1812" w:type="dxa"/>
            <w:vAlign w:val="center"/>
          </w:tcPr>
          <w:p w14:paraId="3264F5C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15" w:type="dxa"/>
            <w:vAlign w:val="center"/>
          </w:tcPr>
          <w:p w14:paraId="663580E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34.48</w:t>
            </w:r>
          </w:p>
        </w:tc>
      </w:tr>
    </w:tbl>
    <w:p w14:paraId="66E18B13">
      <w:pPr>
        <w:wordWrap w:val="0"/>
        <w:overflowPunct w:val="0"/>
        <w:spacing w:line="480" w:lineRule="auto"/>
        <w:ind w:firstLine="420" w:firstLineChars="200"/>
        <w:rPr>
          <w:rFonts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495EF9BF">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75A155A1">
            <w:pPr>
              <w:jc w:val="center"/>
              <w:rPr>
                <w:rFonts w:ascii="华文细黑" w:hAnsi="华文细黑" w:eastAsia="华文细黑"/>
              </w:rPr>
            </w:pPr>
            <w:r>
              <w:rPr>
                <w:rFonts w:hint="eastAsia" w:ascii="华文细黑" w:hAnsi="华文细黑" w:eastAsia="华文细黑"/>
              </w:rPr>
              <w:t>实例位置</w:t>
            </w:r>
          </w:p>
        </w:tc>
      </w:tr>
      <w:tr w14:paraId="2496954F">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5BA002C1">
            <w:pPr>
              <w:jc w:val="center"/>
              <w:rPr>
                <w:rFonts w:ascii="Calibri" w:hAnsi="Calibri"/>
              </w:rPr>
            </w:pPr>
            <w:r>
              <w:drawing>
                <wp:inline distT="0" distB="0" distL="114300" distR="114300">
                  <wp:extent cx="5868035" cy="3944620"/>
                  <wp:effectExtent l="0" t="0" r="14605" b="2540"/>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49"/>
                          <a:stretch>
                            <a:fillRect/>
                          </a:stretch>
                        </pic:blipFill>
                        <pic:spPr>
                          <a:xfrm>
                            <a:off x="0" y="0"/>
                            <a:ext cx="5868035" cy="3944620"/>
                          </a:xfrm>
                          <a:prstGeom prst="rect">
                            <a:avLst/>
                          </a:prstGeom>
                          <a:noFill/>
                          <a:ln>
                            <a:noFill/>
                          </a:ln>
                        </pic:spPr>
                      </pic:pic>
                    </a:graphicData>
                  </a:graphic>
                </wp:inline>
              </w:drawing>
            </w:r>
          </w:p>
        </w:tc>
      </w:tr>
    </w:tbl>
    <w:p w14:paraId="3FEAC074"/>
    <w:p w14:paraId="2BE60A4B">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3325A528">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463DB511">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3122E28F">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4858163B">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7659B317">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6A387B81">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968" w:type="pct"/>
            <w:tcBorders>
              <w:top w:val="single" w:color="auto" w:sz="4" w:space="0"/>
              <w:left w:val="nil"/>
              <w:bottom w:val="single" w:color="auto" w:sz="4" w:space="0"/>
              <w:right w:val="single" w:color="auto" w:sz="4" w:space="0"/>
            </w:tcBorders>
            <w:vAlign w:val="center"/>
          </w:tcPr>
          <w:p w14:paraId="13E6F15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970" w:type="pct"/>
            <w:tcBorders>
              <w:top w:val="single" w:color="auto" w:sz="4" w:space="0"/>
              <w:left w:val="nil"/>
              <w:bottom w:val="single" w:color="auto" w:sz="4" w:space="0"/>
              <w:right w:val="single" w:color="auto" w:sz="4" w:space="0"/>
            </w:tcBorders>
            <w:vAlign w:val="center"/>
          </w:tcPr>
          <w:p w14:paraId="1DC5322E">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6</w:t>
            </w:r>
          </w:p>
        </w:tc>
      </w:tr>
      <w:tr w14:paraId="0BF341A9">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225A453E">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7C1F255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968" w:type="pct"/>
            <w:tcBorders>
              <w:top w:val="nil"/>
              <w:left w:val="nil"/>
              <w:bottom w:val="single" w:color="auto" w:sz="4" w:space="0"/>
              <w:right w:val="single" w:color="auto" w:sz="4" w:space="0"/>
            </w:tcBorders>
            <w:vAlign w:val="center"/>
          </w:tcPr>
          <w:p w14:paraId="51E7DE2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4741974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970" w:type="pct"/>
            <w:tcBorders>
              <w:top w:val="nil"/>
              <w:left w:val="nil"/>
              <w:bottom w:val="single" w:color="auto" w:sz="4" w:space="0"/>
              <w:right w:val="single" w:color="auto" w:sz="4" w:space="0"/>
            </w:tcBorders>
            <w:vAlign w:val="center"/>
          </w:tcPr>
          <w:p w14:paraId="3A55E306">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4A65ED8A">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E2ABA21">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18332D47">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44" w:type="dxa"/>
            <w:tcBorders>
              <w:top w:val="nil"/>
              <w:left w:val="nil"/>
              <w:bottom w:val="single" w:color="auto" w:sz="4" w:space="0"/>
              <w:right w:val="single" w:color="auto" w:sz="4" w:space="0"/>
            </w:tcBorders>
            <w:vAlign w:val="center"/>
          </w:tcPr>
          <w:p w14:paraId="7E5CB37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33.10</w:t>
            </w:r>
          </w:p>
        </w:tc>
        <w:tc>
          <w:tcPr>
            <w:tcW w:w="1844" w:type="dxa"/>
            <w:tcBorders>
              <w:top w:val="nil"/>
              <w:left w:val="nil"/>
              <w:bottom w:val="single" w:color="auto" w:sz="4" w:space="0"/>
              <w:right w:val="single" w:color="auto" w:sz="4" w:space="0"/>
            </w:tcBorders>
            <w:vAlign w:val="center"/>
          </w:tcPr>
          <w:p w14:paraId="455EB32D">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847" w:type="dxa"/>
            <w:tcBorders>
              <w:top w:val="nil"/>
              <w:left w:val="nil"/>
              <w:bottom w:val="single" w:color="auto" w:sz="4" w:space="0"/>
              <w:right w:val="single" w:color="auto" w:sz="4" w:space="0"/>
            </w:tcBorders>
            <w:vAlign w:val="center"/>
          </w:tcPr>
          <w:p w14:paraId="5D0CAD6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34.48</w:t>
            </w:r>
          </w:p>
        </w:tc>
      </w:tr>
      <w:tr w14:paraId="4D01CDA0">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35690CA">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6AFD5E1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150E6CFF">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65783CBD">
            <w:pPr>
              <w:widowControl/>
              <w:adjustRightInd/>
              <w:spacing w:line="240" w:lineRule="auto"/>
              <w:jc w:val="center"/>
              <w:textAlignment w:val="auto"/>
              <w:rPr>
                <w:rFonts w:ascii="Arial" w:hAnsi="Arial" w:cs="Arial"/>
                <w:sz w:val="16"/>
                <w:szCs w:val="18"/>
              </w:rPr>
            </w:pPr>
            <w:commentRangeStart w:id="11"/>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commentRangeEnd w:id="11"/>
            <w:r>
              <w:rPr>
                <w:rStyle w:val="40"/>
              </w:rPr>
              <w:commentReference w:id="11"/>
            </w:r>
          </w:p>
        </w:tc>
        <w:tc>
          <w:tcPr>
            <w:tcW w:w="970" w:type="pct"/>
            <w:tcBorders>
              <w:top w:val="nil"/>
              <w:left w:val="nil"/>
              <w:bottom w:val="single" w:color="auto" w:sz="4" w:space="0"/>
              <w:right w:val="single" w:color="auto" w:sz="4" w:space="0"/>
            </w:tcBorders>
            <w:vAlign w:val="center"/>
          </w:tcPr>
          <w:p w14:paraId="50BF1126">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1F6F4B9C">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93A3F67">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2A9F28D0">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36ED7799">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4F11FFB9">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008C3F9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52563CC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0BB4606A">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21E37F1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2F8F568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28F67D7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13377A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2FEA2B85">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5166006F">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512B8095">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1844" w:type="dxa"/>
            <w:tcBorders>
              <w:top w:val="nil"/>
              <w:left w:val="nil"/>
              <w:bottom w:val="single" w:color="auto" w:sz="4" w:space="0"/>
              <w:right w:val="single" w:color="auto" w:sz="4" w:space="0"/>
            </w:tcBorders>
            <w:vAlign w:val="center"/>
          </w:tcPr>
          <w:p w14:paraId="0CF0C14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估价对象周边2公里内有德贤华府、兴水家园、漪景园、矿林庄小区、锦华园小区、义和庄东里等居住项目，居住小区规模适中，入住率较好，综合评价居住社区成熟度较好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0B34736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763BF46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751B35C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周边2公里内有德贤华府、埝坛华庭西区、埝坛华庭北区等居住项目，居住小区规模适中，入住率一般，综合评价居住社区成熟度一般</w:t>
            </w:r>
          </w:p>
        </w:tc>
      </w:tr>
      <w:tr w14:paraId="1F3E6E0D">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594514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65FEE0F7">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1844" w:type="dxa"/>
            <w:tcBorders>
              <w:top w:val="nil"/>
              <w:left w:val="nil"/>
              <w:bottom w:val="single" w:color="auto" w:sz="4" w:space="0"/>
              <w:right w:val="single" w:color="auto" w:sz="4" w:space="0"/>
            </w:tcBorders>
            <w:vAlign w:val="center"/>
          </w:tcPr>
          <w:p w14:paraId="7E094B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c>
          <w:tcPr>
            <w:tcW w:w="968" w:type="pct"/>
            <w:tcBorders>
              <w:top w:val="nil"/>
              <w:left w:val="nil"/>
              <w:bottom w:val="single" w:color="auto" w:sz="4" w:space="0"/>
              <w:right w:val="single" w:color="auto" w:sz="4" w:space="0"/>
            </w:tcBorders>
            <w:vAlign w:val="center"/>
          </w:tcPr>
          <w:p w14:paraId="459704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4D87F69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740C84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r>
      <w:tr w14:paraId="505F4B90">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910BE3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25E277C">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1844" w:type="dxa"/>
            <w:tcBorders>
              <w:top w:val="nil"/>
              <w:left w:val="nil"/>
              <w:bottom w:val="single" w:color="auto" w:sz="4" w:space="0"/>
              <w:right w:val="single" w:color="auto" w:sz="4" w:space="0"/>
            </w:tcBorders>
            <w:vAlign w:val="center"/>
          </w:tcPr>
          <w:p w14:paraId="011DA24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68E75CA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0EDA4A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6776B73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周边2公里范围内无轨道交通站点</w:t>
            </w:r>
          </w:p>
        </w:tc>
      </w:tr>
      <w:tr w14:paraId="3468A3C7">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2E2AEF2">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D5E7FBC">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1844" w:type="dxa"/>
            <w:tcBorders>
              <w:top w:val="nil"/>
              <w:left w:val="nil"/>
              <w:bottom w:val="single" w:color="auto" w:sz="4" w:space="0"/>
              <w:right w:val="single" w:color="auto" w:sz="4" w:space="0"/>
            </w:tcBorders>
            <w:vAlign w:val="center"/>
          </w:tcPr>
          <w:p w14:paraId="2D57390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周边1公里内有456路、827路、829路、840路、兴11路、兴21路等公交线路途径并设立站点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06335A0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7B12410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0656362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周边1公里内有兴13路、兴37路、兴53路、840路等公交线路途径并设立站点</w:t>
            </w:r>
          </w:p>
        </w:tc>
      </w:tr>
      <w:tr w14:paraId="78A48B99">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D5FDDD0">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1CD4A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1844" w:type="dxa"/>
            <w:tcBorders>
              <w:top w:val="nil"/>
              <w:left w:val="nil"/>
              <w:bottom w:val="single" w:color="auto" w:sz="4" w:space="0"/>
              <w:right w:val="single" w:color="auto" w:sz="4" w:space="0"/>
            </w:tcBorders>
            <w:vAlign w:val="center"/>
          </w:tcPr>
          <w:p w14:paraId="4BA49E5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55AFCDF">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0EA3B04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38ADA52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1A9C5B7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B8C57A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20B91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1844" w:type="dxa"/>
            <w:tcBorders>
              <w:top w:val="nil"/>
              <w:left w:val="nil"/>
              <w:bottom w:val="single" w:color="auto" w:sz="4" w:space="0"/>
              <w:right w:val="single" w:color="auto" w:sz="4" w:space="0"/>
            </w:tcBorders>
            <w:vAlign w:val="center"/>
          </w:tcPr>
          <w:p w14:paraId="00CF966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估价对象周边2公里有念坛公园、兴良路公园、永定公园、小龙河等自然景观，有首都医科大学（大兴校区）、金隅高新产业园等人文环境、综合评价自然与人文环境较好</w:t>
            </w:r>
          </w:p>
        </w:tc>
        <w:tc>
          <w:tcPr>
            <w:tcW w:w="968" w:type="pct"/>
            <w:tcBorders>
              <w:top w:val="nil"/>
              <w:left w:val="nil"/>
              <w:bottom w:val="single" w:color="auto" w:sz="4" w:space="0"/>
              <w:right w:val="single" w:color="auto" w:sz="4" w:space="0"/>
            </w:tcBorders>
            <w:vAlign w:val="center"/>
          </w:tcPr>
          <w:p w14:paraId="36C9743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697D0FF1">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7DD9764D">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周边2公里有念坛公园、兴良路公园、永定公园、小龙河等自然景观，有首都医科大学（大兴校区）、金隅高新产业园等人文环境、综合评价自然与人文环境较好</w:t>
            </w:r>
          </w:p>
        </w:tc>
      </w:tr>
      <w:tr w14:paraId="3B168753">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7B6CAE14">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35F1FA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1844" w:type="dxa"/>
            <w:tcBorders>
              <w:top w:val="nil"/>
              <w:left w:val="nil"/>
              <w:bottom w:val="single" w:color="auto" w:sz="4" w:space="0"/>
              <w:right w:val="single" w:color="auto" w:sz="4" w:space="0"/>
            </w:tcBorders>
            <w:vAlign w:val="center"/>
          </w:tcPr>
          <w:p w14:paraId="434E93E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388CC1E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0AF7DBF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61BD6D4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42D3F30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6A525404">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36E07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1844" w:type="dxa"/>
            <w:tcBorders>
              <w:top w:val="nil"/>
              <w:left w:val="nil"/>
              <w:bottom w:val="single" w:color="auto" w:sz="4" w:space="0"/>
              <w:right w:val="single" w:color="auto" w:sz="4" w:space="0"/>
            </w:tcBorders>
            <w:vAlign w:val="center"/>
          </w:tcPr>
          <w:p w14:paraId="5F276DB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龙湖北京大兴天街、北京明发广场等商业场所；有北京市邮政学校、北京育才学校（大兴分校）、新星双语艺术幼儿园等教育机构，有北京市大兴区心康医院、天宫院街道社区卫生服务中心等医疗机构；有中国银行、中国工商银行等金融网点，公共配套设施状况较好</w:t>
            </w:r>
          </w:p>
        </w:tc>
        <w:tc>
          <w:tcPr>
            <w:tcW w:w="968" w:type="pct"/>
            <w:tcBorders>
              <w:top w:val="nil"/>
              <w:left w:val="nil"/>
              <w:bottom w:val="single" w:color="auto" w:sz="4" w:space="0"/>
              <w:right w:val="single" w:color="auto" w:sz="4" w:space="0"/>
            </w:tcBorders>
            <w:vAlign w:val="center"/>
          </w:tcPr>
          <w:p w14:paraId="06A941EE">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2652F44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5771C65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无大型购物中心，有世纪华联超市（太福店）超市等生活配套商业；有北京教育学院附属大兴实验小学、联港嘉园幼儿园等教育机构，有北臧村社区卫生服务中心等医疗机构；有北京农商银行（联港嘉园分理处）等金融网点，公共配套设施状况一般</w:t>
            </w:r>
          </w:p>
        </w:tc>
      </w:tr>
      <w:tr w14:paraId="1E87458E">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81FC03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51EDC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1C09428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2A49BBF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69BBB4E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6119315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小高层板楼</w:t>
            </w:r>
          </w:p>
        </w:tc>
      </w:tr>
      <w:tr w14:paraId="624A09B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68415B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544262CD">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1D5315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AD2621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34091E5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5CDE96B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106F130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4D643DCC">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19A3A669">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3633C1D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7A9F473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4B7AFB9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4812B32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0B93A7D8">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103A51DC">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286315A1">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7C41778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692B50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7536CE1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528D236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80</w:t>
            </w:r>
            <w:r>
              <w:rPr>
                <w:rFonts w:ascii="Arial" w:hAnsi="Arial" w:cs="Arial"/>
                <w:sz w:val="16"/>
                <w:szCs w:val="18"/>
              </w:rPr>
              <w:t>%</w:t>
            </w:r>
          </w:p>
        </w:tc>
      </w:tr>
      <w:tr w14:paraId="2FED3F6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A9ACE41">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5FE763B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4AE91DA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6C225B2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7D10448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7420F8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62B2A18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BA5183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479F0E16">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844" w:type="dxa"/>
            <w:tcBorders>
              <w:top w:val="single" w:color="auto" w:sz="4" w:space="0"/>
              <w:left w:val="nil"/>
              <w:bottom w:val="single" w:color="auto" w:sz="4" w:space="0"/>
              <w:right w:val="single" w:color="auto" w:sz="4" w:space="0"/>
            </w:tcBorders>
            <w:vAlign w:val="center"/>
          </w:tcPr>
          <w:p w14:paraId="3BEC317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6F337DE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2571B3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15F492D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71A5D85A">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79EC1DFF">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7247AAEE">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27570DC">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2E778044">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39806A19">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0E73202B">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798319D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269E085">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2D7107B">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7FA00112">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3855FDD6">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55F7BC9A">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1C0B5330">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3AC1014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58389A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12439944">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465B8CE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4138A9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68" w:type="pct"/>
            <w:tcBorders>
              <w:top w:val="single" w:color="auto" w:sz="4" w:space="0"/>
              <w:left w:val="nil"/>
              <w:bottom w:val="single" w:color="auto" w:sz="4" w:space="0"/>
              <w:right w:val="single" w:color="auto" w:sz="4" w:space="0"/>
            </w:tcBorders>
            <w:vAlign w:val="center"/>
          </w:tcPr>
          <w:p w14:paraId="35C671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c>
          <w:tcPr>
            <w:tcW w:w="970" w:type="pct"/>
            <w:tcBorders>
              <w:top w:val="single" w:color="auto" w:sz="4" w:space="0"/>
              <w:left w:val="nil"/>
              <w:bottom w:val="single" w:color="auto" w:sz="4" w:space="0"/>
              <w:right w:val="single" w:color="auto" w:sz="4" w:space="0"/>
            </w:tcBorders>
            <w:vAlign w:val="center"/>
          </w:tcPr>
          <w:p w14:paraId="18F2EED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两居室</w:t>
            </w:r>
          </w:p>
        </w:tc>
      </w:tr>
      <w:tr w14:paraId="2C4DE589">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95BA8FD">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6C6EA65C">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6BF0F6F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163EDF4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0507C11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1588631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29D42E8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36B887E">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F602DCE">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77C9FE1E">
            <w:pPr>
              <w:widowControl/>
              <w:adjustRightInd/>
              <w:spacing w:line="240" w:lineRule="auto"/>
              <w:jc w:val="center"/>
              <w:textAlignment w:val="auto"/>
              <w:rPr>
                <w:rFonts w:ascii="Arial" w:hAnsi="Arial" w:cs="Arial"/>
                <w:sz w:val="16"/>
                <w:szCs w:val="18"/>
              </w:rPr>
            </w:pPr>
            <w:commentRangeStart w:id="12"/>
            <w:r>
              <w:rPr>
                <w:rFonts w:hint="eastAsia" w:ascii="Arial" w:hAnsi="Arial" w:cs="Arial"/>
                <w:sz w:val="16"/>
                <w:szCs w:val="18"/>
              </w:rPr>
              <w:t>84.11</w:t>
            </w:r>
          </w:p>
        </w:tc>
        <w:tc>
          <w:tcPr>
            <w:tcW w:w="968" w:type="pct"/>
            <w:tcBorders>
              <w:top w:val="single" w:color="auto" w:sz="4" w:space="0"/>
              <w:left w:val="nil"/>
              <w:bottom w:val="single" w:color="auto" w:sz="4" w:space="0"/>
              <w:right w:val="single" w:color="auto" w:sz="4" w:space="0"/>
            </w:tcBorders>
            <w:vAlign w:val="center"/>
          </w:tcPr>
          <w:p w14:paraId="1B26AD4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81.74</w:t>
            </w:r>
          </w:p>
        </w:tc>
        <w:tc>
          <w:tcPr>
            <w:tcW w:w="968" w:type="pct"/>
            <w:tcBorders>
              <w:top w:val="single" w:color="auto" w:sz="4" w:space="0"/>
              <w:left w:val="nil"/>
              <w:bottom w:val="single" w:color="auto" w:sz="4" w:space="0"/>
              <w:right w:val="single" w:color="auto" w:sz="4" w:space="0"/>
            </w:tcBorders>
            <w:vAlign w:val="center"/>
          </w:tcPr>
          <w:p w14:paraId="35D2315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91.32</w:t>
            </w:r>
          </w:p>
        </w:tc>
        <w:tc>
          <w:tcPr>
            <w:tcW w:w="970" w:type="pct"/>
            <w:tcBorders>
              <w:top w:val="single" w:color="auto" w:sz="4" w:space="0"/>
              <w:left w:val="nil"/>
              <w:bottom w:val="single" w:color="auto" w:sz="4" w:space="0"/>
              <w:right w:val="single" w:color="auto" w:sz="4" w:space="0"/>
            </w:tcBorders>
            <w:vAlign w:val="center"/>
          </w:tcPr>
          <w:p w14:paraId="5BBAD6E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88.22</w:t>
            </w:r>
            <w:commentRangeEnd w:id="12"/>
            <w:r>
              <w:rPr>
                <w:rStyle w:val="40"/>
              </w:rPr>
              <w:commentReference w:id="12"/>
            </w:r>
          </w:p>
        </w:tc>
      </w:tr>
      <w:tr w14:paraId="5C2ACCD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C0977C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2454133">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55E2F993">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7F8D5125">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6B6EE2FD">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1806E924">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760F2FBC">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710127DF">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5463990F">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0BF3C8D1">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226BB0C7">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18697446">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209E5AD4">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2A94D47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FA72C65">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B5EE427">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52636E41">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4B899565">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78351F1A">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28F7195D">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2AA68363">
      <w:pPr>
        <w:overflowPunct w:val="0"/>
        <w:spacing w:line="480" w:lineRule="auto"/>
        <w:ind w:firstLine="420" w:firstLineChars="200"/>
        <w:jc w:val="center"/>
        <w:rPr>
          <w:rFonts w:ascii="Arial" w:hAnsi="Arial"/>
          <w:sz w:val="21"/>
          <w:szCs w:val="21"/>
        </w:rPr>
      </w:pPr>
    </w:p>
    <w:p w14:paraId="510B375E">
      <w:pPr>
        <w:overflowPunct w:val="0"/>
        <w:spacing w:line="480" w:lineRule="auto"/>
        <w:ind w:firstLine="420" w:firstLineChars="200"/>
        <w:jc w:val="center"/>
        <w:rPr>
          <w:rFonts w:ascii="Arial" w:hAnsi="Arial"/>
          <w:sz w:val="21"/>
          <w:szCs w:val="21"/>
        </w:rPr>
      </w:pPr>
    </w:p>
    <w:p w14:paraId="3657F926">
      <w:pPr>
        <w:overflowPunct w:val="0"/>
        <w:spacing w:line="480" w:lineRule="auto"/>
        <w:ind w:firstLine="420" w:firstLineChars="200"/>
        <w:jc w:val="center"/>
        <w:rPr>
          <w:rFonts w:ascii="Arial" w:hAnsi="Arial"/>
          <w:sz w:val="21"/>
          <w:szCs w:val="21"/>
        </w:rPr>
      </w:pPr>
    </w:p>
    <w:p w14:paraId="67FE0523">
      <w:pPr>
        <w:overflowPunct w:val="0"/>
        <w:spacing w:line="480" w:lineRule="auto"/>
        <w:ind w:firstLine="420" w:firstLineChars="200"/>
        <w:jc w:val="center"/>
        <w:rPr>
          <w:rFonts w:ascii="Arial" w:hAnsi="Arial"/>
          <w:sz w:val="21"/>
          <w:szCs w:val="21"/>
        </w:rPr>
      </w:pPr>
    </w:p>
    <w:p w14:paraId="171803DB">
      <w:pPr>
        <w:overflowPunct w:val="0"/>
        <w:spacing w:line="480" w:lineRule="auto"/>
        <w:ind w:firstLine="420" w:firstLineChars="200"/>
        <w:jc w:val="center"/>
        <w:rPr>
          <w:rFonts w:ascii="Arial" w:hAnsi="Arial"/>
          <w:sz w:val="21"/>
          <w:szCs w:val="21"/>
        </w:rPr>
      </w:pPr>
    </w:p>
    <w:p w14:paraId="0F58B0DE">
      <w:pPr>
        <w:overflowPunct w:val="0"/>
        <w:spacing w:line="480" w:lineRule="auto"/>
        <w:ind w:firstLine="420" w:firstLineChars="200"/>
        <w:jc w:val="center"/>
        <w:rPr>
          <w:rFonts w:ascii="Arial" w:hAnsi="Arial"/>
          <w:sz w:val="21"/>
          <w:szCs w:val="21"/>
        </w:rPr>
      </w:pPr>
    </w:p>
    <w:p w14:paraId="5885F2FD">
      <w:pPr>
        <w:overflowPunct w:val="0"/>
        <w:spacing w:line="480" w:lineRule="auto"/>
        <w:ind w:firstLine="420" w:firstLineChars="200"/>
        <w:jc w:val="center"/>
        <w:rPr>
          <w:rFonts w:ascii="Arial" w:hAnsi="Arial"/>
          <w:sz w:val="21"/>
          <w:szCs w:val="21"/>
        </w:rPr>
      </w:pPr>
    </w:p>
    <w:p w14:paraId="25C7B28C">
      <w:pPr>
        <w:overflowPunct w:val="0"/>
        <w:spacing w:line="480" w:lineRule="auto"/>
        <w:ind w:firstLine="420" w:firstLineChars="200"/>
        <w:jc w:val="center"/>
        <w:rPr>
          <w:rFonts w:ascii="Arial" w:hAnsi="Arial"/>
          <w:sz w:val="21"/>
          <w:szCs w:val="21"/>
        </w:rPr>
      </w:pPr>
    </w:p>
    <w:p w14:paraId="79196824">
      <w:pPr>
        <w:overflowPunct w:val="0"/>
        <w:spacing w:line="480" w:lineRule="auto"/>
        <w:ind w:firstLine="420" w:firstLineChars="200"/>
        <w:jc w:val="center"/>
        <w:rPr>
          <w:rFonts w:ascii="Arial" w:hAnsi="Arial"/>
          <w:sz w:val="21"/>
          <w:szCs w:val="21"/>
        </w:rPr>
      </w:pPr>
    </w:p>
    <w:p w14:paraId="5EBD31A0">
      <w:pPr>
        <w:wordWrap w:val="0"/>
        <w:overflowPunct w:val="0"/>
        <w:spacing w:line="480" w:lineRule="auto"/>
        <w:rPr>
          <w:rFonts w:ascii="Arial" w:hAnsi="Arial"/>
          <w:sz w:val="21"/>
          <w:szCs w:val="21"/>
        </w:rPr>
      </w:pPr>
    </w:p>
    <w:p w14:paraId="1B25AD68">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0F7A1FF0">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5B27F3A8">
      <w:pPr>
        <w:overflowPunct w:val="0"/>
        <w:spacing w:line="480" w:lineRule="auto"/>
        <w:ind w:firstLine="420" w:firstLineChars="200"/>
        <w:jc w:val="center"/>
        <w:rPr>
          <w:rFonts w:ascii="Arial" w:hAnsi="Arial"/>
          <w:sz w:val="21"/>
          <w:szCs w:val="21"/>
        </w:rPr>
      </w:pPr>
      <w:r>
        <w:rPr>
          <w:rFonts w:hint="eastAsia" w:ascii="Arial" w:hAnsi="Arial"/>
          <w:sz w:val="21"/>
          <w:szCs w:val="21"/>
        </w:rPr>
        <w:t>埝坛华庭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4"/>
        <w:gridCol w:w="996"/>
        <w:gridCol w:w="988"/>
        <w:gridCol w:w="988"/>
        <w:gridCol w:w="988"/>
        <w:gridCol w:w="988"/>
        <w:gridCol w:w="3781"/>
      </w:tblGrid>
      <w:tr w14:paraId="257A944E">
        <w:tblPrEx>
          <w:tblCellMar>
            <w:top w:w="57" w:type="dxa"/>
            <w:left w:w="57" w:type="dxa"/>
            <w:bottom w:w="57" w:type="dxa"/>
            <w:right w:w="57" w:type="dxa"/>
          </w:tblCellMar>
        </w:tblPrEx>
        <w:trPr>
          <w:trHeight w:val="20" w:hRule="atLeast"/>
          <w:tblHeader/>
          <w:jc w:val="center"/>
        </w:trPr>
        <w:tc>
          <w:tcPr>
            <w:tcW w:w="840"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26BB5A16">
            <w:pPr>
              <w:snapToGrid w:val="0"/>
              <w:spacing w:line="240" w:lineRule="exact"/>
              <w:jc w:val="right"/>
              <w:rPr>
                <w:rFonts w:ascii="宋体" w:hAnsi="宋体" w:cs="Arial"/>
                <w:sz w:val="16"/>
                <w:szCs w:val="18"/>
              </w:rPr>
            </w:pPr>
            <w:r>
              <w:rPr>
                <w:rFonts w:ascii="宋体" w:hAnsi="宋体" w:cs="Arial"/>
                <w:sz w:val="16"/>
                <w:szCs w:val="18"/>
              </w:rPr>
              <w:t>估价对象及</w:t>
            </w:r>
          </w:p>
          <w:p w14:paraId="7C7BC09A">
            <w:pPr>
              <w:snapToGrid w:val="0"/>
              <w:spacing w:line="240" w:lineRule="exact"/>
              <w:jc w:val="right"/>
              <w:rPr>
                <w:rFonts w:ascii="宋体" w:hAnsi="宋体" w:cs="Arial"/>
                <w:sz w:val="16"/>
                <w:szCs w:val="18"/>
              </w:rPr>
            </w:pPr>
            <w:r>
              <w:rPr>
                <w:rFonts w:ascii="宋体" w:hAnsi="宋体" w:cs="Arial"/>
                <w:sz w:val="16"/>
                <w:szCs w:val="18"/>
              </w:rPr>
              <w:t>可比实例</w:t>
            </w:r>
          </w:p>
          <w:p w14:paraId="3298C025">
            <w:pPr>
              <w:snapToGrid w:val="0"/>
              <w:spacing w:line="240" w:lineRule="exact"/>
              <w:jc w:val="both"/>
              <w:rPr>
                <w:rFonts w:ascii="宋体" w:hAnsi="宋体" w:cs="Arial"/>
                <w:sz w:val="16"/>
                <w:szCs w:val="18"/>
              </w:rPr>
            </w:pPr>
          </w:p>
          <w:p w14:paraId="29100A02">
            <w:pPr>
              <w:snapToGrid w:val="0"/>
              <w:spacing w:line="240" w:lineRule="exact"/>
              <w:jc w:val="both"/>
              <w:rPr>
                <w:rFonts w:ascii="宋体" w:hAnsi="宋体" w:cs="Arial"/>
                <w:sz w:val="16"/>
                <w:szCs w:val="18"/>
              </w:rPr>
            </w:pPr>
          </w:p>
          <w:p w14:paraId="675CBBE7">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6BA16A34">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2A742C33">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4</w:t>
            </w:r>
          </w:p>
        </w:tc>
        <w:tc>
          <w:tcPr>
            <w:tcW w:w="531" w:type="pct"/>
            <w:tcBorders>
              <w:top w:val="single" w:color="auto" w:sz="4" w:space="0"/>
              <w:left w:val="nil"/>
              <w:bottom w:val="single" w:color="auto" w:sz="4" w:space="0"/>
              <w:right w:val="single" w:color="auto" w:sz="4" w:space="0"/>
            </w:tcBorders>
            <w:vAlign w:val="center"/>
          </w:tcPr>
          <w:p w14:paraId="45D07C2A">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5</w:t>
            </w:r>
          </w:p>
        </w:tc>
        <w:tc>
          <w:tcPr>
            <w:tcW w:w="531" w:type="pct"/>
            <w:tcBorders>
              <w:top w:val="single" w:color="auto" w:sz="4" w:space="0"/>
              <w:left w:val="nil"/>
              <w:bottom w:val="single" w:color="auto" w:sz="4" w:space="0"/>
              <w:right w:val="single" w:color="auto" w:sz="4" w:space="0"/>
            </w:tcBorders>
            <w:vAlign w:val="center"/>
          </w:tcPr>
          <w:p w14:paraId="6A3836B7">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6</w:t>
            </w:r>
          </w:p>
        </w:tc>
        <w:tc>
          <w:tcPr>
            <w:tcW w:w="2033" w:type="pct"/>
            <w:tcBorders>
              <w:top w:val="single" w:color="auto" w:sz="4" w:space="0"/>
              <w:left w:val="nil"/>
              <w:bottom w:val="single" w:color="auto" w:sz="4" w:space="0"/>
              <w:right w:val="single" w:color="auto" w:sz="4" w:space="0"/>
            </w:tcBorders>
            <w:vAlign w:val="center"/>
          </w:tcPr>
          <w:p w14:paraId="0997F40F">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6D395DD0">
        <w:tblPrEx>
          <w:tblCellMar>
            <w:top w:w="57" w:type="dxa"/>
            <w:left w:w="57" w:type="dxa"/>
            <w:bottom w:w="57" w:type="dxa"/>
            <w:right w:w="57" w:type="dxa"/>
          </w:tblCellMar>
        </w:tblPrEx>
        <w:trPr>
          <w:trHeight w:val="20" w:hRule="atLeast"/>
          <w:tblHeader/>
          <w:jc w:val="center"/>
        </w:trPr>
        <w:tc>
          <w:tcPr>
            <w:tcW w:w="840" w:type="pct"/>
            <w:gridSpan w:val="2"/>
            <w:vMerge w:val="continue"/>
            <w:tcBorders>
              <w:top w:val="single" w:color="auto" w:sz="4" w:space="0"/>
              <w:left w:val="single" w:color="auto" w:sz="4" w:space="0"/>
              <w:bottom w:val="single" w:color="000000" w:sz="4" w:space="0"/>
              <w:right w:val="single" w:color="000000" w:sz="4" w:space="0"/>
            </w:tcBorders>
            <w:vAlign w:val="center"/>
          </w:tcPr>
          <w:p w14:paraId="6A98384B">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6CB48BC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531" w:type="pct"/>
            <w:tcBorders>
              <w:top w:val="nil"/>
              <w:left w:val="nil"/>
              <w:bottom w:val="single" w:color="auto" w:sz="4" w:space="0"/>
              <w:right w:val="single" w:color="auto" w:sz="4" w:space="0"/>
            </w:tcBorders>
            <w:vAlign w:val="center"/>
          </w:tcPr>
          <w:p w14:paraId="65635F21">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30456F59">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531" w:type="pct"/>
            <w:tcBorders>
              <w:top w:val="nil"/>
              <w:left w:val="nil"/>
              <w:bottom w:val="single" w:color="auto" w:sz="4" w:space="0"/>
              <w:right w:val="single" w:color="auto" w:sz="4" w:space="0"/>
            </w:tcBorders>
            <w:vAlign w:val="center"/>
          </w:tcPr>
          <w:p w14:paraId="72CD748F">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c>
          <w:tcPr>
            <w:tcW w:w="2033" w:type="pct"/>
            <w:tcBorders>
              <w:top w:val="nil"/>
              <w:left w:val="nil"/>
              <w:bottom w:val="single" w:color="auto" w:sz="4" w:space="0"/>
              <w:right w:val="single" w:color="auto" w:sz="4" w:space="0"/>
            </w:tcBorders>
            <w:vAlign w:val="center"/>
          </w:tcPr>
          <w:p w14:paraId="4EFD79E0">
            <w:pPr>
              <w:snapToGrid w:val="0"/>
              <w:spacing w:line="240" w:lineRule="exact"/>
              <w:jc w:val="both"/>
              <w:rPr>
                <w:rFonts w:ascii="宋体" w:hAnsi="宋体" w:cs="Arial"/>
                <w:sz w:val="16"/>
                <w:szCs w:val="18"/>
              </w:rPr>
            </w:pPr>
            <w:r>
              <w:rPr>
                <w:rFonts w:ascii="宋体" w:hAnsi="宋体" w:cs="Arial"/>
                <w:sz w:val="16"/>
                <w:szCs w:val="18"/>
              </w:rPr>
              <w:t>——</w:t>
            </w:r>
          </w:p>
        </w:tc>
      </w:tr>
      <w:tr w14:paraId="1DACF345">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000000" w:sz="4" w:space="0"/>
            </w:tcBorders>
            <w:vAlign w:val="center"/>
          </w:tcPr>
          <w:p w14:paraId="4CD0F3CA">
            <w:pPr>
              <w:snapToGrid w:val="0"/>
              <w:spacing w:line="240" w:lineRule="exact"/>
              <w:jc w:val="both"/>
              <w:rPr>
                <w:rFonts w:ascii="宋体" w:hAnsi="宋体" w:cs="Arial"/>
                <w:sz w:val="16"/>
                <w:szCs w:val="18"/>
              </w:rPr>
            </w:pPr>
            <w:r>
              <w:rPr>
                <w:rFonts w:ascii="宋体" w:hAnsi="宋体" w:cs="Arial"/>
                <w:sz w:val="16"/>
                <w:szCs w:val="18"/>
              </w:rPr>
              <w:t>确定的租金价格（</w:t>
            </w:r>
            <w:r>
              <w:rPr>
                <w:rFonts w:hint="eastAsia" w:ascii="宋体" w:hAnsi="宋体" w:cs="Arial"/>
                <w:sz w:val="16"/>
                <w:szCs w:val="18"/>
                <w:lang w:eastAsia="zh-CN"/>
              </w:rPr>
              <w:t>元/平方米·月</w:t>
            </w:r>
            <w:commentRangeStart w:id="13"/>
            <w:r>
              <w:rPr>
                <w:rFonts w:ascii="宋体" w:hAnsi="宋体" w:cs="Arial"/>
                <w:sz w:val="16"/>
                <w:szCs w:val="18"/>
              </w:rPr>
              <w:t>）</w:t>
            </w:r>
            <w:commentRangeEnd w:id="13"/>
            <w:r>
              <w:rPr>
                <w:rStyle w:val="40"/>
              </w:rPr>
              <w:commentReference w:id="13"/>
            </w:r>
          </w:p>
        </w:tc>
        <w:tc>
          <w:tcPr>
            <w:tcW w:w="531" w:type="pct"/>
            <w:tcBorders>
              <w:top w:val="nil"/>
              <w:left w:val="nil"/>
              <w:bottom w:val="single" w:color="auto" w:sz="4" w:space="0"/>
              <w:right w:val="single" w:color="auto" w:sz="4" w:space="0"/>
            </w:tcBorders>
            <w:noWrap/>
            <w:vAlign w:val="center"/>
          </w:tcPr>
          <w:p w14:paraId="072576B6">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4347CDED">
            <w:pPr>
              <w:autoSpaceDE w:val="0"/>
              <w:autoSpaceDN w:val="0"/>
              <w:spacing w:line="240" w:lineRule="exact"/>
              <w:textAlignment w:val="bottom"/>
              <w:rPr>
                <w:rFonts w:ascii="Arial" w:hAnsi="Arial" w:cs="Arial"/>
                <w:sz w:val="16"/>
                <w:szCs w:val="18"/>
              </w:rPr>
            </w:pPr>
            <w:r>
              <w:rPr>
                <w:rFonts w:hint="eastAsia" w:ascii="Arial" w:hAnsi="Arial" w:cs="Arial"/>
                <w:sz w:val="16"/>
                <w:szCs w:val="18"/>
              </w:rPr>
              <w:t>33.10</w:t>
            </w:r>
          </w:p>
        </w:tc>
        <w:tc>
          <w:tcPr>
            <w:tcW w:w="531" w:type="pct"/>
            <w:tcBorders>
              <w:top w:val="nil"/>
              <w:left w:val="nil"/>
              <w:bottom w:val="single" w:color="auto" w:sz="4" w:space="0"/>
              <w:right w:val="single" w:color="auto" w:sz="4" w:space="0"/>
            </w:tcBorders>
            <w:noWrap/>
            <w:vAlign w:val="center"/>
          </w:tcPr>
          <w:p w14:paraId="34B3E493">
            <w:pPr>
              <w:autoSpaceDE w:val="0"/>
              <w:autoSpaceDN w:val="0"/>
              <w:spacing w:line="240" w:lineRule="exact"/>
              <w:textAlignment w:val="bottom"/>
              <w:rPr>
                <w:rFonts w:ascii="Arial" w:hAnsi="Arial" w:cs="Arial"/>
                <w:sz w:val="16"/>
                <w:szCs w:val="18"/>
              </w:rPr>
            </w:pPr>
            <w:r>
              <w:rPr>
                <w:rFonts w:hint="eastAsia" w:ascii="Arial" w:hAnsi="Arial" w:cs="Arial"/>
                <w:sz w:val="16"/>
                <w:szCs w:val="18"/>
              </w:rPr>
              <w:t>33.53</w:t>
            </w:r>
          </w:p>
        </w:tc>
        <w:tc>
          <w:tcPr>
            <w:tcW w:w="531" w:type="pct"/>
            <w:tcBorders>
              <w:top w:val="nil"/>
              <w:left w:val="nil"/>
              <w:bottom w:val="single" w:color="auto" w:sz="4" w:space="0"/>
              <w:right w:val="single" w:color="auto" w:sz="4" w:space="0"/>
            </w:tcBorders>
            <w:noWrap/>
            <w:vAlign w:val="center"/>
          </w:tcPr>
          <w:p w14:paraId="7454AF52">
            <w:pPr>
              <w:autoSpaceDE w:val="0"/>
              <w:autoSpaceDN w:val="0"/>
              <w:spacing w:line="240" w:lineRule="exact"/>
              <w:textAlignment w:val="bottom"/>
              <w:rPr>
                <w:rFonts w:ascii="Arial" w:hAnsi="Arial" w:cs="Arial"/>
                <w:sz w:val="16"/>
                <w:szCs w:val="18"/>
              </w:rPr>
            </w:pPr>
            <w:r>
              <w:rPr>
                <w:rFonts w:hint="eastAsia" w:ascii="Arial" w:hAnsi="Arial" w:cs="Arial"/>
                <w:sz w:val="16"/>
                <w:szCs w:val="18"/>
              </w:rPr>
              <w:t>34.48</w:t>
            </w:r>
          </w:p>
        </w:tc>
        <w:tc>
          <w:tcPr>
            <w:tcW w:w="2033" w:type="pct"/>
            <w:tcBorders>
              <w:top w:val="nil"/>
              <w:left w:val="nil"/>
              <w:bottom w:val="single" w:color="auto" w:sz="4" w:space="0"/>
              <w:right w:val="single" w:color="auto" w:sz="4" w:space="0"/>
            </w:tcBorders>
            <w:vAlign w:val="center"/>
          </w:tcPr>
          <w:p w14:paraId="6FD6C769">
            <w:pPr>
              <w:snapToGrid w:val="0"/>
              <w:spacing w:line="240" w:lineRule="exact"/>
              <w:jc w:val="both"/>
              <w:rPr>
                <w:rFonts w:ascii="宋体" w:hAnsi="宋体" w:cs="Arial"/>
                <w:sz w:val="16"/>
                <w:szCs w:val="18"/>
              </w:rPr>
            </w:pPr>
            <w:r>
              <w:rPr>
                <w:rFonts w:ascii="宋体" w:hAnsi="宋体" w:cs="Arial"/>
                <w:sz w:val="16"/>
                <w:szCs w:val="18"/>
              </w:rPr>
              <w:t>——</w:t>
            </w:r>
          </w:p>
        </w:tc>
      </w:tr>
      <w:tr w14:paraId="0294D758">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0EFD55BE">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27CF0BE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D095BE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B16F6A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01EAD8">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39B2986">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73ED4BAC">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23160065">
            <w:pPr>
              <w:snapToGrid w:val="0"/>
              <w:spacing w:line="240" w:lineRule="exact"/>
              <w:jc w:val="both"/>
              <w:rPr>
                <w:rFonts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1E19E9B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328568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D8CE1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0AFC3CC">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1F7365D">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0094337E">
        <w:tblPrEx>
          <w:tblCellMar>
            <w:top w:w="57" w:type="dxa"/>
            <w:left w:w="57" w:type="dxa"/>
            <w:bottom w:w="57" w:type="dxa"/>
            <w:right w:w="57" w:type="dxa"/>
          </w:tblCellMar>
        </w:tblPrEx>
        <w:trPr>
          <w:trHeight w:val="20" w:hRule="atLeast"/>
          <w:jc w:val="center"/>
        </w:trPr>
        <w:tc>
          <w:tcPr>
            <w:tcW w:w="840" w:type="pct"/>
            <w:gridSpan w:val="2"/>
            <w:tcBorders>
              <w:top w:val="single" w:color="auto" w:sz="4" w:space="0"/>
              <w:left w:val="single" w:color="auto" w:sz="4" w:space="0"/>
              <w:bottom w:val="single" w:color="auto" w:sz="4" w:space="0"/>
              <w:right w:val="single" w:color="auto" w:sz="4" w:space="0"/>
            </w:tcBorders>
            <w:vAlign w:val="center"/>
          </w:tcPr>
          <w:p w14:paraId="717D0708">
            <w:pPr>
              <w:snapToGrid w:val="0"/>
              <w:spacing w:line="240" w:lineRule="exact"/>
              <w:jc w:val="both"/>
              <w:rPr>
                <w:rFonts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6483C05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D77460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C6C57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91A220">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6D0554D4">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122D7095">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50882098">
            <w:pPr>
              <w:snapToGrid w:val="0"/>
              <w:spacing w:line="240" w:lineRule="exact"/>
              <w:jc w:val="both"/>
              <w:rPr>
                <w:rFonts w:ascii="宋体" w:hAnsi="宋体" w:cs="Arial"/>
                <w:sz w:val="16"/>
                <w:szCs w:val="18"/>
              </w:rPr>
            </w:pPr>
            <w:r>
              <w:rPr>
                <w:rFonts w:ascii="宋体" w:hAnsi="宋体" w:cs="Arial"/>
                <w:sz w:val="16"/>
                <w:szCs w:val="18"/>
              </w:rPr>
              <w:t>区域</w:t>
            </w:r>
          </w:p>
          <w:p w14:paraId="11574D6D">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5D42043F">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48A9C0D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57339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36433D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260AEA">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1C7D68E2">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68008E6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444CCB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E6F2284">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588BC9B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5C742D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5ACF4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ECF771E">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581991F0">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4197848D">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86527E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BB8416C">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46B2C62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36841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9B01F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2A868C2">
            <w:pPr>
              <w:snapToGrid w:val="0"/>
              <w:spacing w:line="240" w:lineRule="exact"/>
              <w:jc w:val="both"/>
              <w:rPr>
                <w:rFonts w:ascii="Arial" w:hAnsi="Arial" w:cs="Arial"/>
                <w:sz w:val="16"/>
                <w:szCs w:val="18"/>
              </w:rPr>
            </w:pPr>
            <w:commentRangeStart w:id="14"/>
            <w:r>
              <w:rPr>
                <w:rFonts w:hint="eastAsia" w:ascii="Arial" w:hAnsi="Arial" w:cs="Arial"/>
                <w:sz w:val="16"/>
                <w:szCs w:val="18"/>
              </w:rPr>
              <w:t>98</w:t>
            </w:r>
            <w:commentRangeEnd w:id="14"/>
            <w:r>
              <w:rPr>
                <w:rStyle w:val="40"/>
              </w:rPr>
              <w:commentReference w:id="14"/>
            </w:r>
          </w:p>
        </w:tc>
        <w:tc>
          <w:tcPr>
            <w:tcW w:w="2033" w:type="pct"/>
            <w:tcBorders>
              <w:top w:val="nil"/>
              <w:left w:val="nil"/>
              <w:bottom w:val="single" w:color="auto" w:sz="4" w:space="0"/>
              <w:right w:val="single" w:color="auto" w:sz="4" w:space="0"/>
            </w:tcBorders>
            <w:vAlign w:val="center"/>
          </w:tcPr>
          <w:p w14:paraId="61C79B23">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7470187C">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6CC4F23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A8CC50D">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65706FD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57F8F6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9AE404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E400E4">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202E74B">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139923D1">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0B68512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BFDDB46">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14D1D65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117724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B882F5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28CE7C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72A3DE6E">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57CC5207">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74FFCB1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41EF3BF">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0279977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DB4891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FC47E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65EF56F">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3FA639D">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3A138697">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473C82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8D1A846">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1E31832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818DF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12F2C6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C7E50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4A932EE">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0AED9A27">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1A1F1631">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5A30648">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4A34BFA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4A8B4F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3459E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E68CBE6">
            <w:pPr>
              <w:snapToGrid w:val="0"/>
              <w:spacing w:line="240" w:lineRule="exact"/>
              <w:jc w:val="both"/>
              <w:rPr>
                <w:rFonts w:ascii="Arial" w:hAnsi="Arial" w:cs="Arial"/>
                <w:sz w:val="16"/>
                <w:szCs w:val="18"/>
              </w:rPr>
            </w:pPr>
            <w:r>
              <w:rPr>
                <w:rFonts w:hint="eastAsia" w:ascii="Arial" w:hAnsi="Arial" w:cs="Arial"/>
                <w:sz w:val="16"/>
                <w:szCs w:val="18"/>
              </w:rPr>
              <w:t>98</w:t>
            </w:r>
          </w:p>
        </w:tc>
        <w:tc>
          <w:tcPr>
            <w:tcW w:w="2033" w:type="pct"/>
            <w:tcBorders>
              <w:top w:val="nil"/>
              <w:left w:val="nil"/>
              <w:bottom w:val="single" w:color="auto" w:sz="4" w:space="0"/>
              <w:right w:val="single" w:color="auto" w:sz="4" w:space="0"/>
            </w:tcBorders>
            <w:vAlign w:val="center"/>
          </w:tcPr>
          <w:p w14:paraId="45633B7A">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98</w:t>
            </w:r>
            <w:r>
              <w:rPr>
                <w:rFonts w:ascii="Arial" w:hAnsi="Arial" w:cs="Arial"/>
                <w:sz w:val="16"/>
                <w:szCs w:val="18"/>
              </w:rPr>
              <w:t>；</w:t>
            </w:r>
          </w:p>
        </w:tc>
      </w:tr>
      <w:tr w14:paraId="19BD3ED2">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583F940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A1F6DF3">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42C9B1B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EB4447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74B2D0B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AFE97C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2</w:t>
            </w:r>
          </w:p>
        </w:tc>
        <w:tc>
          <w:tcPr>
            <w:tcW w:w="2033" w:type="pct"/>
            <w:tcBorders>
              <w:top w:val="nil"/>
              <w:left w:val="nil"/>
              <w:bottom w:val="single" w:color="auto" w:sz="4" w:space="0"/>
              <w:right w:val="single" w:color="auto" w:sz="4" w:space="0"/>
            </w:tcBorders>
            <w:vAlign w:val="center"/>
          </w:tcPr>
          <w:p w14:paraId="6411CB9D">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2</w:t>
            </w:r>
            <w:r>
              <w:rPr>
                <w:rFonts w:ascii="Arial" w:hAnsi="Arial" w:cs="Arial"/>
                <w:sz w:val="16"/>
                <w:szCs w:val="18"/>
              </w:rPr>
              <w:t>；</w:t>
            </w:r>
          </w:p>
        </w:tc>
      </w:tr>
      <w:tr w14:paraId="33A54A9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0C1FD0A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B93C898">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2F833EB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909E7F8">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14E7BD">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0B24E8">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B93E42C">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467A292F">
        <w:tblPrEx>
          <w:tblCellMar>
            <w:top w:w="57" w:type="dxa"/>
            <w:left w:w="57" w:type="dxa"/>
            <w:bottom w:w="57" w:type="dxa"/>
            <w:right w:w="57" w:type="dxa"/>
          </w:tblCellMar>
        </w:tblPrEx>
        <w:trPr>
          <w:trHeight w:val="20" w:hRule="atLeast"/>
          <w:jc w:val="center"/>
        </w:trPr>
        <w:tc>
          <w:tcPr>
            <w:tcW w:w="304" w:type="pct"/>
            <w:vMerge w:val="continue"/>
            <w:tcBorders>
              <w:top w:val="single" w:color="auto" w:sz="4" w:space="0"/>
              <w:left w:val="single" w:color="auto" w:sz="4" w:space="0"/>
              <w:bottom w:val="single" w:color="auto" w:sz="4" w:space="0"/>
              <w:right w:val="single" w:color="auto" w:sz="4" w:space="0"/>
            </w:tcBorders>
            <w:vAlign w:val="center"/>
          </w:tcPr>
          <w:p w14:paraId="672C790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02C9F8C">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3AF17DB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D700C93">
            <w:pPr>
              <w:snapToGrid w:val="0"/>
              <w:spacing w:line="240" w:lineRule="exact"/>
              <w:jc w:val="both"/>
              <w:rPr>
                <w:rFonts w:ascii="Arial" w:hAnsi="Arial" w:cs="Arial"/>
                <w:sz w:val="16"/>
                <w:szCs w:val="18"/>
              </w:rPr>
            </w:pPr>
            <w:commentRangeStart w:id="15"/>
            <w:r>
              <w:rPr>
                <w:rFonts w:hint="eastAsia" w:ascii="Arial" w:hAnsi="Arial" w:cs="Arial"/>
                <w:sz w:val="16"/>
                <w:szCs w:val="18"/>
              </w:rPr>
              <w:t>100</w:t>
            </w:r>
            <w:commentRangeEnd w:id="15"/>
            <w:r>
              <w:rPr>
                <w:rStyle w:val="40"/>
              </w:rPr>
              <w:commentReference w:id="15"/>
            </w:r>
          </w:p>
        </w:tc>
        <w:tc>
          <w:tcPr>
            <w:tcW w:w="531" w:type="pct"/>
            <w:tcBorders>
              <w:top w:val="nil"/>
              <w:left w:val="nil"/>
              <w:bottom w:val="single" w:color="auto" w:sz="4" w:space="0"/>
              <w:right w:val="single" w:color="auto" w:sz="4" w:space="0"/>
            </w:tcBorders>
            <w:noWrap/>
            <w:vAlign w:val="center"/>
          </w:tcPr>
          <w:p w14:paraId="2E9F475C">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F8153BD">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F763FCC">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5A463A33">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noWrap/>
            <w:vAlign w:val="center"/>
          </w:tcPr>
          <w:p w14:paraId="578AD321">
            <w:pPr>
              <w:snapToGrid w:val="0"/>
              <w:spacing w:line="240" w:lineRule="exact"/>
              <w:jc w:val="both"/>
              <w:rPr>
                <w:rFonts w:ascii="宋体" w:hAnsi="宋体" w:cs="Arial"/>
                <w:sz w:val="16"/>
                <w:szCs w:val="18"/>
              </w:rPr>
            </w:pPr>
            <w:r>
              <w:rPr>
                <w:rFonts w:ascii="宋体" w:hAnsi="宋体" w:cs="Arial"/>
                <w:sz w:val="16"/>
                <w:szCs w:val="18"/>
              </w:rPr>
              <w:t>实物</w:t>
            </w:r>
          </w:p>
          <w:p w14:paraId="03D277C7">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3C49B827">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732A861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167C720">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454EE048">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7DFEF2D5">
            <w:pPr>
              <w:snapToGrid w:val="0"/>
              <w:spacing w:line="240" w:lineRule="exact"/>
              <w:jc w:val="both"/>
              <w:rPr>
                <w:rFonts w:ascii="Arial" w:hAnsi="Arial" w:cs="Arial"/>
                <w:sz w:val="16"/>
                <w:szCs w:val="18"/>
              </w:rPr>
            </w:pPr>
            <w:r>
              <w:rPr>
                <w:rFonts w:hint="eastAsia" w:ascii="Arial" w:hAnsi="Arial" w:cs="Arial"/>
                <w:sz w:val="16"/>
                <w:szCs w:val="18"/>
              </w:rPr>
              <w:t>96</w:t>
            </w:r>
          </w:p>
        </w:tc>
        <w:tc>
          <w:tcPr>
            <w:tcW w:w="2033" w:type="pct"/>
            <w:tcBorders>
              <w:top w:val="nil"/>
              <w:left w:val="nil"/>
              <w:bottom w:val="single" w:color="auto" w:sz="4" w:space="0"/>
              <w:right w:val="single" w:color="auto" w:sz="4" w:space="0"/>
            </w:tcBorders>
            <w:vAlign w:val="center"/>
          </w:tcPr>
          <w:p w14:paraId="38B6DCED">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94、94、96</w:t>
            </w:r>
            <w:r>
              <w:rPr>
                <w:rFonts w:ascii="Arial" w:hAnsi="Arial" w:cs="Arial"/>
                <w:sz w:val="16"/>
                <w:szCs w:val="18"/>
              </w:rPr>
              <w:t>；</w:t>
            </w:r>
          </w:p>
        </w:tc>
      </w:tr>
      <w:tr w14:paraId="5B6B41C2">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5333A904">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FE7ED45">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531" w:type="pct"/>
            <w:tcBorders>
              <w:top w:val="nil"/>
              <w:left w:val="nil"/>
              <w:bottom w:val="single" w:color="auto" w:sz="4" w:space="0"/>
              <w:right w:val="single" w:color="auto" w:sz="4" w:space="0"/>
            </w:tcBorders>
            <w:noWrap/>
            <w:vAlign w:val="center"/>
          </w:tcPr>
          <w:p w14:paraId="7F8662B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85904B">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5BFD85A8">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27FD53E7">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C887E8A">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、100；</w:t>
            </w:r>
          </w:p>
        </w:tc>
      </w:tr>
      <w:tr w14:paraId="35C154B8">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CC6903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8972E34">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531" w:type="pct"/>
            <w:tcBorders>
              <w:top w:val="nil"/>
              <w:left w:val="nil"/>
              <w:bottom w:val="single" w:color="auto" w:sz="4" w:space="0"/>
              <w:right w:val="single" w:color="auto" w:sz="4" w:space="0"/>
            </w:tcBorders>
            <w:noWrap/>
            <w:vAlign w:val="center"/>
          </w:tcPr>
          <w:p w14:paraId="4AD4386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A8504D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1766C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8CE9C62">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9524F85">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536288AE">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54DBE18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268955F">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51372B5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C875E0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030460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6FB7FEA">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9671A24">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0A246E6F">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6225E7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F8FD519">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7BEF0B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C91867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E0D9C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E0E7603">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3BD23412">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6510F2D5">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2AD4E4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DA0A4E1">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56E2103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995354C">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C2A6F3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72FA4DB3">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3" w:type="pct"/>
            <w:tcBorders>
              <w:top w:val="nil"/>
              <w:left w:val="nil"/>
              <w:bottom w:val="single" w:color="auto" w:sz="4" w:space="0"/>
              <w:right w:val="single" w:color="auto" w:sz="4" w:space="0"/>
            </w:tcBorders>
            <w:vAlign w:val="center"/>
          </w:tcPr>
          <w:p w14:paraId="0783C45E">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2C18032A">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5640C76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E2F3F3F">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459A128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2C5993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1929F9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101B6A1">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19C8169B">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5920B6C1">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303E275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B782093">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2A869DCA">
            <w:pPr>
              <w:snapToGrid w:val="0"/>
              <w:spacing w:line="240" w:lineRule="exact"/>
              <w:jc w:val="both"/>
              <w:rPr>
                <w:rFonts w:ascii="Arial" w:hAnsi="Arial" w:cs="Arial"/>
                <w:sz w:val="16"/>
                <w:szCs w:val="18"/>
              </w:rPr>
            </w:pPr>
            <w:commentRangeStart w:id="16"/>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6027ED">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E864E5">
            <w:pPr>
              <w:snapToGrid w:val="0"/>
              <w:spacing w:line="240" w:lineRule="exact"/>
              <w:jc w:val="both"/>
              <w:rPr>
                <w:rFonts w:ascii="Arial" w:hAnsi="Arial" w:cs="Arial"/>
                <w:sz w:val="16"/>
                <w:szCs w:val="18"/>
              </w:rPr>
            </w:pPr>
            <w:r>
              <w:rPr>
                <w:rFonts w:hint="eastAsia" w:ascii="Arial" w:hAnsi="Arial" w:cs="Arial"/>
                <w:sz w:val="16"/>
                <w:szCs w:val="18"/>
              </w:rPr>
              <w:t>98</w:t>
            </w:r>
          </w:p>
          <w:commentRangeEnd w:id="16"/>
        </w:tc>
        <w:tc>
          <w:tcPr>
            <w:tcW w:w="531" w:type="pct"/>
            <w:tcBorders>
              <w:top w:val="nil"/>
              <w:left w:val="nil"/>
              <w:bottom w:val="single" w:color="auto" w:sz="4" w:space="0"/>
              <w:right w:val="single" w:color="auto" w:sz="4" w:space="0"/>
            </w:tcBorders>
            <w:noWrap/>
            <w:vAlign w:val="center"/>
          </w:tcPr>
          <w:p w14:paraId="16738F11">
            <w:pPr>
              <w:snapToGrid w:val="0"/>
              <w:spacing w:line="240" w:lineRule="exact"/>
              <w:jc w:val="both"/>
              <w:rPr>
                <w:rFonts w:hint="default" w:ascii="Arial" w:hAnsi="Arial" w:cs="Arial"/>
                <w:sz w:val="16"/>
                <w:szCs w:val="18"/>
                <w:lang w:val="en-US"/>
              </w:rPr>
            </w:pPr>
            <w:r>
              <w:rPr>
                <w:rStyle w:val="40"/>
              </w:rPr>
              <w:commentReference w:id="16"/>
            </w:r>
            <w:r>
              <w:rPr>
                <w:rFonts w:hint="eastAsia" w:ascii="Arial" w:hAnsi="Arial" w:cs="Arial"/>
                <w:sz w:val="16"/>
                <w:szCs w:val="18"/>
                <w:lang w:val="en-US" w:eastAsia="zh-CN"/>
              </w:rPr>
              <w:t>100</w:t>
            </w:r>
          </w:p>
        </w:tc>
        <w:tc>
          <w:tcPr>
            <w:tcW w:w="2033" w:type="pct"/>
            <w:tcBorders>
              <w:top w:val="nil"/>
              <w:left w:val="nil"/>
              <w:bottom w:val="single" w:color="auto" w:sz="4" w:space="0"/>
              <w:right w:val="single" w:color="auto" w:sz="4" w:space="0"/>
            </w:tcBorders>
            <w:vAlign w:val="center"/>
          </w:tcPr>
          <w:p w14:paraId="6A444BE6">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100、98、</w:t>
            </w:r>
            <w:r>
              <w:rPr>
                <w:rFonts w:hint="eastAsia" w:ascii="Arial" w:hAnsi="Arial" w:cs="Arial"/>
                <w:sz w:val="16"/>
                <w:szCs w:val="18"/>
                <w:lang w:val="en-US" w:eastAsia="zh-CN"/>
              </w:rPr>
              <w:t>100</w:t>
            </w:r>
            <w:r>
              <w:rPr>
                <w:rFonts w:ascii="Arial" w:hAnsi="Arial" w:cs="Arial"/>
                <w:sz w:val="16"/>
                <w:szCs w:val="18"/>
              </w:rPr>
              <w:t>；</w:t>
            </w:r>
          </w:p>
        </w:tc>
      </w:tr>
      <w:tr w14:paraId="79D0385C">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57100226">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C2F4532">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531" w:type="pct"/>
            <w:tcBorders>
              <w:top w:val="nil"/>
              <w:left w:val="nil"/>
              <w:bottom w:val="single" w:color="auto" w:sz="4" w:space="0"/>
              <w:right w:val="single" w:color="auto" w:sz="4" w:space="0"/>
            </w:tcBorders>
            <w:noWrap/>
            <w:vAlign w:val="center"/>
          </w:tcPr>
          <w:p w14:paraId="5C7E5D6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6D19114">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60B79E9B">
            <w:pPr>
              <w:snapToGrid w:val="0"/>
              <w:spacing w:line="240" w:lineRule="exact"/>
              <w:jc w:val="both"/>
              <w:rPr>
                <w:rFonts w:ascii="Arial" w:hAnsi="Arial" w:cs="Arial"/>
                <w:sz w:val="16"/>
                <w:szCs w:val="18"/>
              </w:rPr>
            </w:pPr>
            <w:r>
              <w:rPr>
                <w:rFonts w:hint="eastAsia" w:ascii="Arial" w:hAnsi="Arial" w:cs="Arial"/>
                <w:sz w:val="16"/>
                <w:szCs w:val="18"/>
              </w:rPr>
              <w:t>91</w:t>
            </w:r>
          </w:p>
        </w:tc>
        <w:tc>
          <w:tcPr>
            <w:tcW w:w="531" w:type="pct"/>
            <w:tcBorders>
              <w:top w:val="nil"/>
              <w:left w:val="nil"/>
              <w:bottom w:val="single" w:color="auto" w:sz="4" w:space="0"/>
              <w:right w:val="single" w:color="auto" w:sz="4" w:space="0"/>
            </w:tcBorders>
            <w:noWrap/>
            <w:vAlign w:val="center"/>
          </w:tcPr>
          <w:p w14:paraId="7F4C8156">
            <w:pPr>
              <w:snapToGrid w:val="0"/>
              <w:spacing w:line="240" w:lineRule="exact"/>
              <w:jc w:val="both"/>
              <w:rPr>
                <w:rFonts w:ascii="Arial" w:hAnsi="Arial" w:cs="Arial"/>
                <w:sz w:val="16"/>
                <w:szCs w:val="18"/>
              </w:rPr>
            </w:pPr>
            <w:r>
              <w:rPr>
                <w:rFonts w:hint="eastAsia" w:ascii="Arial" w:hAnsi="Arial" w:cs="Arial"/>
                <w:sz w:val="16"/>
                <w:szCs w:val="18"/>
              </w:rPr>
              <w:t>91</w:t>
            </w:r>
          </w:p>
        </w:tc>
        <w:tc>
          <w:tcPr>
            <w:tcW w:w="2033" w:type="pct"/>
            <w:tcBorders>
              <w:top w:val="nil"/>
              <w:left w:val="nil"/>
              <w:bottom w:val="single" w:color="auto" w:sz="4" w:space="0"/>
              <w:right w:val="single" w:color="auto" w:sz="4" w:space="0"/>
            </w:tcBorders>
            <w:vAlign w:val="center"/>
          </w:tcPr>
          <w:p w14:paraId="350AC910">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35A822EB">
        <w:tblPrEx>
          <w:tblCellMar>
            <w:top w:w="57" w:type="dxa"/>
            <w:left w:w="57" w:type="dxa"/>
            <w:bottom w:w="57" w:type="dxa"/>
            <w:right w:w="57" w:type="dxa"/>
          </w:tblCellMar>
        </w:tblPrEx>
        <w:trPr>
          <w:trHeight w:val="20" w:hRule="atLeast"/>
          <w:jc w:val="center"/>
        </w:trPr>
        <w:tc>
          <w:tcPr>
            <w:tcW w:w="304" w:type="pct"/>
            <w:vMerge w:val="restart"/>
            <w:tcBorders>
              <w:top w:val="single" w:color="auto" w:sz="4" w:space="0"/>
              <w:left w:val="single" w:color="auto" w:sz="4" w:space="0"/>
              <w:bottom w:val="single" w:color="auto" w:sz="4" w:space="0"/>
              <w:right w:val="single" w:color="auto" w:sz="4" w:space="0"/>
            </w:tcBorders>
            <w:vAlign w:val="center"/>
          </w:tcPr>
          <w:p w14:paraId="440F218D">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1386E914">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39A8695A">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CDE674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B2DEB5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AB01F6">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2A771688">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48E76D4B">
        <w:tblPrEx>
          <w:tblCellMar>
            <w:top w:w="57" w:type="dxa"/>
            <w:left w:w="57" w:type="dxa"/>
            <w:bottom w:w="57" w:type="dxa"/>
            <w:right w:w="57" w:type="dxa"/>
          </w:tblCellMar>
        </w:tblPrEx>
        <w:trPr>
          <w:trHeight w:val="20" w:hRule="atLeast"/>
          <w:jc w:val="center"/>
        </w:trPr>
        <w:tc>
          <w:tcPr>
            <w:tcW w:w="304" w:type="pct"/>
            <w:vMerge w:val="continue"/>
            <w:tcBorders>
              <w:top w:val="nil"/>
              <w:left w:val="single" w:color="auto" w:sz="4" w:space="0"/>
              <w:bottom w:val="single" w:color="auto" w:sz="4" w:space="0"/>
              <w:right w:val="single" w:color="auto" w:sz="4" w:space="0"/>
            </w:tcBorders>
            <w:vAlign w:val="center"/>
          </w:tcPr>
          <w:p w14:paraId="0E505E1A">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C36BEEC">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1B47356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D8B02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4EB563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357215F">
            <w:pPr>
              <w:snapToGrid w:val="0"/>
              <w:spacing w:line="240" w:lineRule="exact"/>
              <w:jc w:val="both"/>
              <w:rPr>
                <w:rFonts w:ascii="Arial" w:hAnsi="Arial" w:cs="Arial"/>
                <w:sz w:val="16"/>
                <w:szCs w:val="18"/>
              </w:rPr>
            </w:pPr>
            <w:r>
              <w:rPr>
                <w:rFonts w:ascii="Arial" w:hAnsi="Arial" w:cs="Arial"/>
                <w:sz w:val="16"/>
                <w:szCs w:val="18"/>
              </w:rPr>
              <w:t>100</w:t>
            </w:r>
          </w:p>
        </w:tc>
        <w:tc>
          <w:tcPr>
            <w:tcW w:w="2033" w:type="pct"/>
            <w:tcBorders>
              <w:top w:val="nil"/>
              <w:left w:val="nil"/>
              <w:bottom w:val="single" w:color="auto" w:sz="4" w:space="0"/>
              <w:right w:val="single" w:color="auto" w:sz="4" w:space="0"/>
            </w:tcBorders>
            <w:vAlign w:val="center"/>
          </w:tcPr>
          <w:p w14:paraId="00A8057E">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7158AAC4">
      <w:pPr>
        <w:wordWrap w:val="0"/>
        <w:overflowPunct w:val="0"/>
        <w:spacing w:line="480" w:lineRule="auto"/>
        <w:rPr>
          <w:rFonts w:ascii="Arial" w:hAnsi="Arial"/>
          <w:sz w:val="21"/>
          <w:szCs w:val="21"/>
        </w:rPr>
      </w:pPr>
    </w:p>
    <w:p w14:paraId="719C024F">
      <w:pPr>
        <w:wordWrap w:val="0"/>
        <w:overflowPunct w:val="0"/>
        <w:spacing w:line="480" w:lineRule="auto"/>
        <w:rPr>
          <w:rFonts w:ascii="Arial" w:hAnsi="Arial"/>
          <w:sz w:val="21"/>
          <w:szCs w:val="21"/>
        </w:rPr>
      </w:pPr>
    </w:p>
    <w:p w14:paraId="09117A21">
      <w:pPr>
        <w:rPr>
          <w:rFonts w:ascii="Arial" w:hAnsi="Arial"/>
          <w:sz w:val="21"/>
          <w:szCs w:val="21"/>
        </w:rPr>
      </w:pPr>
      <w:r>
        <w:rPr>
          <w:rFonts w:hint="eastAsia" w:ascii="Arial" w:hAnsi="Arial"/>
          <w:sz w:val="21"/>
          <w:szCs w:val="21"/>
        </w:rPr>
        <w:br w:type="page"/>
      </w:r>
    </w:p>
    <w:p w14:paraId="7E86E6FA">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1857FE5B">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02C5B484">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79A51A54">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5AADC0E">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36C8F675">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4</w:t>
            </w:r>
          </w:p>
        </w:tc>
        <w:tc>
          <w:tcPr>
            <w:tcW w:w="897" w:type="pct"/>
            <w:tcBorders>
              <w:top w:val="single" w:color="auto" w:sz="4" w:space="0"/>
              <w:left w:val="nil"/>
              <w:bottom w:val="single" w:color="auto" w:sz="4" w:space="0"/>
              <w:right w:val="single" w:color="auto" w:sz="4" w:space="0"/>
            </w:tcBorders>
            <w:vAlign w:val="center"/>
          </w:tcPr>
          <w:p w14:paraId="56A3AA2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5</w:t>
            </w:r>
          </w:p>
        </w:tc>
        <w:tc>
          <w:tcPr>
            <w:tcW w:w="897" w:type="pct"/>
            <w:tcBorders>
              <w:top w:val="single" w:color="auto" w:sz="4" w:space="0"/>
              <w:left w:val="nil"/>
              <w:bottom w:val="single" w:color="auto" w:sz="4" w:space="0"/>
              <w:right w:val="single" w:color="auto" w:sz="4" w:space="0"/>
            </w:tcBorders>
            <w:vAlign w:val="center"/>
          </w:tcPr>
          <w:p w14:paraId="5FC3E7EB">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6</w:t>
            </w:r>
          </w:p>
        </w:tc>
      </w:tr>
      <w:tr w14:paraId="779A2B62">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DF0014D">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0B6EB95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31C84A2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708" w:type="dxa"/>
            <w:tcBorders>
              <w:top w:val="nil"/>
              <w:left w:val="nil"/>
              <w:bottom w:val="single" w:color="auto" w:sz="4" w:space="0"/>
              <w:right w:val="single" w:color="auto" w:sz="4" w:space="0"/>
            </w:tcBorders>
            <w:vAlign w:val="center"/>
          </w:tcPr>
          <w:p w14:paraId="6BD2231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联港嘉园</w:t>
            </w:r>
          </w:p>
        </w:tc>
      </w:tr>
      <w:tr w14:paraId="36FA7D8C">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07F479C">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5DEB12F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33.10</w:t>
            </w:r>
          </w:p>
        </w:tc>
        <w:tc>
          <w:tcPr>
            <w:tcW w:w="1707" w:type="dxa"/>
            <w:tcBorders>
              <w:top w:val="nil"/>
              <w:left w:val="nil"/>
              <w:bottom w:val="single" w:color="auto" w:sz="4" w:space="0"/>
              <w:right w:val="single" w:color="auto" w:sz="4" w:space="0"/>
            </w:tcBorders>
            <w:vAlign w:val="center"/>
          </w:tcPr>
          <w:p w14:paraId="1E44AD0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33.53</w:t>
            </w:r>
          </w:p>
        </w:tc>
        <w:tc>
          <w:tcPr>
            <w:tcW w:w="1708" w:type="dxa"/>
            <w:tcBorders>
              <w:top w:val="nil"/>
              <w:left w:val="nil"/>
              <w:bottom w:val="single" w:color="auto" w:sz="4" w:space="0"/>
              <w:right w:val="single" w:color="auto" w:sz="4" w:space="0"/>
            </w:tcBorders>
            <w:vAlign w:val="center"/>
          </w:tcPr>
          <w:p w14:paraId="4BAFEBE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32.31</w:t>
            </w:r>
          </w:p>
        </w:tc>
      </w:tr>
      <w:tr w14:paraId="7F6C0457">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42AF4245">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588E25C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4D60B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385647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F35302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DEF7903">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1702483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D998E5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16F6A56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5601F0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685DF34">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58D091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478285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0B185A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D2B082B">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6393D39E">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392A4072">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24F72C6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96F673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1D6EC1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6D38BF6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6E511B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CE698BC">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357E680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D696E3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0B725F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50189CF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51405F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C34F6D8">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76EEA5D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C5C2B9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701835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9920E79">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B4B5D7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54D89F9">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3AB31D4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477F8F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996644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5C5F9E7C">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3421C8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A4C9E4A">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2861486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723C19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1C638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E3F391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B4FDB5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19E0F04">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47B2DC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3C9AD7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5B10CAC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A0E7C56">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A7ECFB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DF2C869">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65FF61C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157C07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E7FDB5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08C2CC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8C4C01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F0A0BD3">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0F744C7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BA6F8A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F9EF790">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478C3CC4">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C9D88A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8F8240">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56848B1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35D8FA41">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6005549F">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2</w:t>
            </w:r>
          </w:p>
        </w:tc>
      </w:tr>
      <w:tr w14:paraId="30E6D74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A03FF5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667D27F">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480331D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3D9B1D6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8" w:type="dxa"/>
            <w:tcBorders>
              <w:top w:val="nil"/>
              <w:left w:val="nil"/>
              <w:bottom w:val="single" w:color="auto" w:sz="4" w:space="0"/>
              <w:right w:val="single" w:color="auto" w:sz="4" w:space="0"/>
            </w:tcBorders>
            <w:vAlign w:val="center"/>
          </w:tcPr>
          <w:p w14:paraId="02C3E9A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22DFD11D">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22DE6A9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9ABBD28">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5C84780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60FC9B59">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55E08F2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45F060D7">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7F65FD21">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06ACD2A7">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2F1A074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14968BA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6E797E54">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r>
      <w:tr w14:paraId="197B648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1BFE98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A6FB112">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19E8DA2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1504EE9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7942F9F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62F939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DCC37BB">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E82CC9D">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4AF0680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3D4530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380FB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2E6ABC7">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A3E80F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AE76863">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1A9C8F2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32DC33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DA7A16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40F25D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658E23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AEB0143">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549C6A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FB8AB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AA2010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D62635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042A917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01AD067">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4FB9E14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29041CF6">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1DD7DDBD">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1BCDBC3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28AE07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4D234D5">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6F41B60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6F124E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C217D3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63F0773C">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EBB436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115BF0E">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2A4F407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3D6A1BC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2AB7B03A">
            <w:pPr>
              <w:widowControl/>
              <w:adjustRightInd/>
              <w:spacing w:line="240" w:lineRule="auto"/>
              <w:jc w:val="center"/>
              <w:textAlignment w:val="auto"/>
              <w:rPr>
                <w:rFonts w:hint="default" w:ascii="Arial" w:hAnsi="Arial" w:eastAsia="宋体" w:cs="Arial"/>
                <w:sz w:val="16"/>
                <w:szCs w:val="18"/>
                <w:lang w:val="en-US" w:eastAsia="zh-CN"/>
              </w:rPr>
            </w:pPr>
            <w:r>
              <w:rPr>
                <w:rFonts w:ascii="Arial" w:hAnsi="Arial" w:cs="Arial"/>
                <w:sz w:val="16"/>
                <w:szCs w:val="18"/>
              </w:rPr>
              <w:t>100/</w:t>
            </w:r>
            <w:r>
              <w:rPr>
                <w:rFonts w:hint="eastAsia" w:ascii="Arial" w:hAnsi="Arial" w:cs="Arial"/>
                <w:sz w:val="16"/>
                <w:szCs w:val="18"/>
                <w:lang w:val="en-US" w:eastAsia="zh-CN"/>
              </w:rPr>
              <w:t>100</w:t>
            </w:r>
          </w:p>
        </w:tc>
      </w:tr>
      <w:tr w14:paraId="3886FB5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1B1B34A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DBFCE2B">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42555037">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5DF32CE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550EEC2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48CBDD87">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2D64607E">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7ED6843B">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069BD0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289966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35BEE2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F494AB0">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FFE66F3">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DC0491F">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04C22A1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27D589B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6106D9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8A9BE3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39C34669">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13710962">
            <w:pPr>
              <w:spacing w:line="240" w:lineRule="auto"/>
              <w:jc w:val="center"/>
              <w:rPr>
                <w:rFonts w:ascii="Arial" w:hAnsi="Arial" w:cs="Arial"/>
                <w:sz w:val="16"/>
                <w:szCs w:val="18"/>
              </w:rPr>
            </w:pPr>
            <w:r>
              <w:rPr>
                <w:rFonts w:hint="eastAsia" w:ascii="Arial" w:hAnsi="Arial" w:cs="Arial"/>
                <w:sz w:val="16"/>
                <w:szCs w:val="18"/>
              </w:rPr>
              <w:t>1.1470</w:t>
            </w:r>
          </w:p>
        </w:tc>
        <w:tc>
          <w:tcPr>
            <w:tcW w:w="897" w:type="pct"/>
            <w:tcBorders>
              <w:top w:val="single" w:color="auto" w:sz="4" w:space="0"/>
              <w:left w:val="nil"/>
              <w:bottom w:val="single" w:color="auto" w:sz="4" w:space="0"/>
              <w:right w:val="single" w:color="auto" w:sz="4" w:space="0"/>
            </w:tcBorders>
            <w:vAlign w:val="center"/>
          </w:tcPr>
          <w:p w14:paraId="7281A2E8">
            <w:pPr>
              <w:spacing w:line="240" w:lineRule="auto"/>
              <w:jc w:val="center"/>
              <w:rPr>
                <w:rFonts w:ascii="Arial" w:hAnsi="Arial" w:cs="Arial"/>
                <w:sz w:val="16"/>
                <w:szCs w:val="18"/>
              </w:rPr>
            </w:pPr>
            <w:r>
              <w:rPr>
                <w:rFonts w:hint="eastAsia" w:ascii="Arial" w:hAnsi="Arial" w:cs="Arial"/>
                <w:sz w:val="16"/>
                <w:szCs w:val="18"/>
              </w:rPr>
              <w:t>1.1704</w:t>
            </w:r>
          </w:p>
        </w:tc>
        <w:tc>
          <w:tcPr>
            <w:tcW w:w="897" w:type="pct"/>
            <w:tcBorders>
              <w:top w:val="single" w:color="auto" w:sz="4" w:space="0"/>
              <w:left w:val="nil"/>
              <w:bottom w:val="single" w:color="auto" w:sz="4" w:space="0"/>
              <w:right w:val="single" w:color="auto" w:sz="4" w:space="0"/>
            </w:tcBorders>
            <w:vAlign w:val="center"/>
          </w:tcPr>
          <w:p w14:paraId="725381DC">
            <w:pPr>
              <w:spacing w:line="240" w:lineRule="auto"/>
              <w:jc w:val="center"/>
              <w:rPr>
                <w:rFonts w:ascii="Arial" w:hAnsi="Arial" w:cs="Arial"/>
                <w:sz w:val="16"/>
                <w:szCs w:val="18"/>
              </w:rPr>
            </w:pPr>
            <w:r>
              <w:rPr>
                <w:rFonts w:hint="eastAsia" w:ascii="Arial" w:hAnsi="Arial" w:cs="Arial"/>
                <w:sz w:val="16"/>
                <w:szCs w:val="18"/>
              </w:rPr>
              <w:t>1.1924</w:t>
            </w:r>
          </w:p>
        </w:tc>
      </w:tr>
      <w:tr w14:paraId="133EA1A1">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72F265F1">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583DD053">
            <w:pPr>
              <w:spacing w:line="240" w:lineRule="auto"/>
              <w:jc w:val="center"/>
              <w:rPr>
                <w:rFonts w:ascii="Arial" w:hAnsi="Arial" w:cs="Arial"/>
                <w:sz w:val="16"/>
                <w:szCs w:val="18"/>
              </w:rPr>
            </w:pPr>
            <w:r>
              <w:rPr>
                <w:rFonts w:hint="eastAsia" w:ascii="Arial" w:hAnsi="Arial" w:cs="Arial"/>
                <w:sz w:val="16"/>
                <w:szCs w:val="18"/>
              </w:rPr>
              <w:t>37.97</w:t>
            </w:r>
          </w:p>
        </w:tc>
        <w:tc>
          <w:tcPr>
            <w:tcW w:w="897" w:type="pct"/>
            <w:tcBorders>
              <w:top w:val="single" w:color="auto" w:sz="4" w:space="0"/>
              <w:left w:val="nil"/>
              <w:bottom w:val="single" w:color="auto" w:sz="4" w:space="0"/>
              <w:right w:val="single" w:color="auto" w:sz="4" w:space="0"/>
            </w:tcBorders>
            <w:vAlign w:val="center"/>
          </w:tcPr>
          <w:p w14:paraId="566DF111">
            <w:pPr>
              <w:spacing w:line="240" w:lineRule="auto"/>
              <w:jc w:val="center"/>
              <w:rPr>
                <w:rFonts w:ascii="Arial" w:hAnsi="Arial" w:cs="Arial"/>
                <w:sz w:val="16"/>
                <w:szCs w:val="18"/>
              </w:rPr>
            </w:pPr>
            <w:r>
              <w:rPr>
                <w:rFonts w:hint="eastAsia" w:ascii="Arial" w:hAnsi="Arial" w:cs="Arial"/>
                <w:sz w:val="16"/>
                <w:szCs w:val="18"/>
              </w:rPr>
              <w:t>39.24</w:t>
            </w:r>
          </w:p>
        </w:tc>
        <w:tc>
          <w:tcPr>
            <w:tcW w:w="897" w:type="pct"/>
            <w:tcBorders>
              <w:top w:val="single" w:color="auto" w:sz="4" w:space="0"/>
              <w:left w:val="nil"/>
              <w:bottom w:val="single" w:color="auto" w:sz="4" w:space="0"/>
              <w:right w:val="single" w:color="auto" w:sz="4" w:space="0"/>
            </w:tcBorders>
            <w:vAlign w:val="center"/>
          </w:tcPr>
          <w:p w14:paraId="52C60F1D">
            <w:pPr>
              <w:spacing w:line="240" w:lineRule="auto"/>
              <w:jc w:val="center"/>
              <w:rPr>
                <w:rFonts w:ascii="Arial" w:hAnsi="Arial" w:cs="Arial"/>
                <w:sz w:val="16"/>
                <w:szCs w:val="18"/>
              </w:rPr>
            </w:pPr>
            <w:r>
              <w:rPr>
                <w:rFonts w:hint="eastAsia" w:ascii="Arial" w:hAnsi="Arial" w:cs="Arial"/>
                <w:sz w:val="16"/>
                <w:szCs w:val="18"/>
              </w:rPr>
              <w:t>41.11</w:t>
            </w:r>
          </w:p>
        </w:tc>
      </w:tr>
    </w:tbl>
    <w:p w14:paraId="64CB6C03">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6AFB96B7">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50D1CC56">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1B98E1C7">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即：标准房2</w:t>
      </w:r>
      <w:r>
        <w:rPr>
          <w:rFonts w:hint="eastAsia" w:ascii="Arial" w:hAnsi="Arial"/>
          <w:bCs/>
          <w:sz w:val="21"/>
        </w:rPr>
        <w:t>市场租赁住房租金</w:t>
      </w:r>
      <w:r>
        <w:rPr>
          <w:rFonts w:hint="eastAsia" w:ascii="Arial" w:hAnsi="Arial"/>
          <w:sz w:val="21"/>
          <w:szCs w:val="21"/>
        </w:rPr>
        <w:t>＝（37.97+39.24+41.11）÷</w:t>
      </w:r>
      <w:r>
        <w:rPr>
          <w:rFonts w:ascii="Arial" w:hAnsi="Arial"/>
          <w:sz w:val="21"/>
          <w:szCs w:val="21"/>
        </w:rPr>
        <w:t>3</w:t>
      </w:r>
      <w:r>
        <w:rPr>
          <w:rFonts w:hint="eastAsia" w:ascii="Arial" w:hAnsi="Arial"/>
          <w:sz w:val="21"/>
          <w:szCs w:val="21"/>
        </w:rPr>
        <w:t>+2.3</w:t>
      </w:r>
    </w:p>
    <w:p w14:paraId="531A3D4C">
      <w:pPr>
        <w:wordWrap w:val="0"/>
        <w:overflowPunct w:val="0"/>
        <w:spacing w:line="480" w:lineRule="auto"/>
        <w:ind w:firstLine="3360" w:firstLineChars="1600"/>
        <w:rPr>
          <w:rFonts w:ascii="Arial" w:hAnsi="Arial"/>
          <w:sz w:val="21"/>
          <w:szCs w:val="21"/>
        </w:rPr>
      </w:pPr>
      <w:r>
        <w:rPr>
          <w:rFonts w:hint="eastAsia" w:ascii="Arial" w:hAnsi="Arial"/>
          <w:sz w:val="21"/>
          <w:szCs w:val="21"/>
        </w:rPr>
        <w:t>＝39.44+2.3</w:t>
      </w:r>
    </w:p>
    <w:p w14:paraId="30AE7AAE">
      <w:pPr>
        <w:wordWrap w:val="0"/>
        <w:overflowPunct w:val="0"/>
        <w:spacing w:line="480" w:lineRule="auto"/>
        <w:ind w:firstLine="420" w:firstLineChars="200"/>
        <w:rPr>
          <w:rFonts w:ascii="宋体" w:hAnsi="宋体"/>
          <w:sz w:val="21"/>
          <w:szCs w:val="21"/>
        </w:rPr>
      </w:pPr>
      <w:r>
        <w:rPr>
          <w:rFonts w:ascii="Arial" w:hAnsi="Arial"/>
          <w:sz w:val="21"/>
          <w:szCs w:val="21"/>
        </w:rPr>
        <w:t xml:space="preserve">                            </w:t>
      </w:r>
      <w:r>
        <w:rPr>
          <w:rFonts w:hint="eastAsia" w:ascii="Arial" w:hAnsi="Arial"/>
          <w:sz w:val="21"/>
          <w:szCs w:val="21"/>
        </w:rPr>
        <w:t>＝41.74（元/平方米·月）</w:t>
      </w:r>
      <w:r>
        <w:rPr>
          <w:rFonts w:hint="eastAsia" w:ascii="宋体" w:hAnsi="宋体"/>
          <w:sz w:val="21"/>
          <w:szCs w:val="21"/>
        </w:rPr>
        <w:t>（含物业费、不含取暖费）</w:t>
      </w:r>
    </w:p>
    <w:p w14:paraId="30A53888">
      <w:pPr>
        <w:wordWrap w:val="0"/>
        <w:overflowPunct w:val="0"/>
        <w:spacing w:line="480" w:lineRule="auto"/>
        <w:ind w:firstLine="422" w:firstLineChars="200"/>
        <w:rPr>
          <w:rFonts w:ascii="Arial" w:hAnsi="Arial" w:cs="Arial"/>
          <w:b/>
          <w:sz w:val="21"/>
          <w:szCs w:val="21"/>
        </w:rPr>
      </w:pPr>
      <w:r>
        <w:rPr>
          <w:rFonts w:hint="eastAsia" w:ascii="Arial" w:hAnsi="Arial" w:cs="Arial"/>
          <w:b/>
          <w:sz w:val="21"/>
          <w:szCs w:val="21"/>
        </w:rPr>
        <w:t>C.标准房3（三居室</w:t>
      </w:r>
      <w:r>
        <w:rPr>
          <w:rFonts w:hint="eastAsia" w:ascii="宋体" w:hAnsi="宋体"/>
          <w:b/>
          <w:sz w:val="21"/>
          <w:szCs w:val="21"/>
        </w:rPr>
        <w:t>标准房市场租金水平）</w:t>
      </w:r>
    </w:p>
    <w:p w14:paraId="4D7692A5">
      <w:pPr>
        <w:wordWrap w:val="0"/>
        <w:overflowPunct w:val="0"/>
        <w:spacing w:line="480" w:lineRule="auto"/>
        <w:ind w:firstLine="420" w:firstLineChars="200"/>
        <w:rPr>
          <w:rFonts w:ascii="Arial" w:hAnsi="Arial" w:cs="Arial"/>
          <w:sz w:val="21"/>
          <w:szCs w:val="21"/>
        </w:rPr>
      </w:pPr>
      <w:r>
        <w:rPr>
          <w:rFonts w:ascii="Arial" w:hAnsi="Arial" w:cs="Arial"/>
          <w:sz w:val="21"/>
          <w:szCs w:val="21"/>
        </w:rPr>
        <w:t>1.选取案例并作因素条件说明</w:t>
      </w:r>
    </w:p>
    <w:p w14:paraId="58E4AA98">
      <w:pPr>
        <w:wordWrap w:val="0"/>
        <w:overflowPunct w:val="0"/>
        <w:spacing w:line="480" w:lineRule="auto"/>
        <w:ind w:firstLine="420" w:firstLineChars="200"/>
        <w:rPr>
          <w:rFonts w:ascii="Arial" w:hAnsi="Arial" w:cs="Arial"/>
          <w:sz w:val="21"/>
          <w:szCs w:val="21"/>
        </w:rPr>
      </w:pPr>
      <w:r>
        <w:rPr>
          <w:rFonts w:ascii="Arial" w:hAnsi="Arial" w:cs="Arial"/>
          <w:sz w:val="21"/>
          <w:szCs w:val="21"/>
        </w:rPr>
        <w:t>通过对北京市</w:t>
      </w:r>
      <w:r>
        <w:rPr>
          <w:rFonts w:hint="eastAsia" w:ascii="Arial" w:hAnsi="Arial" w:cs="Arial"/>
          <w:sz w:val="21"/>
          <w:szCs w:val="21"/>
        </w:rPr>
        <w:t>大兴</w:t>
      </w:r>
      <w:r>
        <w:rPr>
          <w:rFonts w:ascii="Arial" w:hAnsi="Arial" w:cs="Arial"/>
          <w:sz w:val="21"/>
          <w:szCs w:val="21"/>
        </w:rPr>
        <w:t>区</w:t>
      </w:r>
      <w:r>
        <w:rPr>
          <w:rFonts w:hint="eastAsia" w:ascii="Arial" w:hAnsi="Arial" w:cs="Arial"/>
          <w:sz w:val="21"/>
          <w:szCs w:val="21"/>
        </w:rPr>
        <w:t>周边住宅</w:t>
      </w:r>
      <w:r>
        <w:rPr>
          <w:rFonts w:ascii="Arial" w:hAnsi="Arial" w:cs="Arial"/>
          <w:sz w:val="21"/>
          <w:szCs w:val="21"/>
        </w:rPr>
        <w:t>市场的调查，选取近期同一供需圈内邻近地区的三个租赁</w:t>
      </w:r>
      <w:r>
        <w:rPr>
          <w:rFonts w:hint="eastAsia" w:ascii="Arial" w:hAnsi="Arial" w:cs="Arial"/>
          <w:sz w:val="21"/>
          <w:szCs w:val="21"/>
        </w:rPr>
        <w:t>实例</w:t>
      </w:r>
      <w:r>
        <w:rPr>
          <w:rFonts w:ascii="Arial" w:hAnsi="Arial" w:cs="Arial"/>
          <w:sz w:val="21"/>
          <w:szCs w:val="21"/>
        </w:rPr>
        <w:t>进行比较。</w:t>
      </w:r>
    </w:p>
    <w:p w14:paraId="57715D36">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可比实例7</w:t>
      </w:r>
      <w:r>
        <w:rPr>
          <w:rFonts w:ascii="Arial" w:hAnsi="Arial" w:cs="Arial"/>
          <w:sz w:val="21"/>
          <w:szCs w:val="21"/>
        </w:rPr>
        <w:t>：</w:t>
      </w:r>
    </w:p>
    <w:p w14:paraId="3311D236">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兴水家园</w:t>
      </w:r>
    </w:p>
    <w:p w14:paraId="4DBA232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大兴区林校路69号</w:t>
      </w:r>
    </w:p>
    <w:p w14:paraId="78E47313">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6F1F9829">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2A1D4B44">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40DD389C">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可比实例7周边2公里内有漪景苑、埝坛华庭北区、壹品兴创颐和公馆、矿林庄小区、锦华园小区、义和庄东里等居住项目，居住小区规模适中，入住率较好，综合评价居住区成熟度较好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可比实例7</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2007</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136</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为36.76元/平方米·月（含物业费1.1元/平方米·月、取暖费2.5元/平方米·月）。</w:t>
      </w:r>
    </w:p>
    <w:p w14:paraId="01D18866">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w:t>
      </w:r>
      <w:r>
        <w:rPr>
          <w:rFonts w:ascii="Arial" w:hAnsi="Arial" w:cs="Arial"/>
          <w:sz w:val="21"/>
          <w:szCs w:val="21"/>
        </w:rPr>
        <w:t>：</w:t>
      </w:r>
    </w:p>
    <w:p w14:paraId="5E6A6EB8">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漪景园</w:t>
      </w:r>
    </w:p>
    <w:p w14:paraId="3426757E">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大兴区林校路60号</w:t>
      </w:r>
    </w:p>
    <w:p w14:paraId="42763BCA">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lang w:val="en-US" w:eastAsia="zh-CN"/>
        </w:rPr>
        <w:t>2</w:t>
      </w:r>
      <w:r>
        <w:rPr>
          <w:rFonts w:ascii="Arial" w:hAnsi="Arial" w:cs="Arial"/>
          <w:sz w:val="21"/>
          <w:szCs w:val="21"/>
        </w:rPr>
        <w:t>月</w:t>
      </w:r>
    </w:p>
    <w:p w14:paraId="4CE08621">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C868058">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2EF6A070">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可比实例8周边2公里内有漪景苑、埝坛华庭北区、壹品兴创颐和公馆、矿林庄小区、锦华园小区、义和庄东里等居住项目，居住小区规模适中，入住率较好，综合评价居住区成熟度较好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主干道——林校路</w:t>
      </w:r>
      <w:r>
        <w:rPr>
          <w:rFonts w:ascii="Arial" w:hAnsi="Arial" w:cs="Arial"/>
          <w:sz w:val="21"/>
          <w:szCs w:val="21"/>
        </w:rPr>
        <w:t>，</w:t>
      </w:r>
      <w:r>
        <w:rPr>
          <w:rFonts w:hint="eastAsia" w:ascii="Arial" w:hAnsi="Arial" w:cs="Arial"/>
          <w:kern w:val="2"/>
          <w:sz w:val="21"/>
          <w:szCs w:val="21"/>
        </w:rPr>
        <w:t>周边2公里范围内有轨道交通站点（地铁4号线义和庄站），周边1公里内有827路、829路、840路、兴11路、兴21路等公交线路途径并设立站点，综合评价交通便捷度较好；</w:t>
      </w:r>
      <w:r>
        <w:rPr>
          <w:rFonts w:ascii="Arial" w:hAnsi="Arial" w:cs="Arial"/>
          <w:sz w:val="21"/>
          <w:szCs w:val="21"/>
        </w:rPr>
        <w:t>周边有</w:t>
      </w:r>
      <w:r>
        <w:rPr>
          <w:rFonts w:hint="eastAsia" w:ascii="Arial" w:hAnsi="Arial" w:cs="Arial"/>
          <w:kern w:val="2"/>
          <w:sz w:val="21"/>
          <w:szCs w:val="21"/>
        </w:rPr>
        <w:t>孙村公园、新凤河</w:t>
      </w:r>
      <w:r>
        <w:rPr>
          <w:rFonts w:ascii="Arial" w:hAnsi="Arial" w:cs="Arial"/>
          <w:sz w:val="21"/>
          <w:szCs w:val="21"/>
        </w:rPr>
        <w:t>等自然景观，</w:t>
      </w:r>
      <w:r>
        <w:rPr>
          <w:rFonts w:hint="eastAsia" w:ascii="Arial" w:hAnsi="Arial" w:cs="Arial"/>
          <w:sz w:val="21"/>
          <w:szCs w:val="21"/>
        </w:rPr>
        <w:t>5公里范围内无污染源，</w:t>
      </w:r>
      <w:r>
        <w:rPr>
          <w:rFonts w:ascii="Arial" w:hAnsi="Arial" w:cs="Arial"/>
          <w:sz w:val="21"/>
          <w:szCs w:val="21"/>
        </w:rPr>
        <w:t>自然与人环境</w:t>
      </w:r>
      <w:r>
        <w:rPr>
          <w:rFonts w:hint="eastAsia" w:ascii="Arial" w:hAnsi="Arial" w:cs="Arial"/>
          <w:sz w:val="21"/>
          <w:szCs w:val="21"/>
        </w:rPr>
        <w:t>一般</w:t>
      </w:r>
      <w:r>
        <w:rPr>
          <w:rFonts w:ascii="Arial" w:hAnsi="Arial" w:cs="Arial"/>
          <w:sz w:val="21"/>
          <w:szCs w:val="21"/>
        </w:rPr>
        <w:t>；</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可比实例8</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中</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02</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101.93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为38.26元/平方米·月（含物业费1.2元/平方米·月、取暖费2.5元/平方米·月）</w:t>
      </w:r>
      <w:r>
        <w:rPr>
          <w:rFonts w:ascii="Arial" w:hAnsi="Arial" w:cs="Arial"/>
          <w:sz w:val="21"/>
          <w:szCs w:val="21"/>
        </w:rPr>
        <w:t>。</w:t>
      </w:r>
    </w:p>
    <w:p w14:paraId="4675B4D1">
      <w:pPr>
        <w:wordWrap w:val="0"/>
        <w:overflowPunct w:val="0"/>
        <w:spacing w:line="480" w:lineRule="auto"/>
        <w:ind w:firstLine="420" w:firstLineChars="200"/>
        <w:rPr>
          <w:rFonts w:ascii="Arial" w:hAnsi="Arial" w:cs="Arial"/>
          <w:sz w:val="21"/>
          <w:szCs w:val="21"/>
        </w:rPr>
      </w:pPr>
      <w:r>
        <w:rPr>
          <w:rFonts w:hint="eastAsia" w:ascii="Arial" w:hAnsi="Arial" w:cs="Arial"/>
          <w:sz w:val="21"/>
          <w:szCs w:val="21"/>
        </w:rPr>
        <w:t>可比实例9</w:t>
      </w:r>
      <w:r>
        <w:rPr>
          <w:rFonts w:ascii="Arial" w:hAnsi="Arial" w:cs="Arial"/>
          <w:sz w:val="21"/>
          <w:szCs w:val="21"/>
        </w:rPr>
        <w:t>：</w:t>
      </w:r>
    </w:p>
    <w:p w14:paraId="2CA67E6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•项目名称：</w:t>
      </w:r>
      <w:r>
        <w:rPr>
          <w:rFonts w:hint="eastAsia" w:ascii="Arial" w:hAnsi="Arial" w:cs="Arial"/>
          <w:sz w:val="21"/>
          <w:szCs w:val="21"/>
        </w:rPr>
        <w:t>义和庄东里</w:t>
      </w:r>
    </w:p>
    <w:p w14:paraId="0A4B41E2">
      <w:pPr>
        <w:wordWrap w:val="0"/>
        <w:overflowPunct w:val="0"/>
        <w:spacing w:line="480" w:lineRule="auto"/>
        <w:ind w:firstLine="420" w:firstLineChars="200"/>
        <w:rPr>
          <w:rFonts w:ascii="Arial" w:hAnsi="Arial" w:cs="Arial"/>
          <w:sz w:val="21"/>
          <w:szCs w:val="21"/>
        </w:rPr>
      </w:pPr>
      <w:r>
        <w:rPr>
          <w:rFonts w:ascii="Arial" w:hAnsi="Arial" w:cs="Arial"/>
          <w:sz w:val="21"/>
          <w:szCs w:val="21"/>
        </w:rPr>
        <w:t>•项目坐落</w:t>
      </w:r>
      <w:r>
        <w:rPr>
          <w:rFonts w:hint="eastAsia" w:ascii="Arial" w:hAnsi="Arial" w:cs="Arial"/>
          <w:sz w:val="21"/>
          <w:szCs w:val="21"/>
        </w:rPr>
        <w:t>：大兴区义平路58号</w:t>
      </w:r>
    </w:p>
    <w:p w14:paraId="042B2B22">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•交易时间：202</w:t>
      </w:r>
      <w:r>
        <w:rPr>
          <w:rFonts w:hint="eastAsia" w:ascii="Arial" w:hAnsi="Arial" w:cs="Arial"/>
          <w:sz w:val="21"/>
          <w:szCs w:val="21"/>
        </w:rPr>
        <w:t>6</w:t>
      </w:r>
      <w:r>
        <w:rPr>
          <w:rFonts w:ascii="Arial" w:hAnsi="Arial" w:cs="Arial"/>
          <w:sz w:val="21"/>
          <w:szCs w:val="21"/>
        </w:rPr>
        <w:t>年</w:t>
      </w:r>
      <w:r>
        <w:rPr>
          <w:rFonts w:hint="eastAsia" w:ascii="Arial" w:hAnsi="Arial" w:cs="Arial"/>
          <w:sz w:val="21"/>
          <w:szCs w:val="21"/>
        </w:rPr>
        <w:t>3</w:t>
      </w:r>
      <w:r>
        <w:rPr>
          <w:rFonts w:ascii="Arial" w:hAnsi="Arial" w:cs="Arial"/>
          <w:sz w:val="21"/>
          <w:szCs w:val="21"/>
        </w:rPr>
        <w:t>月</w:t>
      </w:r>
    </w:p>
    <w:p w14:paraId="07227B64">
      <w:pPr>
        <w:wordWrap w:val="0"/>
        <w:overflowPunct w:val="0"/>
        <w:spacing w:line="480" w:lineRule="auto"/>
        <w:ind w:firstLine="420" w:firstLineChars="200"/>
        <w:rPr>
          <w:rFonts w:ascii="Arial" w:hAnsi="Arial" w:cs="Arial"/>
          <w:sz w:val="21"/>
          <w:szCs w:val="21"/>
        </w:rPr>
      </w:pPr>
      <w:r>
        <w:rPr>
          <w:rFonts w:ascii="Arial" w:hAnsi="Arial" w:cs="Arial"/>
          <w:sz w:val="21"/>
          <w:szCs w:val="21"/>
        </w:rPr>
        <w:t>•交易情况：正常出租</w:t>
      </w:r>
    </w:p>
    <w:p w14:paraId="50E45C1B">
      <w:pPr>
        <w:wordWrap w:val="0"/>
        <w:overflowPunct w:val="0"/>
        <w:spacing w:line="480" w:lineRule="auto"/>
        <w:ind w:firstLine="420" w:firstLineChars="200"/>
        <w:rPr>
          <w:rFonts w:ascii="Arial" w:hAnsi="Arial" w:cs="Arial"/>
          <w:sz w:val="21"/>
          <w:szCs w:val="21"/>
        </w:rPr>
      </w:pPr>
      <w:r>
        <w:rPr>
          <w:rFonts w:ascii="Arial" w:hAnsi="Arial" w:cs="Arial"/>
          <w:sz w:val="21"/>
          <w:szCs w:val="21"/>
        </w:rPr>
        <w:t>•用途：住宅</w:t>
      </w:r>
    </w:p>
    <w:p w14:paraId="63AE5B29">
      <w:pPr>
        <w:wordWrap w:val="0"/>
        <w:overflowPunct w:val="0"/>
        <w:spacing w:line="480" w:lineRule="auto"/>
        <w:ind w:firstLine="420" w:firstLineChars="200"/>
        <w:jc w:val="both"/>
        <w:rPr>
          <w:rFonts w:ascii="Arial" w:hAnsi="Arial" w:cs="Arial"/>
          <w:sz w:val="21"/>
          <w:szCs w:val="21"/>
        </w:rPr>
      </w:pPr>
      <w:r>
        <w:rPr>
          <w:rFonts w:hint="eastAsia" w:ascii="Arial" w:hAnsi="Arial" w:cs="Arial"/>
          <w:sz w:val="21"/>
          <w:szCs w:val="21"/>
        </w:rPr>
        <w:t>可比实例9周边2公里内有义和庄北里、中骏金辉未来云城、漪景苑、埝坛华庭北区、壹品兴创颐和公馆、矿林庄小区、等居住项目，居住小区规模适中，入住率较好，综合评价居住区成熟度较好</w:t>
      </w:r>
      <w:r>
        <w:rPr>
          <w:rFonts w:ascii="Arial" w:hAnsi="Arial" w:cs="Arial"/>
          <w:sz w:val="21"/>
          <w:szCs w:val="21"/>
        </w:rPr>
        <w:t>；紧邻城市</w:t>
      </w:r>
      <w:r>
        <w:rPr>
          <w:rFonts w:hint="eastAsia" w:ascii="Arial" w:hAnsi="Arial" w:cs="Arial"/>
          <w:sz w:val="21"/>
          <w:szCs w:val="21"/>
        </w:rPr>
        <w:t>主干道——兴华大街</w:t>
      </w:r>
      <w:r>
        <w:rPr>
          <w:rFonts w:ascii="Arial" w:hAnsi="Arial" w:cs="Arial"/>
          <w:sz w:val="21"/>
          <w:szCs w:val="21"/>
        </w:rPr>
        <w:t>，</w:t>
      </w:r>
      <w:r>
        <w:rPr>
          <w:rFonts w:hint="eastAsia" w:ascii="Arial" w:hAnsi="Arial" w:cs="Arial"/>
          <w:kern w:val="2"/>
          <w:sz w:val="21"/>
          <w:szCs w:val="21"/>
        </w:rPr>
        <w:t>周边2公里范围内有轨道交通站点（地铁4号线黄村火车站），周边1公里内有兴12路、兴16路、兴37路、兴77路等公交线路途径并设立站点，综合评价交通便捷度较好；</w:t>
      </w:r>
      <w:r>
        <w:rPr>
          <w:rFonts w:hint="eastAsia" w:ascii="Arial" w:hAnsi="Arial" w:cs="Arial"/>
          <w:sz w:val="21"/>
          <w:szCs w:val="21"/>
        </w:rPr>
        <w:t>周边2公里有念坛公园、兴良路公园、永定公园、小龙河等自然景观，有中央文化和旅游管理干部学院、国家林业和草原局管理干部学院等人文环境、综合评价自然与人文环境较好</w:t>
      </w:r>
      <w:r>
        <w:rPr>
          <w:rFonts w:ascii="Arial" w:hAnsi="Arial" w:cs="Arial"/>
          <w:sz w:val="21"/>
          <w:szCs w:val="21"/>
        </w:rPr>
        <w:t>；</w:t>
      </w:r>
      <w:r>
        <w:rPr>
          <w:rFonts w:hint="eastAsia" w:ascii="Arial" w:hAnsi="Arial" w:cs="Arial"/>
          <w:sz w:val="21"/>
          <w:szCs w:val="21"/>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r>
        <w:rPr>
          <w:rFonts w:ascii="Arial" w:hAnsi="Arial" w:cs="Arial"/>
          <w:sz w:val="21"/>
          <w:szCs w:val="21"/>
        </w:rPr>
        <w:t>；所在社区有专业物业公司，物业服务保障好</w:t>
      </w:r>
      <w:r>
        <w:rPr>
          <w:rFonts w:hint="eastAsia" w:ascii="Arial" w:hAnsi="Arial" w:cs="Arial"/>
          <w:sz w:val="21"/>
          <w:szCs w:val="21"/>
        </w:rPr>
        <w:t>，</w:t>
      </w:r>
      <w:r>
        <w:rPr>
          <w:rFonts w:ascii="Arial" w:hAnsi="Arial" w:cs="Arial"/>
          <w:sz w:val="21"/>
          <w:szCs w:val="21"/>
        </w:rPr>
        <w:t>有一定规模的绿化，环境较好，区内未配有专属活动站；</w:t>
      </w:r>
      <w:r>
        <w:rPr>
          <w:rFonts w:hint="eastAsia" w:ascii="Arial" w:hAnsi="Arial" w:cs="Arial"/>
          <w:sz w:val="21"/>
          <w:szCs w:val="21"/>
          <w:lang w:eastAsia="zh-CN"/>
        </w:rPr>
        <w:t>社区由一定数量的专业人员管理</w:t>
      </w:r>
      <w:r>
        <w:rPr>
          <w:rFonts w:ascii="Arial" w:hAnsi="Arial" w:cs="Arial"/>
          <w:sz w:val="21"/>
          <w:szCs w:val="21"/>
        </w:rPr>
        <w:t>，居住管理一般；</w:t>
      </w:r>
      <w:r>
        <w:rPr>
          <w:rFonts w:hint="eastAsia" w:ascii="Arial" w:hAnsi="Arial" w:cs="Arial"/>
          <w:sz w:val="21"/>
          <w:szCs w:val="21"/>
        </w:rPr>
        <w:t>可比实例9</w:t>
      </w:r>
      <w:r>
        <w:rPr>
          <w:rFonts w:ascii="Arial" w:hAnsi="Arial" w:cs="Arial"/>
          <w:sz w:val="21"/>
          <w:szCs w:val="21"/>
        </w:rPr>
        <w:t>为</w:t>
      </w:r>
      <w:r>
        <w:rPr>
          <w:rFonts w:hint="eastAsia" w:ascii="Arial" w:hAnsi="Arial" w:cs="Arial"/>
          <w:sz w:val="21"/>
          <w:szCs w:val="21"/>
        </w:rPr>
        <w:t>三</w:t>
      </w:r>
      <w:r>
        <w:rPr>
          <w:rFonts w:ascii="Arial" w:hAnsi="Arial" w:cs="Arial"/>
          <w:sz w:val="21"/>
          <w:szCs w:val="21"/>
        </w:rPr>
        <w:t>居室户型，</w:t>
      </w:r>
      <w:r>
        <w:rPr>
          <w:rFonts w:hint="eastAsia" w:ascii="Arial" w:hAnsi="Arial" w:cs="Arial"/>
          <w:sz w:val="21"/>
          <w:szCs w:val="21"/>
        </w:rPr>
        <w:t>高</w:t>
      </w:r>
      <w:r>
        <w:rPr>
          <w:rFonts w:ascii="Arial" w:hAnsi="Arial" w:cs="Arial"/>
          <w:sz w:val="21"/>
          <w:szCs w:val="21"/>
        </w:rPr>
        <w:t>楼层，</w:t>
      </w:r>
      <w:r>
        <w:rPr>
          <w:rFonts w:hint="eastAsia" w:ascii="Arial" w:hAnsi="Arial" w:cs="Arial"/>
          <w:sz w:val="21"/>
          <w:szCs w:val="21"/>
        </w:rPr>
        <w:t>南北</w:t>
      </w:r>
      <w:r>
        <w:rPr>
          <w:rFonts w:ascii="Arial" w:hAnsi="Arial" w:cs="Arial"/>
          <w:sz w:val="21"/>
          <w:szCs w:val="21"/>
        </w:rPr>
        <w:t>朝向，建成年份为</w:t>
      </w:r>
      <w:r>
        <w:rPr>
          <w:rFonts w:hint="eastAsia" w:ascii="Arial" w:hAnsi="Arial" w:cs="Arial"/>
          <w:sz w:val="21"/>
          <w:szCs w:val="21"/>
        </w:rPr>
        <w:t>2</w:t>
      </w:r>
      <w:r>
        <w:rPr>
          <w:rFonts w:ascii="Arial" w:hAnsi="Arial" w:cs="Arial"/>
          <w:sz w:val="21"/>
          <w:szCs w:val="21"/>
        </w:rPr>
        <w:t>0</w:t>
      </w:r>
      <w:r>
        <w:rPr>
          <w:rFonts w:hint="eastAsia" w:ascii="Arial" w:hAnsi="Arial" w:cs="Arial"/>
          <w:sz w:val="21"/>
          <w:szCs w:val="21"/>
        </w:rPr>
        <w:t>06</w:t>
      </w:r>
      <w:r>
        <w:rPr>
          <w:rFonts w:ascii="Arial" w:hAnsi="Arial" w:cs="Arial"/>
          <w:sz w:val="21"/>
          <w:szCs w:val="21"/>
        </w:rPr>
        <w:t>年，建筑结构为</w:t>
      </w:r>
      <w:r>
        <w:rPr>
          <w:rFonts w:hint="eastAsia" w:ascii="Arial" w:hAnsi="Arial" w:cs="Arial"/>
          <w:sz w:val="21"/>
          <w:szCs w:val="21"/>
        </w:rPr>
        <w:t>混合</w:t>
      </w:r>
      <w:r>
        <w:rPr>
          <w:rFonts w:ascii="Arial" w:hAnsi="Arial" w:cs="Arial"/>
          <w:sz w:val="21"/>
          <w:szCs w:val="21"/>
        </w:rPr>
        <w:t>结构，</w:t>
      </w:r>
      <w:r>
        <w:rPr>
          <w:rFonts w:hint="eastAsia" w:ascii="Arial" w:hAnsi="Arial" w:cs="Arial"/>
          <w:sz w:val="21"/>
          <w:szCs w:val="21"/>
        </w:rPr>
        <w:t>装修为</w:t>
      </w:r>
      <w:r>
        <w:rPr>
          <w:rFonts w:hint="eastAsia" w:ascii="Arial" w:hAnsi="Arial" w:cs="Arial"/>
          <w:sz w:val="21"/>
          <w:szCs w:val="21"/>
          <w:lang w:val="en-US" w:eastAsia="zh-CN"/>
        </w:rPr>
        <w:t>低</w:t>
      </w:r>
      <w:r>
        <w:rPr>
          <w:rFonts w:hint="eastAsia" w:ascii="Arial" w:hAnsi="Arial" w:cs="Arial"/>
          <w:sz w:val="21"/>
          <w:szCs w:val="21"/>
        </w:rPr>
        <w:t>档装修</w:t>
      </w:r>
      <w:r>
        <w:rPr>
          <w:rFonts w:ascii="Arial" w:hAnsi="Arial" w:cs="Arial"/>
          <w:sz w:val="21"/>
          <w:szCs w:val="21"/>
        </w:rPr>
        <w:t>，建筑面积为</w:t>
      </w:r>
      <w:r>
        <w:rPr>
          <w:rFonts w:hint="eastAsia" w:ascii="Arial" w:hAnsi="Arial" w:cs="Arial"/>
          <w:sz w:val="21"/>
          <w:szCs w:val="21"/>
        </w:rPr>
        <w:t>123</w:t>
      </w:r>
      <w:r>
        <w:rPr>
          <w:rFonts w:ascii="Arial" w:hAnsi="Arial" w:cs="Arial"/>
          <w:sz w:val="21"/>
          <w:szCs w:val="21"/>
        </w:rPr>
        <w:t>平方米，</w:t>
      </w:r>
      <w:r>
        <w:rPr>
          <w:rFonts w:hint="eastAsia" w:ascii="宋体" w:hAnsi="宋体"/>
          <w:sz w:val="21"/>
          <w:szCs w:val="21"/>
        </w:rPr>
        <w:t>配备家具、家电齐全，功能正常，质量有保证。交易价格</w:t>
      </w:r>
      <w:r>
        <w:rPr>
          <w:rFonts w:hint="eastAsia" w:ascii="Arial" w:hAnsi="Arial" w:cs="Arial"/>
          <w:sz w:val="21"/>
          <w:szCs w:val="21"/>
        </w:rPr>
        <w:t>为34.15元/平方米·月（含物业费0.8元/平方米·月、取暖费2.5元/平方米·月）</w:t>
      </w:r>
      <w:r>
        <w:rPr>
          <w:rFonts w:ascii="Arial" w:hAnsi="Arial" w:cs="Arial"/>
          <w:sz w:val="21"/>
          <w:szCs w:val="21"/>
        </w:rPr>
        <w:t>。</w:t>
      </w:r>
    </w:p>
    <w:p w14:paraId="32EC2E8E">
      <w:pPr>
        <w:rPr>
          <w:rFonts w:ascii="宋体" w:hAnsi="宋体"/>
          <w:sz w:val="21"/>
          <w:szCs w:val="21"/>
        </w:rPr>
      </w:pPr>
      <w:r>
        <w:rPr>
          <w:rFonts w:hint="eastAsia" w:ascii="宋体" w:hAnsi="宋体"/>
          <w:sz w:val="21"/>
          <w:szCs w:val="21"/>
        </w:rPr>
        <w:br w:type="page"/>
      </w:r>
    </w:p>
    <w:p w14:paraId="29C2BE53">
      <w:pPr>
        <w:wordWrap w:val="0"/>
        <w:overflowPunct w:val="0"/>
        <w:spacing w:line="480" w:lineRule="auto"/>
        <w:ind w:firstLine="420" w:firstLineChars="200"/>
        <w:rPr>
          <w:rFonts w:ascii="宋体" w:hAnsi="宋体"/>
          <w:sz w:val="21"/>
          <w:szCs w:val="21"/>
        </w:rPr>
      </w:pPr>
      <w:r>
        <w:rPr>
          <w:rFonts w:hint="eastAsia" w:ascii="宋体" w:hAnsi="宋体"/>
          <w:sz w:val="21"/>
          <w:szCs w:val="21"/>
        </w:rPr>
        <w:t>建立比较基础</w:t>
      </w:r>
    </w:p>
    <w:tbl>
      <w:tblPr>
        <w:tblStyle w:val="33"/>
        <w:tblW w:w="9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57" w:type="dxa"/>
          <w:bottom w:w="57" w:type="dxa"/>
          <w:right w:w="57" w:type="dxa"/>
        </w:tblCellMar>
      </w:tblPr>
      <w:tblGrid>
        <w:gridCol w:w="2047"/>
        <w:gridCol w:w="1812"/>
        <w:gridCol w:w="1812"/>
        <w:gridCol w:w="1812"/>
        <w:gridCol w:w="1815"/>
      </w:tblGrid>
      <w:tr w14:paraId="465C2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2F0C4D9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交易案例</w:t>
            </w:r>
          </w:p>
        </w:tc>
        <w:tc>
          <w:tcPr>
            <w:tcW w:w="1812" w:type="dxa"/>
            <w:vAlign w:val="center"/>
          </w:tcPr>
          <w:p w14:paraId="06099916">
            <w:pPr>
              <w:pStyle w:val="61"/>
              <w:autoSpaceDE w:val="0"/>
              <w:autoSpaceDN w:val="0"/>
              <w:spacing w:line="240" w:lineRule="exact"/>
              <w:textAlignment w:val="bottom"/>
              <w:rPr>
                <w:rFonts w:ascii="Arial" w:hAnsi="Arial" w:cs="Arial"/>
                <w:sz w:val="16"/>
                <w:szCs w:val="18"/>
              </w:rPr>
            </w:pPr>
            <w:r>
              <w:rPr>
                <w:rFonts w:ascii="Arial" w:hAnsi="Arial" w:cs="Arial"/>
                <w:sz w:val="16"/>
                <w:szCs w:val="18"/>
              </w:rPr>
              <w:t>估价对象</w:t>
            </w:r>
          </w:p>
        </w:tc>
        <w:tc>
          <w:tcPr>
            <w:tcW w:w="1812" w:type="dxa"/>
            <w:vAlign w:val="center"/>
          </w:tcPr>
          <w:p w14:paraId="3942A4CE">
            <w:pPr>
              <w:pStyle w:val="61"/>
              <w:autoSpaceDE w:val="0"/>
              <w:autoSpaceDN w:val="0"/>
              <w:spacing w:line="240" w:lineRule="exact"/>
              <w:textAlignment w:val="bottom"/>
              <w:rPr>
                <w:rFonts w:hint="eastAsia" w:ascii="Arial" w:hAnsi="Arial" w:eastAsia="宋体" w:cs="Arial"/>
                <w:sz w:val="16"/>
                <w:szCs w:val="18"/>
                <w:lang w:val="en-US" w:eastAsia="zh-CN"/>
              </w:rPr>
            </w:pPr>
            <w:commentRangeStart w:id="17"/>
            <w:r>
              <w:rPr>
                <w:rFonts w:ascii="Arial" w:hAnsi="Arial" w:cs="Arial"/>
                <w:sz w:val="16"/>
                <w:szCs w:val="18"/>
              </w:rPr>
              <w:t>可比实例</w:t>
            </w:r>
            <w:r>
              <w:rPr>
                <w:rFonts w:hint="eastAsia" w:ascii="Arial" w:hAnsi="Arial" w:cs="Arial"/>
                <w:sz w:val="16"/>
                <w:szCs w:val="18"/>
                <w:lang w:val="en-US" w:eastAsia="zh-CN"/>
              </w:rPr>
              <w:t>7</w:t>
            </w:r>
          </w:p>
        </w:tc>
        <w:tc>
          <w:tcPr>
            <w:tcW w:w="1812" w:type="dxa"/>
            <w:vAlign w:val="center"/>
          </w:tcPr>
          <w:p w14:paraId="4CB93512">
            <w:pPr>
              <w:pStyle w:val="61"/>
              <w:autoSpaceDE w:val="0"/>
              <w:autoSpaceDN w:val="0"/>
              <w:spacing w:line="240" w:lineRule="exact"/>
              <w:textAlignment w:val="bottom"/>
              <w:rPr>
                <w:rFonts w:hint="eastAsia" w:ascii="Arial" w:hAnsi="Arial" w:eastAsia="宋体" w:cs="Arial"/>
                <w:sz w:val="16"/>
                <w:szCs w:val="18"/>
                <w:lang w:val="en-US" w:eastAsia="zh-CN"/>
              </w:rPr>
            </w:pPr>
            <w:r>
              <w:rPr>
                <w:rFonts w:ascii="Arial" w:hAnsi="Arial" w:cs="Arial"/>
                <w:sz w:val="16"/>
                <w:szCs w:val="18"/>
              </w:rPr>
              <w:t>可比实例</w:t>
            </w:r>
            <w:r>
              <w:rPr>
                <w:rFonts w:hint="eastAsia" w:ascii="Arial" w:hAnsi="Arial" w:cs="Arial"/>
                <w:sz w:val="16"/>
                <w:szCs w:val="18"/>
                <w:lang w:val="en-US" w:eastAsia="zh-CN"/>
              </w:rPr>
              <w:t>8</w:t>
            </w:r>
          </w:p>
        </w:tc>
        <w:tc>
          <w:tcPr>
            <w:tcW w:w="1815" w:type="dxa"/>
            <w:vAlign w:val="center"/>
          </w:tcPr>
          <w:p w14:paraId="7835E34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可比实例</w:t>
            </w:r>
            <w:commentRangeEnd w:id="17"/>
            <w:r>
              <w:rPr>
                <w:rStyle w:val="40"/>
                <w:rFonts w:ascii="Times New Roman"/>
              </w:rPr>
              <w:commentReference w:id="17"/>
            </w:r>
            <w:r>
              <w:rPr>
                <w:rFonts w:hint="eastAsia" w:ascii="Arial" w:hAnsi="Arial" w:cs="Arial"/>
                <w:sz w:val="16"/>
                <w:szCs w:val="18"/>
                <w:lang w:val="en-US" w:eastAsia="zh-CN"/>
              </w:rPr>
              <w:t>9</w:t>
            </w:r>
          </w:p>
        </w:tc>
      </w:tr>
      <w:tr w14:paraId="38E8B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9633342">
            <w:pPr>
              <w:pStyle w:val="61"/>
              <w:autoSpaceDE w:val="0"/>
              <w:autoSpaceDN w:val="0"/>
              <w:spacing w:line="240" w:lineRule="exact"/>
              <w:textAlignment w:val="bottom"/>
              <w:rPr>
                <w:rFonts w:ascii="Arial" w:hAnsi="Arial" w:cs="Arial"/>
                <w:sz w:val="16"/>
                <w:szCs w:val="18"/>
              </w:rPr>
            </w:pPr>
            <w:r>
              <w:rPr>
                <w:rFonts w:ascii="Arial" w:hAnsi="Arial" w:cs="Arial"/>
                <w:sz w:val="16"/>
                <w:szCs w:val="18"/>
              </w:rPr>
              <w:t>项目名称</w:t>
            </w:r>
          </w:p>
        </w:tc>
        <w:tc>
          <w:tcPr>
            <w:tcW w:w="1812" w:type="dxa"/>
            <w:vAlign w:val="center"/>
          </w:tcPr>
          <w:p w14:paraId="4DB24171">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1812" w:type="dxa"/>
            <w:vAlign w:val="center"/>
          </w:tcPr>
          <w:p w14:paraId="4A857D6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812" w:type="dxa"/>
            <w:vAlign w:val="center"/>
          </w:tcPr>
          <w:p w14:paraId="7E2944E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815" w:type="dxa"/>
            <w:vAlign w:val="center"/>
          </w:tcPr>
          <w:p w14:paraId="1044C290">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4C3C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53064393">
            <w:pPr>
              <w:pStyle w:val="61"/>
              <w:autoSpaceDE w:val="0"/>
              <w:autoSpaceDN w:val="0"/>
              <w:spacing w:line="240" w:lineRule="exact"/>
              <w:textAlignment w:val="bottom"/>
              <w:rPr>
                <w:rFonts w:ascii="Arial" w:hAnsi="Arial" w:cs="Arial"/>
                <w:sz w:val="16"/>
                <w:szCs w:val="18"/>
              </w:rPr>
            </w:pPr>
            <w:r>
              <w:rPr>
                <w:rFonts w:ascii="Arial" w:hAnsi="Arial" w:cs="Arial"/>
                <w:sz w:val="16"/>
                <w:szCs w:val="18"/>
              </w:rPr>
              <w:t>租金价格（元/㎡·</w:t>
            </w:r>
            <w:r>
              <w:rPr>
                <w:rFonts w:hint="eastAsia" w:ascii="Arial" w:hAnsi="Arial" w:cs="Arial"/>
                <w:sz w:val="16"/>
                <w:szCs w:val="18"/>
              </w:rPr>
              <w:t>月</w:t>
            </w:r>
            <w:r>
              <w:rPr>
                <w:rFonts w:ascii="Arial" w:hAnsi="Arial" w:cs="Arial"/>
                <w:sz w:val="16"/>
                <w:szCs w:val="18"/>
              </w:rPr>
              <w:t>）</w:t>
            </w:r>
          </w:p>
        </w:tc>
        <w:tc>
          <w:tcPr>
            <w:tcW w:w="1812" w:type="dxa"/>
            <w:vAlign w:val="center"/>
          </w:tcPr>
          <w:p w14:paraId="325B3399">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6FD73C36">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36.76</w:t>
            </w:r>
          </w:p>
        </w:tc>
        <w:tc>
          <w:tcPr>
            <w:tcW w:w="1812" w:type="dxa"/>
            <w:vAlign w:val="center"/>
          </w:tcPr>
          <w:p w14:paraId="2F2DD655">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38.26</w:t>
            </w:r>
          </w:p>
        </w:tc>
        <w:tc>
          <w:tcPr>
            <w:tcW w:w="1815" w:type="dxa"/>
            <w:vAlign w:val="center"/>
          </w:tcPr>
          <w:p w14:paraId="0C845851">
            <w:pPr>
              <w:pStyle w:val="61"/>
              <w:autoSpaceDE w:val="0"/>
              <w:autoSpaceDN w:val="0"/>
              <w:snapToGrid w:val="0"/>
              <w:spacing w:line="240" w:lineRule="exact"/>
              <w:textAlignment w:val="bottom"/>
              <w:rPr>
                <w:rFonts w:ascii="Arial" w:hAnsi="Arial" w:cs="Arial"/>
                <w:sz w:val="16"/>
                <w:szCs w:val="18"/>
              </w:rPr>
            </w:pPr>
            <w:r>
              <w:rPr>
                <w:rFonts w:hint="eastAsia" w:ascii="Arial" w:hAnsi="Arial" w:cs="Arial"/>
                <w:sz w:val="16"/>
                <w:szCs w:val="18"/>
              </w:rPr>
              <w:t>34.15</w:t>
            </w:r>
          </w:p>
        </w:tc>
      </w:tr>
      <w:tr w14:paraId="1DE05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3402" w:hRule="atLeast"/>
          <w:jc w:val="center"/>
        </w:trPr>
        <w:tc>
          <w:tcPr>
            <w:tcW w:w="2047" w:type="dxa"/>
            <w:vMerge w:val="restart"/>
            <w:vAlign w:val="center"/>
          </w:tcPr>
          <w:p w14:paraId="56C2C418">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p>
        </w:tc>
        <w:tc>
          <w:tcPr>
            <w:tcW w:w="1812" w:type="dxa"/>
            <w:vAlign w:val="center"/>
          </w:tcPr>
          <w:p w14:paraId="08E9ACEE">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tc>
        <w:tc>
          <w:tcPr>
            <w:tcW w:w="1812" w:type="dxa"/>
            <w:vAlign w:val="center"/>
          </w:tcPr>
          <w:p w14:paraId="079BE2A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2" w:type="dxa"/>
            <w:vAlign w:val="center"/>
          </w:tcPr>
          <w:p w14:paraId="02520EDD">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c>
          <w:tcPr>
            <w:tcW w:w="1815" w:type="dxa"/>
            <w:vAlign w:val="center"/>
          </w:tcPr>
          <w:p w14:paraId="2110D5A1">
            <w:pPr>
              <w:spacing w:line="276" w:lineRule="auto"/>
              <w:rPr>
                <w:sz w:val="16"/>
              </w:rPr>
            </w:pPr>
            <w:r>
              <w:rPr>
                <w:rFonts w:hint="eastAsia" w:ascii="Arial" w:hAnsi="Arial" w:cs="Arial"/>
                <w:sz w:val="16"/>
                <w:szCs w:val="18"/>
              </w:rPr>
              <w:t>含房屋、家具家电使用费及租赁税费、物业费、供暖费、有线电视费，不含增值服务费、制冷费、水电费、天然气费、通信费、上网宽带费、车位使用费等</w:t>
            </w:r>
          </w:p>
        </w:tc>
      </w:tr>
      <w:tr w14:paraId="42292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trHeight w:val="90" w:hRule="atLeast"/>
          <w:jc w:val="center"/>
        </w:trPr>
        <w:tc>
          <w:tcPr>
            <w:tcW w:w="2047" w:type="dxa"/>
            <w:vMerge w:val="continue"/>
            <w:vAlign w:val="center"/>
          </w:tcPr>
          <w:p w14:paraId="42227971">
            <w:pPr>
              <w:pStyle w:val="61"/>
              <w:autoSpaceDE w:val="0"/>
              <w:autoSpaceDN w:val="0"/>
              <w:spacing w:line="240" w:lineRule="exact"/>
              <w:textAlignment w:val="bottom"/>
              <w:rPr>
                <w:rFonts w:ascii="Arial" w:hAnsi="Arial" w:cs="Arial"/>
                <w:sz w:val="16"/>
                <w:szCs w:val="18"/>
              </w:rPr>
            </w:pPr>
          </w:p>
        </w:tc>
        <w:tc>
          <w:tcPr>
            <w:tcW w:w="1812" w:type="dxa"/>
            <w:vAlign w:val="center"/>
          </w:tcPr>
          <w:p w14:paraId="3F99C1A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扣减物业费、供暖费</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08A65F0A">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3.60</w:t>
            </w:r>
          </w:p>
        </w:tc>
        <w:tc>
          <w:tcPr>
            <w:tcW w:w="1812" w:type="dxa"/>
            <w:vAlign w:val="center"/>
          </w:tcPr>
          <w:p w14:paraId="7198A76B">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3.70</w:t>
            </w:r>
          </w:p>
        </w:tc>
        <w:tc>
          <w:tcPr>
            <w:tcW w:w="1815" w:type="dxa"/>
            <w:vAlign w:val="center"/>
          </w:tcPr>
          <w:p w14:paraId="085BBB3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3.30</w:t>
            </w:r>
          </w:p>
        </w:tc>
      </w:tr>
      <w:tr w14:paraId="3B827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3F1B0226">
            <w:pPr>
              <w:pStyle w:val="61"/>
              <w:autoSpaceDE w:val="0"/>
              <w:autoSpaceDN w:val="0"/>
              <w:spacing w:line="240" w:lineRule="exact"/>
              <w:textAlignment w:val="bottom"/>
              <w:rPr>
                <w:rFonts w:ascii="Arial" w:hAnsi="Arial" w:cs="Arial"/>
                <w:sz w:val="16"/>
                <w:szCs w:val="18"/>
              </w:rPr>
            </w:pPr>
          </w:p>
        </w:tc>
        <w:tc>
          <w:tcPr>
            <w:tcW w:w="1812" w:type="dxa"/>
            <w:vAlign w:val="center"/>
          </w:tcPr>
          <w:p w14:paraId="0A2E2F05">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w:t>
            </w:r>
            <w:r>
              <w:rPr>
                <w:rFonts w:ascii="Arial" w:hAnsi="Arial" w:cs="Arial"/>
                <w:sz w:val="16"/>
                <w:szCs w:val="18"/>
              </w:rPr>
              <w:t>租金内涵</w:t>
            </w:r>
            <w:r>
              <w:rPr>
                <w:rFonts w:hint="eastAsia" w:ascii="Arial" w:hAnsi="Arial" w:cs="Arial"/>
                <w:sz w:val="16"/>
                <w:szCs w:val="18"/>
              </w:rPr>
              <w:t>后价格</w:t>
            </w:r>
            <w:r>
              <w:rPr>
                <w:rFonts w:ascii="Arial" w:hAnsi="Arial" w:cs="Arial"/>
                <w:sz w:val="16"/>
                <w:szCs w:val="18"/>
              </w:rPr>
              <w:t>（</w:t>
            </w:r>
            <w:r>
              <w:rPr>
                <w:rFonts w:hint="eastAsia" w:ascii="Arial" w:hAnsi="Arial" w:cs="Arial"/>
                <w:sz w:val="16"/>
                <w:szCs w:val="18"/>
              </w:rPr>
              <w:t>元/㎡·月</w:t>
            </w:r>
            <w:r>
              <w:rPr>
                <w:rFonts w:ascii="Arial" w:hAnsi="Arial" w:cs="Arial"/>
                <w:sz w:val="16"/>
                <w:szCs w:val="18"/>
              </w:rPr>
              <w:t>）</w:t>
            </w:r>
          </w:p>
        </w:tc>
        <w:tc>
          <w:tcPr>
            <w:tcW w:w="1812" w:type="dxa"/>
            <w:vAlign w:val="center"/>
          </w:tcPr>
          <w:p w14:paraId="28CE83AC">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33.16</w:t>
            </w:r>
          </w:p>
        </w:tc>
        <w:tc>
          <w:tcPr>
            <w:tcW w:w="1812" w:type="dxa"/>
            <w:vAlign w:val="center"/>
          </w:tcPr>
          <w:p w14:paraId="159E217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34.56</w:t>
            </w:r>
          </w:p>
        </w:tc>
        <w:tc>
          <w:tcPr>
            <w:tcW w:w="1815" w:type="dxa"/>
            <w:vAlign w:val="center"/>
          </w:tcPr>
          <w:p w14:paraId="6E75E296">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4C84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17DAAD17">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统一租赁行为条件</w:t>
            </w:r>
          </w:p>
        </w:tc>
        <w:tc>
          <w:tcPr>
            <w:tcW w:w="1812" w:type="dxa"/>
            <w:vAlign w:val="center"/>
          </w:tcPr>
          <w:p w14:paraId="3B2F1696">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18823A0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2" w:type="dxa"/>
          </w:tcPr>
          <w:p w14:paraId="56FA0274">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c>
          <w:tcPr>
            <w:tcW w:w="1815" w:type="dxa"/>
          </w:tcPr>
          <w:p w14:paraId="503CEE09">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一年租期，月付，无免租期</w:t>
            </w:r>
          </w:p>
        </w:tc>
      </w:tr>
      <w:tr w14:paraId="5ADB3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1B69258A">
            <w:pPr>
              <w:pStyle w:val="61"/>
              <w:autoSpaceDE w:val="0"/>
              <w:autoSpaceDN w:val="0"/>
              <w:spacing w:line="240" w:lineRule="exact"/>
              <w:textAlignment w:val="bottom"/>
              <w:rPr>
                <w:rFonts w:ascii="Arial" w:hAnsi="Arial" w:cs="Arial"/>
                <w:sz w:val="16"/>
                <w:szCs w:val="18"/>
              </w:rPr>
            </w:pPr>
          </w:p>
        </w:tc>
        <w:tc>
          <w:tcPr>
            <w:tcW w:w="1812" w:type="dxa"/>
            <w:vAlign w:val="center"/>
          </w:tcPr>
          <w:p w14:paraId="2BD1EC0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2F57F08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5BB24E4B">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62726D62">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7A3B9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restart"/>
            <w:vAlign w:val="center"/>
          </w:tcPr>
          <w:p w14:paraId="26B918B6">
            <w:pPr>
              <w:pStyle w:val="61"/>
              <w:autoSpaceDE w:val="0"/>
              <w:autoSpaceDN w:val="0"/>
              <w:spacing w:line="240" w:lineRule="exact"/>
              <w:textAlignment w:val="bottom"/>
              <w:rPr>
                <w:rFonts w:ascii="Arial" w:hAnsi="Arial" w:cs="Arial"/>
                <w:sz w:val="16"/>
                <w:szCs w:val="18"/>
              </w:rPr>
            </w:pPr>
            <w:r>
              <w:rPr>
                <w:rFonts w:ascii="Arial" w:hAnsi="Arial" w:cs="Arial"/>
                <w:sz w:val="16"/>
                <w:szCs w:val="18"/>
              </w:rPr>
              <w:t>统一计价单位</w:t>
            </w:r>
          </w:p>
        </w:tc>
        <w:tc>
          <w:tcPr>
            <w:tcW w:w="1812" w:type="dxa"/>
            <w:vAlign w:val="center"/>
          </w:tcPr>
          <w:p w14:paraId="25F5CDD8">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1E69522">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2" w:type="dxa"/>
            <w:vAlign w:val="center"/>
          </w:tcPr>
          <w:p w14:paraId="65F425FF">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c>
          <w:tcPr>
            <w:tcW w:w="1815" w:type="dxa"/>
            <w:vAlign w:val="center"/>
          </w:tcPr>
          <w:p w14:paraId="62629003">
            <w:pPr>
              <w:pStyle w:val="61"/>
              <w:autoSpaceDE w:val="0"/>
              <w:autoSpaceDN w:val="0"/>
              <w:spacing w:line="240" w:lineRule="exact"/>
              <w:textAlignment w:val="bottom"/>
              <w:rPr>
                <w:rFonts w:ascii="Arial" w:hAnsi="Arial" w:cs="Arial"/>
                <w:sz w:val="16"/>
                <w:szCs w:val="18"/>
              </w:rPr>
            </w:pPr>
            <w:r>
              <w:rPr>
                <w:rFonts w:ascii="Arial" w:hAnsi="Arial" w:cs="Arial"/>
                <w:sz w:val="16"/>
                <w:szCs w:val="18"/>
              </w:rPr>
              <w:t>人民币，元/建筑平方米·</w:t>
            </w:r>
            <w:r>
              <w:rPr>
                <w:rFonts w:hint="eastAsia" w:ascii="Arial" w:hAnsi="Arial" w:cs="Arial"/>
                <w:sz w:val="16"/>
                <w:szCs w:val="18"/>
              </w:rPr>
              <w:t>月</w:t>
            </w:r>
          </w:p>
        </w:tc>
      </w:tr>
      <w:tr w14:paraId="017E3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Merge w:val="continue"/>
            <w:vAlign w:val="center"/>
          </w:tcPr>
          <w:p w14:paraId="5C258673">
            <w:pPr>
              <w:pStyle w:val="61"/>
              <w:autoSpaceDE w:val="0"/>
              <w:autoSpaceDN w:val="0"/>
              <w:spacing w:line="240" w:lineRule="exact"/>
              <w:textAlignment w:val="bottom"/>
              <w:rPr>
                <w:rFonts w:ascii="Arial" w:hAnsi="Arial" w:cs="Arial"/>
                <w:sz w:val="16"/>
                <w:szCs w:val="18"/>
              </w:rPr>
            </w:pPr>
          </w:p>
        </w:tc>
        <w:tc>
          <w:tcPr>
            <w:tcW w:w="1812" w:type="dxa"/>
            <w:vAlign w:val="center"/>
          </w:tcPr>
          <w:p w14:paraId="26A3DA65">
            <w:pPr>
              <w:pStyle w:val="61"/>
              <w:autoSpaceDE w:val="0"/>
              <w:autoSpaceDN w:val="0"/>
              <w:spacing w:line="240" w:lineRule="exact"/>
              <w:textAlignment w:val="bottom"/>
              <w:rPr>
                <w:rFonts w:ascii="Arial" w:hAnsi="Arial" w:cs="Arial"/>
                <w:sz w:val="16"/>
                <w:szCs w:val="18"/>
              </w:rPr>
            </w:pPr>
            <w:r>
              <w:rPr>
                <w:rFonts w:ascii="Arial" w:hAnsi="Arial" w:cs="Arial"/>
                <w:sz w:val="16"/>
                <w:szCs w:val="18"/>
              </w:rPr>
              <w:t>修正系数</w:t>
            </w:r>
          </w:p>
        </w:tc>
        <w:tc>
          <w:tcPr>
            <w:tcW w:w="1812" w:type="dxa"/>
            <w:vAlign w:val="center"/>
          </w:tcPr>
          <w:p w14:paraId="76FE2EC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2" w:type="dxa"/>
            <w:vAlign w:val="center"/>
          </w:tcPr>
          <w:p w14:paraId="105488B1">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c>
          <w:tcPr>
            <w:tcW w:w="1815" w:type="dxa"/>
            <w:vAlign w:val="center"/>
          </w:tcPr>
          <w:p w14:paraId="160CBB68">
            <w:pPr>
              <w:pStyle w:val="61"/>
              <w:autoSpaceDE w:val="0"/>
              <w:autoSpaceDN w:val="0"/>
              <w:spacing w:line="240" w:lineRule="exact"/>
              <w:textAlignment w:val="bottom"/>
              <w:rPr>
                <w:rFonts w:ascii="Arial" w:hAnsi="Arial" w:cs="Arial"/>
                <w:sz w:val="16"/>
                <w:szCs w:val="18"/>
              </w:rPr>
            </w:pPr>
            <w:r>
              <w:rPr>
                <w:rFonts w:ascii="Arial" w:hAnsi="Arial" w:cs="Arial"/>
                <w:sz w:val="16"/>
                <w:szCs w:val="18"/>
              </w:rPr>
              <w:t>1</w:t>
            </w:r>
          </w:p>
        </w:tc>
      </w:tr>
      <w:tr w14:paraId="10F2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57" w:type="dxa"/>
            <w:bottom w:w="57" w:type="dxa"/>
            <w:right w:w="57" w:type="dxa"/>
          </w:tblCellMar>
        </w:tblPrEx>
        <w:trPr>
          <w:jc w:val="center"/>
        </w:trPr>
        <w:tc>
          <w:tcPr>
            <w:tcW w:w="2047" w:type="dxa"/>
            <w:vAlign w:val="center"/>
          </w:tcPr>
          <w:p w14:paraId="61B9F3BA">
            <w:pPr>
              <w:pStyle w:val="61"/>
              <w:autoSpaceDE w:val="0"/>
              <w:autoSpaceDN w:val="0"/>
              <w:spacing w:line="240" w:lineRule="exact"/>
              <w:textAlignment w:val="bottom"/>
              <w:rPr>
                <w:rFonts w:ascii="Arial" w:hAnsi="Arial" w:cs="Arial"/>
                <w:sz w:val="16"/>
                <w:szCs w:val="18"/>
              </w:rPr>
            </w:pPr>
            <w:r>
              <w:rPr>
                <w:rFonts w:ascii="Arial" w:hAnsi="Arial" w:cs="Arial"/>
                <w:sz w:val="16"/>
                <w:szCs w:val="18"/>
              </w:rPr>
              <w:t>价格（</w:t>
            </w:r>
            <w:r>
              <w:rPr>
                <w:rFonts w:hint="eastAsia" w:ascii="Arial" w:hAnsi="Arial" w:cs="Arial"/>
                <w:sz w:val="16"/>
                <w:szCs w:val="18"/>
              </w:rPr>
              <w:t>元/㎡·月</w:t>
            </w:r>
            <w:r>
              <w:rPr>
                <w:rFonts w:ascii="Arial" w:hAnsi="Arial" w:cs="Arial"/>
                <w:sz w:val="16"/>
                <w:szCs w:val="18"/>
              </w:rPr>
              <w:t>）</w:t>
            </w:r>
          </w:p>
        </w:tc>
        <w:tc>
          <w:tcPr>
            <w:tcW w:w="1812" w:type="dxa"/>
            <w:vAlign w:val="center"/>
          </w:tcPr>
          <w:p w14:paraId="35C801D6">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1812" w:type="dxa"/>
            <w:vAlign w:val="center"/>
          </w:tcPr>
          <w:p w14:paraId="54FB36D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33.16</w:t>
            </w:r>
          </w:p>
        </w:tc>
        <w:tc>
          <w:tcPr>
            <w:tcW w:w="1812" w:type="dxa"/>
            <w:vAlign w:val="center"/>
          </w:tcPr>
          <w:p w14:paraId="44730C73">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34.56</w:t>
            </w:r>
          </w:p>
        </w:tc>
        <w:tc>
          <w:tcPr>
            <w:tcW w:w="1815" w:type="dxa"/>
            <w:vAlign w:val="center"/>
          </w:tcPr>
          <w:p w14:paraId="0CB182C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bl>
    <w:p w14:paraId="4DE720E4">
      <w:pPr>
        <w:wordWrap w:val="0"/>
        <w:overflowPunct w:val="0"/>
        <w:spacing w:line="480" w:lineRule="auto"/>
        <w:ind w:firstLine="420" w:firstLineChars="200"/>
        <w:rPr>
          <w:rFonts w:ascii="宋体" w:hAnsi="宋体"/>
          <w:sz w:val="21"/>
          <w:szCs w:val="21"/>
        </w:rPr>
      </w:pPr>
      <w:r>
        <w:rPr>
          <w:rFonts w:ascii="宋体" w:hAnsi="宋体"/>
          <w:sz w:val="21"/>
          <w:szCs w:val="21"/>
        </w:rPr>
        <w:br w:type="page"/>
      </w:r>
      <w:r>
        <w:rPr>
          <w:rFonts w:hint="eastAsia" w:ascii="宋体" w:hAnsi="宋体"/>
          <w:sz w:val="21"/>
          <w:szCs w:val="21"/>
        </w:rPr>
        <w:t>各实例位置如下：</w:t>
      </w:r>
    </w:p>
    <w:tbl>
      <w:tblPr>
        <w:tblStyle w:val="33"/>
        <w:tblW w:w="9300" w:type="dxa"/>
        <w:jc w:val="center"/>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Layout w:type="fixed"/>
        <w:tblCellMar>
          <w:top w:w="28" w:type="dxa"/>
          <w:left w:w="28" w:type="dxa"/>
          <w:bottom w:w="28" w:type="dxa"/>
          <w:right w:w="28" w:type="dxa"/>
        </w:tblCellMar>
      </w:tblPr>
      <w:tblGrid>
        <w:gridCol w:w="9300"/>
      </w:tblGrid>
      <w:tr w14:paraId="22894A31">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jc w:val="center"/>
        </w:trPr>
        <w:tc>
          <w:tcPr>
            <w:tcW w:w="9300" w:type="dxa"/>
            <w:tcBorders>
              <w:top w:val="dotted" w:color="404040" w:sz="2" w:space="0"/>
              <w:left w:val="dotted" w:color="404040" w:sz="2" w:space="0"/>
              <w:bottom w:val="dotted" w:color="404040" w:sz="2" w:space="0"/>
              <w:right w:val="dotted" w:color="404040" w:sz="2" w:space="0"/>
            </w:tcBorders>
          </w:tcPr>
          <w:p w14:paraId="36E5A21F">
            <w:pPr>
              <w:jc w:val="center"/>
              <w:rPr>
                <w:rFonts w:ascii="华文细黑" w:hAnsi="华文细黑" w:eastAsia="华文细黑"/>
              </w:rPr>
            </w:pPr>
            <w:r>
              <w:rPr>
                <w:rFonts w:hint="eastAsia" w:ascii="华文细黑" w:hAnsi="华文细黑" w:eastAsia="华文细黑"/>
              </w:rPr>
              <w:t>实例位置</w:t>
            </w:r>
          </w:p>
        </w:tc>
      </w:tr>
      <w:tr w14:paraId="1E1D640C">
        <w:tblPrEx>
          <w:tblBorders>
            <w:top w:val="dotted" w:color="404040" w:sz="2" w:space="0"/>
            <w:left w:val="dotted" w:color="404040" w:sz="2" w:space="0"/>
            <w:bottom w:val="dotted" w:color="404040" w:sz="2" w:space="0"/>
            <w:right w:val="dotted" w:color="404040" w:sz="2" w:space="0"/>
            <w:insideH w:val="dotted" w:color="404040" w:sz="2" w:space="0"/>
            <w:insideV w:val="dotted" w:color="404040" w:sz="2" w:space="0"/>
          </w:tblBorders>
          <w:tblCellMar>
            <w:top w:w="28" w:type="dxa"/>
            <w:left w:w="28" w:type="dxa"/>
            <w:bottom w:w="28" w:type="dxa"/>
            <w:right w:w="28" w:type="dxa"/>
          </w:tblCellMar>
        </w:tblPrEx>
        <w:trPr>
          <w:cantSplit/>
          <w:trHeight w:val="6166" w:hRule="atLeast"/>
          <w:jc w:val="center"/>
        </w:trPr>
        <w:tc>
          <w:tcPr>
            <w:tcW w:w="9300" w:type="dxa"/>
            <w:tcBorders>
              <w:top w:val="dotted" w:color="404040" w:sz="2" w:space="0"/>
              <w:left w:val="dotted" w:color="404040" w:sz="2" w:space="0"/>
              <w:bottom w:val="dotted" w:color="404040" w:sz="2" w:space="0"/>
              <w:right w:val="dotted" w:color="404040" w:sz="2" w:space="0"/>
            </w:tcBorders>
          </w:tcPr>
          <w:p w14:paraId="07F005DB">
            <w:pPr>
              <w:jc w:val="center"/>
              <w:rPr>
                <w:rFonts w:ascii="Calibri" w:hAnsi="Calibri"/>
              </w:rPr>
            </w:pPr>
            <w:r>
              <w:drawing>
                <wp:inline distT="0" distB="0" distL="114300" distR="114300">
                  <wp:extent cx="5866765" cy="3833495"/>
                  <wp:effectExtent l="0" t="0" r="635" b="6985"/>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50"/>
                          <a:stretch>
                            <a:fillRect/>
                          </a:stretch>
                        </pic:blipFill>
                        <pic:spPr>
                          <a:xfrm>
                            <a:off x="0" y="0"/>
                            <a:ext cx="5866765" cy="3833495"/>
                          </a:xfrm>
                          <a:prstGeom prst="rect">
                            <a:avLst/>
                          </a:prstGeom>
                          <a:noFill/>
                          <a:ln>
                            <a:noFill/>
                          </a:ln>
                        </pic:spPr>
                      </pic:pic>
                    </a:graphicData>
                  </a:graphic>
                </wp:inline>
              </w:drawing>
            </w:r>
          </w:p>
        </w:tc>
      </w:tr>
    </w:tbl>
    <w:p w14:paraId="6893F0C1"/>
    <w:p w14:paraId="0E88187F">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（1）建立比较因素条件说明表</w:t>
      </w:r>
      <w:r>
        <w:rPr>
          <w:rFonts w:ascii="Arial" w:hAnsi="Arial"/>
          <w:sz w:val="21"/>
          <w:szCs w:val="21"/>
        </w:rPr>
        <w:t xml:space="preserve"> </w:t>
      </w:r>
    </w:p>
    <w:p w14:paraId="162087B2">
      <w:pPr>
        <w:wordWrap w:val="0"/>
        <w:overflowPunct w:val="0"/>
        <w:spacing w:line="480" w:lineRule="auto"/>
        <w:ind w:firstLine="420" w:firstLineChars="200"/>
        <w:rPr>
          <w:rFonts w:ascii="Arial" w:hAnsi="Arial"/>
          <w:sz w:val="21"/>
          <w:szCs w:val="21"/>
        </w:rPr>
      </w:pPr>
      <w:r>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Pr>
          <w:rFonts w:hint="eastAsia" w:ascii="Arial" w:hAnsi="Arial"/>
          <w:sz w:val="21"/>
          <w:szCs w:val="21"/>
        </w:rPr>
        <w:t>：</w:t>
      </w:r>
    </w:p>
    <w:p w14:paraId="79027D0B">
      <w:pPr>
        <w:overflowPunct w:val="0"/>
        <w:spacing w:line="480" w:lineRule="auto"/>
        <w:ind w:firstLine="420" w:firstLineChars="200"/>
        <w:jc w:val="center"/>
        <w:rPr>
          <w:rFonts w:ascii="Arial" w:hAnsi="Arial"/>
          <w:sz w:val="21"/>
          <w:szCs w:val="21"/>
        </w:rPr>
      </w:pPr>
      <w:r>
        <w:rPr>
          <w:rFonts w:hint="eastAsia" w:ascii="Arial" w:hAnsi="Arial"/>
          <w:sz w:val="21"/>
          <w:szCs w:val="21"/>
        </w:rPr>
        <w:t>比较因素情况描述表</w:t>
      </w:r>
    </w:p>
    <w:tbl>
      <w:tblPr>
        <w:tblStyle w:val="33"/>
        <w:tblW w:w="5000" w:type="pct"/>
        <w:jc w:val="center"/>
        <w:tblLayout w:type="autofit"/>
        <w:tblCellMar>
          <w:top w:w="0" w:type="dxa"/>
          <w:left w:w="108" w:type="dxa"/>
          <w:bottom w:w="0" w:type="dxa"/>
          <w:right w:w="108" w:type="dxa"/>
        </w:tblCellMar>
      </w:tblPr>
      <w:tblGrid>
        <w:gridCol w:w="689"/>
        <w:gridCol w:w="1447"/>
        <w:gridCol w:w="1844"/>
        <w:gridCol w:w="1844"/>
        <w:gridCol w:w="1844"/>
        <w:gridCol w:w="1847"/>
      </w:tblGrid>
      <w:tr w14:paraId="401D4B40">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000000" w:sz="4" w:space="0"/>
            </w:tcBorders>
            <w:vAlign w:val="center"/>
          </w:tcPr>
          <w:p w14:paraId="6F8416D7">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968" w:type="pct"/>
            <w:tcBorders>
              <w:top w:val="single" w:color="auto" w:sz="4" w:space="0"/>
              <w:left w:val="nil"/>
              <w:bottom w:val="single" w:color="auto" w:sz="4" w:space="0"/>
              <w:right w:val="single" w:color="auto" w:sz="4" w:space="0"/>
            </w:tcBorders>
            <w:vAlign w:val="center"/>
          </w:tcPr>
          <w:p w14:paraId="396D1C15">
            <w:pPr>
              <w:widowControl/>
              <w:adjustRightInd/>
              <w:spacing w:line="240" w:lineRule="auto"/>
              <w:jc w:val="center"/>
              <w:textAlignment w:val="auto"/>
              <w:rPr>
                <w:rFonts w:ascii="Arial" w:hAnsi="Arial" w:cs="Arial"/>
                <w:sz w:val="16"/>
                <w:szCs w:val="18"/>
              </w:rPr>
            </w:pPr>
            <w:r>
              <w:rPr>
                <w:rFonts w:ascii="Arial" w:hAnsi="Arial" w:cs="Arial"/>
                <w:sz w:val="16"/>
                <w:szCs w:val="18"/>
              </w:rPr>
              <w:t>估价对象</w:t>
            </w:r>
          </w:p>
        </w:tc>
        <w:tc>
          <w:tcPr>
            <w:tcW w:w="968" w:type="pct"/>
            <w:tcBorders>
              <w:top w:val="single" w:color="auto" w:sz="4" w:space="0"/>
              <w:left w:val="nil"/>
              <w:bottom w:val="single" w:color="auto" w:sz="4" w:space="0"/>
              <w:right w:val="single" w:color="auto" w:sz="4" w:space="0"/>
            </w:tcBorders>
            <w:vAlign w:val="center"/>
          </w:tcPr>
          <w:p w14:paraId="29DB33B6">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968" w:type="pct"/>
            <w:tcBorders>
              <w:top w:val="single" w:color="auto" w:sz="4" w:space="0"/>
              <w:left w:val="nil"/>
              <w:bottom w:val="single" w:color="auto" w:sz="4" w:space="0"/>
              <w:right w:val="single" w:color="auto" w:sz="4" w:space="0"/>
            </w:tcBorders>
            <w:vAlign w:val="center"/>
          </w:tcPr>
          <w:p w14:paraId="595B9E0A">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970" w:type="pct"/>
            <w:tcBorders>
              <w:top w:val="single" w:color="auto" w:sz="4" w:space="0"/>
              <w:left w:val="nil"/>
              <w:bottom w:val="single" w:color="auto" w:sz="4" w:space="0"/>
              <w:right w:val="single" w:color="auto" w:sz="4" w:space="0"/>
            </w:tcBorders>
            <w:vAlign w:val="center"/>
          </w:tcPr>
          <w:p w14:paraId="2ACAC611">
            <w:pPr>
              <w:widowControl/>
              <w:adjustRightInd/>
              <w:spacing w:line="240" w:lineRule="auto"/>
              <w:jc w:val="center"/>
              <w:textAlignment w:val="auto"/>
              <w:rPr>
                <w:rFonts w:ascii="Arial" w:hAnsi="Arial" w:cs="Arial"/>
                <w:sz w:val="16"/>
                <w:szCs w:val="18"/>
              </w:rPr>
            </w:pPr>
            <w:r>
              <w:rPr>
                <w:rFonts w:ascii="Arial" w:hAnsi="Arial" w:cs="Arial"/>
                <w:sz w:val="16"/>
                <w:szCs w:val="18"/>
              </w:rPr>
              <w:t>可比案例</w:t>
            </w:r>
            <w:r>
              <w:rPr>
                <w:rFonts w:hint="eastAsia" w:ascii="Arial" w:hAnsi="Arial" w:cs="Arial"/>
                <w:sz w:val="16"/>
                <w:szCs w:val="18"/>
              </w:rPr>
              <w:t>9</w:t>
            </w:r>
          </w:p>
        </w:tc>
      </w:tr>
      <w:tr w14:paraId="58916A4E">
        <w:tblPrEx>
          <w:tblCellMar>
            <w:top w:w="0" w:type="dxa"/>
            <w:left w:w="108" w:type="dxa"/>
            <w:bottom w:w="0" w:type="dxa"/>
            <w:right w:w="108" w:type="dxa"/>
          </w:tblCellMar>
        </w:tblPrEx>
        <w:trPr>
          <w:trHeight w:val="397" w:hRule="atLeast"/>
          <w:tblHeader/>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3EDC9E42">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968" w:type="pct"/>
            <w:tcBorders>
              <w:top w:val="nil"/>
              <w:left w:val="nil"/>
              <w:bottom w:val="single" w:color="auto" w:sz="4" w:space="0"/>
              <w:right w:val="single" w:color="auto" w:sz="4" w:space="0"/>
            </w:tcBorders>
            <w:vAlign w:val="center"/>
          </w:tcPr>
          <w:p w14:paraId="30B012CF">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968" w:type="pct"/>
            <w:tcBorders>
              <w:top w:val="nil"/>
              <w:left w:val="nil"/>
              <w:bottom w:val="single" w:color="auto" w:sz="4" w:space="0"/>
              <w:right w:val="single" w:color="auto" w:sz="4" w:space="0"/>
            </w:tcBorders>
            <w:vAlign w:val="center"/>
          </w:tcPr>
          <w:p w14:paraId="6DCE57F4">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968" w:type="pct"/>
            <w:tcBorders>
              <w:top w:val="nil"/>
              <w:left w:val="nil"/>
              <w:bottom w:val="single" w:color="auto" w:sz="4" w:space="0"/>
              <w:right w:val="single" w:color="auto" w:sz="4" w:space="0"/>
            </w:tcBorders>
            <w:vAlign w:val="center"/>
          </w:tcPr>
          <w:p w14:paraId="201113CB">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970" w:type="pct"/>
            <w:tcBorders>
              <w:top w:val="nil"/>
              <w:left w:val="nil"/>
              <w:bottom w:val="single" w:color="auto" w:sz="4" w:space="0"/>
              <w:right w:val="single" w:color="auto" w:sz="4" w:space="0"/>
            </w:tcBorders>
            <w:vAlign w:val="center"/>
          </w:tcPr>
          <w:p w14:paraId="4A3118CE">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0590CC04">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5DA81983">
            <w:pPr>
              <w:widowControl/>
              <w:adjustRightInd/>
              <w:spacing w:line="240" w:lineRule="auto"/>
              <w:jc w:val="center"/>
              <w:textAlignment w:val="auto"/>
              <w:rPr>
                <w:rFonts w:ascii="Arial" w:hAnsi="Arial" w:cs="Arial"/>
                <w:sz w:val="16"/>
                <w:szCs w:val="18"/>
              </w:rPr>
            </w:pPr>
            <w:r>
              <w:rPr>
                <w:rFonts w:ascii="Arial" w:hAnsi="Arial" w:cs="Arial"/>
                <w:sz w:val="16"/>
                <w:szCs w:val="18"/>
              </w:rPr>
              <w:t>平均租金（元/平方米·月）</w:t>
            </w:r>
          </w:p>
        </w:tc>
        <w:tc>
          <w:tcPr>
            <w:tcW w:w="968" w:type="pct"/>
            <w:tcBorders>
              <w:top w:val="nil"/>
              <w:left w:val="nil"/>
              <w:bottom w:val="single" w:color="auto" w:sz="4" w:space="0"/>
              <w:right w:val="single" w:color="auto" w:sz="4" w:space="0"/>
            </w:tcBorders>
            <w:vAlign w:val="center"/>
          </w:tcPr>
          <w:p w14:paraId="14E79501">
            <w:pPr>
              <w:pStyle w:val="61"/>
              <w:autoSpaceDE w:val="0"/>
              <w:autoSpaceDN w:val="0"/>
              <w:spacing w:line="240" w:lineRule="exact"/>
              <w:textAlignment w:val="bottom"/>
              <w:rPr>
                <w:rFonts w:ascii="Arial" w:hAnsi="Arial" w:cs="Arial"/>
                <w:sz w:val="16"/>
                <w:szCs w:val="18"/>
              </w:rPr>
            </w:pPr>
            <w:r>
              <w:rPr>
                <w:rFonts w:ascii="Arial" w:hAnsi="Arial" w:cs="Arial"/>
                <w:sz w:val="16"/>
                <w:szCs w:val="18"/>
              </w:rPr>
              <w:t>待估</w:t>
            </w:r>
          </w:p>
        </w:tc>
        <w:tc>
          <w:tcPr>
            <w:tcW w:w="968" w:type="pct"/>
            <w:tcBorders>
              <w:top w:val="nil"/>
              <w:left w:val="nil"/>
              <w:bottom w:val="single" w:color="auto" w:sz="4" w:space="0"/>
              <w:right w:val="single" w:color="auto" w:sz="4" w:space="0"/>
            </w:tcBorders>
            <w:vAlign w:val="center"/>
          </w:tcPr>
          <w:p w14:paraId="134BF5B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33.16</w:t>
            </w:r>
          </w:p>
        </w:tc>
        <w:tc>
          <w:tcPr>
            <w:tcW w:w="968" w:type="pct"/>
            <w:tcBorders>
              <w:top w:val="nil"/>
              <w:left w:val="nil"/>
              <w:bottom w:val="single" w:color="auto" w:sz="4" w:space="0"/>
              <w:right w:val="single" w:color="auto" w:sz="4" w:space="0"/>
            </w:tcBorders>
            <w:vAlign w:val="center"/>
          </w:tcPr>
          <w:p w14:paraId="641F6492">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34.56</w:t>
            </w:r>
          </w:p>
        </w:tc>
        <w:tc>
          <w:tcPr>
            <w:tcW w:w="970" w:type="pct"/>
            <w:tcBorders>
              <w:top w:val="nil"/>
              <w:left w:val="nil"/>
              <w:bottom w:val="single" w:color="auto" w:sz="4" w:space="0"/>
              <w:right w:val="single" w:color="auto" w:sz="4" w:space="0"/>
            </w:tcBorders>
            <w:vAlign w:val="center"/>
          </w:tcPr>
          <w:p w14:paraId="23621A1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78422753">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EEF6423">
            <w:pPr>
              <w:widowControl/>
              <w:adjustRightInd/>
              <w:spacing w:line="240" w:lineRule="auto"/>
              <w:jc w:val="center"/>
              <w:textAlignment w:val="auto"/>
              <w:rPr>
                <w:rFonts w:ascii="Arial" w:hAnsi="Arial" w:cs="Arial"/>
                <w:sz w:val="16"/>
                <w:szCs w:val="18"/>
              </w:rPr>
            </w:pPr>
            <w:r>
              <w:rPr>
                <w:rFonts w:ascii="Arial" w:hAnsi="Arial" w:cs="Arial"/>
                <w:sz w:val="16"/>
                <w:szCs w:val="18"/>
              </w:rPr>
              <w:t>交易时间</w:t>
            </w:r>
          </w:p>
        </w:tc>
        <w:tc>
          <w:tcPr>
            <w:tcW w:w="968" w:type="pct"/>
            <w:tcBorders>
              <w:top w:val="nil"/>
              <w:left w:val="nil"/>
              <w:bottom w:val="single" w:color="auto" w:sz="4" w:space="0"/>
              <w:right w:val="single" w:color="auto" w:sz="4" w:space="0"/>
            </w:tcBorders>
            <w:vAlign w:val="center"/>
          </w:tcPr>
          <w:p w14:paraId="60E14C6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2026年4月7日</w:t>
            </w:r>
          </w:p>
        </w:tc>
        <w:tc>
          <w:tcPr>
            <w:tcW w:w="968" w:type="pct"/>
            <w:tcBorders>
              <w:top w:val="nil"/>
              <w:left w:val="nil"/>
              <w:bottom w:val="single" w:color="auto" w:sz="4" w:space="0"/>
              <w:right w:val="single" w:color="auto" w:sz="4" w:space="0"/>
            </w:tcBorders>
            <w:vAlign w:val="center"/>
          </w:tcPr>
          <w:p w14:paraId="3E3D2CBD">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c>
          <w:tcPr>
            <w:tcW w:w="968" w:type="pct"/>
            <w:tcBorders>
              <w:top w:val="nil"/>
              <w:left w:val="nil"/>
              <w:bottom w:val="single" w:color="auto" w:sz="4" w:space="0"/>
              <w:right w:val="single" w:color="auto" w:sz="4" w:space="0"/>
            </w:tcBorders>
            <w:vAlign w:val="center"/>
          </w:tcPr>
          <w:p w14:paraId="4BEA2B45">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lang w:val="en-US" w:eastAsia="zh-CN"/>
              </w:rPr>
              <w:t>2</w:t>
            </w:r>
            <w:r>
              <w:rPr>
                <w:rFonts w:ascii="Arial" w:hAnsi="Arial" w:cs="Arial"/>
                <w:sz w:val="16"/>
                <w:szCs w:val="18"/>
              </w:rPr>
              <w:t>月</w:t>
            </w:r>
          </w:p>
        </w:tc>
        <w:tc>
          <w:tcPr>
            <w:tcW w:w="970" w:type="pct"/>
            <w:tcBorders>
              <w:top w:val="nil"/>
              <w:left w:val="nil"/>
              <w:bottom w:val="single" w:color="auto" w:sz="4" w:space="0"/>
              <w:right w:val="single" w:color="auto" w:sz="4" w:space="0"/>
            </w:tcBorders>
            <w:vAlign w:val="center"/>
          </w:tcPr>
          <w:p w14:paraId="718AE362">
            <w:pPr>
              <w:widowControl/>
              <w:adjustRightInd/>
              <w:spacing w:line="240" w:lineRule="auto"/>
              <w:jc w:val="center"/>
              <w:textAlignment w:val="auto"/>
              <w:rPr>
                <w:rFonts w:ascii="Arial" w:hAnsi="Arial" w:cs="Arial"/>
                <w:sz w:val="16"/>
                <w:szCs w:val="18"/>
              </w:rPr>
            </w:pPr>
            <w:r>
              <w:rPr>
                <w:rFonts w:ascii="Arial" w:hAnsi="Arial" w:cs="Arial"/>
                <w:sz w:val="16"/>
                <w:szCs w:val="18"/>
              </w:rPr>
              <w:t>202</w:t>
            </w:r>
            <w:r>
              <w:rPr>
                <w:rFonts w:hint="eastAsia" w:ascii="Arial" w:hAnsi="Arial" w:cs="Arial"/>
                <w:sz w:val="16"/>
                <w:szCs w:val="18"/>
              </w:rPr>
              <w:t>6</w:t>
            </w:r>
            <w:r>
              <w:rPr>
                <w:rFonts w:ascii="Arial" w:hAnsi="Arial" w:cs="Arial"/>
                <w:sz w:val="16"/>
                <w:szCs w:val="18"/>
              </w:rPr>
              <w:t>年</w:t>
            </w:r>
            <w:r>
              <w:rPr>
                <w:rFonts w:hint="eastAsia" w:ascii="Arial" w:hAnsi="Arial" w:cs="Arial"/>
                <w:sz w:val="16"/>
                <w:szCs w:val="18"/>
              </w:rPr>
              <w:t>3</w:t>
            </w:r>
            <w:r>
              <w:rPr>
                <w:rFonts w:ascii="Arial" w:hAnsi="Arial" w:cs="Arial"/>
                <w:sz w:val="16"/>
                <w:szCs w:val="18"/>
              </w:rPr>
              <w:t>月</w:t>
            </w:r>
          </w:p>
        </w:tc>
      </w:tr>
      <w:tr w14:paraId="6FD7B07E">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1CEB9DC1">
            <w:pPr>
              <w:widowControl/>
              <w:adjustRightInd/>
              <w:spacing w:line="240" w:lineRule="auto"/>
              <w:jc w:val="center"/>
              <w:textAlignment w:val="auto"/>
              <w:rPr>
                <w:rFonts w:ascii="Arial" w:hAnsi="Arial" w:cs="Arial"/>
                <w:sz w:val="16"/>
                <w:szCs w:val="18"/>
              </w:rPr>
            </w:pPr>
            <w:r>
              <w:rPr>
                <w:rFonts w:ascii="Arial" w:hAnsi="Arial" w:cs="Arial"/>
                <w:sz w:val="16"/>
                <w:szCs w:val="18"/>
              </w:rPr>
              <w:t>交易情况</w:t>
            </w:r>
          </w:p>
        </w:tc>
        <w:tc>
          <w:tcPr>
            <w:tcW w:w="968" w:type="pct"/>
            <w:tcBorders>
              <w:top w:val="nil"/>
              <w:left w:val="nil"/>
              <w:bottom w:val="single" w:color="auto" w:sz="4" w:space="0"/>
              <w:right w:val="single" w:color="auto" w:sz="4" w:space="0"/>
            </w:tcBorders>
            <w:vAlign w:val="center"/>
          </w:tcPr>
          <w:p w14:paraId="160FBFAB">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7538D2B1">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68" w:type="pct"/>
            <w:tcBorders>
              <w:top w:val="nil"/>
              <w:left w:val="nil"/>
              <w:bottom w:val="single" w:color="auto" w:sz="4" w:space="0"/>
              <w:right w:val="single" w:color="auto" w:sz="4" w:space="0"/>
            </w:tcBorders>
            <w:vAlign w:val="center"/>
          </w:tcPr>
          <w:p w14:paraId="1FF7CCC2">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c>
          <w:tcPr>
            <w:tcW w:w="970" w:type="pct"/>
            <w:tcBorders>
              <w:top w:val="nil"/>
              <w:left w:val="nil"/>
              <w:bottom w:val="single" w:color="auto" w:sz="4" w:space="0"/>
              <w:right w:val="single" w:color="auto" w:sz="4" w:space="0"/>
            </w:tcBorders>
            <w:vAlign w:val="center"/>
          </w:tcPr>
          <w:p w14:paraId="0076FD15">
            <w:pPr>
              <w:widowControl/>
              <w:adjustRightInd/>
              <w:spacing w:line="240" w:lineRule="auto"/>
              <w:jc w:val="center"/>
              <w:textAlignment w:val="auto"/>
              <w:rPr>
                <w:rFonts w:ascii="Arial" w:hAnsi="Arial" w:cs="Arial"/>
                <w:sz w:val="16"/>
                <w:szCs w:val="18"/>
              </w:rPr>
            </w:pPr>
            <w:r>
              <w:rPr>
                <w:rFonts w:ascii="Arial" w:hAnsi="Arial" w:cs="Arial"/>
                <w:sz w:val="16"/>
                <w:szCs w:val="18"/>
              </w:rPr>
              <w:t>正常</w:t>
            </w:r>
          </w:p>
        </w:tc>
      </w:tr>
      <w:tr w14:paraId="48F7EEC7">
        <w:tblPrEx>
          <w:tblCellMar>
            <w:top w:w="0" w:type="dxa"/>
            <w:left w:w="108" w:type="dxa"/>
            <w:bottom w:w="0" w:type="dxa"/>
            <w:right w:w="108" w:type="dxa"/>
          </w:tblCellMar>
        </w:tblPrEx>
        <w:trPr>
          <w:trHeight w:val="397" w:hRule="atLeast"/>
          <w:jc w:val="center"/>
        </w:trPr>
        <w:tc>
          <w:tcPr>
            <w:tcW w:w="1122" w:type="pct"/>
            <w:gridSpan w:val="2"/>
            <w:tcBorders>
              <w:top w:val="single" w:color="auto" w:sz="4" w:space="0"/>
              <w:left w:val="single" w:color="auto" w:sz="4" w:space="0"/>
              <w:bottom w:val="single" w:color="auto" w:sz="4" w:space="0"/>
              <w:right w:val="single" w:color="auto" w:sz="4" w:space="0"/>
            </w:tcBorders>
            <w:vAlign w:val="center"/>
          </w:tcPr>
          <w:p w14:paraId="409AD5E0">
            <w:pPr>
              <w:widowControl/>
              <w:adjustRightInd/>
              <w:spacing w:line="240" w:lineRule="auto"/>
              <w:jc w:val="center"/>
              <w:textAlignment w:val="auto"/>
              <w:rPr>
                <w:rFonts w:ascii="Arial" w:hAnsi="Arial" w:cs="Arial"/>
                <w:sz w:val="16"/>
                <w:szCs w:val="18"/>
              </w:rPr>
            </w:pPr>
            <w:r>
              <w:rPr>
                <w:rFonts w:ascii="Arial" w:hAnsi="Arial" w:cs="Arial"/>
                <w:sz w:val="16"/>
                <w:szCs w:val="18"/>
              </w:rPr>
              <w:t>项目类型</w:t>
            </w:r>
          </w:p>
        </w:tc>
        <w:tc>
          <w:tcPr>
            <w:tcW w:w="968" w:type="pct"/>
            <w:tcBorders>
              <w:top w:val="nil"/>
              <w:left w:val="nil"/>
              <w:bottom w:val="single" w:color="auto" w:sz="4" w:space="0"/>
              <w:right w:val="single" w:color="auto" w:sz="4" w:space="0"/>
            </w:tcBorders>
            <w:vAlign w:val="center"/>
          </w:tcPr>
          <w:p w14:paraId="0F0BBA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4FFA0A6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68" w:type="pct"/>
            <w:tcBorders>
              <w:top w:val="nil"/>
              <w:left w:val="nil"/>
              <w:bottom w:val="single" w:color="auto" w:sz="4" w:space="0"/>
              <w:right w:val="single" w:color="auto" w:sz="4" w:space="0"/>
            </w:tcBorders>
            <w:vAlign w:val="center"/>
          </w:tcPr>
          <w:p w14:paraId="466F0D1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c>
          <w:tcPr>
            <w:tcW w:w="970" w:type="pct"/>
            <w:tcBorders>
              <w:top w:val="nil"/>
              <w:left w:val="nil"/>
              <w:bottom w:val="single" w:color="auto" w:sz="4" w:space="0"/>
              <w:right w:val="single" w:color="auto" w:sz="4" w:space="0"/>
            </w:tcBorders>
            <w:vAlign w:val="center"/>
          </w:tcPr>
          <w:p w14:paraId="2D55A0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住宅</w:t>
            </w:r>
          </w:p>
        </w:tc>
      </w:tr>
      <w:tr w14:paraId="61D4E2CA">
        <w:tblPrEx>
          <w:tblCellMar>
            <w:top w:w="0" w:type="dxa"/>
            <w:left w:w="108" w:type="dxa"/>
            <w:bottom w:w="0" w:type="dxa"/>
            <w:right w:w="108" w:type="dxa"/>
          </w:tblCellMar>
        </w:tblPrEx>
        <w:trPr>
          <w:trHeight w:val="1442" w:hRule="atLeast"/>
          <w:jc w:val="center"/>
        </w:trPr>
        <w:tc>
          <w:tcPr>
            <w:tcW w:w="362" w:type="pct"/>
            <w:vMerge w:val="restart"/>
            <w:tcBorders>
              <w:top w:val="nil"/>
              <w:left w:val="single" w:color="auto" w:sz="4" w:space="0"/>
              <w:bottom w:val="single" w:color="000000" w:sz="4" w:space="0"/>
              <w:right w:val="single" w:color="auto" w:sz="4" w:space="0"/>
            </w:tcBorders>
            <w:vAlign w:val="center"/>
          </w:tcPr>
          <w:p w14:paraId="6A903430">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760" w:type="pct"/>
            <w:tcBorders>
              <w:top w:val="nil"/>
              <w:left w:val="nil"/>
              <w:bottom w:val="single" w:color="auto" w:sz="4" w:space="0"/>
              <w:right w:val="single" w:color="auto" w:sz="4" w:space="0"/>
            </w:tcBorders>
            <w:vAlign w:val="center"/>
          </w:tcPr>
          <w:p w14:paraId="392F04DB">
            <w:pPr>
              <w:widowControl/>
              <w:adjustRightInd/>
              <w:spacing w:line="240" w:lineRule="auto"/>
              <w:jc w:val="center"/>
              <w:textAlignment w:val="auto"/>
              <w:rPr>
                <w:rFonts w:ascii="Arial" w:hAnsi="Arial" w:cs="Arial"/>
                <w:sz w:val="16"/>
                <w:szCs w:val="18"/>
              </w:rPr>
            </w:pPr>
            <w:r>
              <w:rPr>
                <w:rFonts w:ascii="Arial" w:hAnsi="Arial" w:cs="Arial"/>
                <w:sz w:val="16"/>
                <w:szCs w:val="18"/>
              </w:rPr>
              <w:t>居住区成熟度</w:t>
            </w:r>
          </w:p>
        </w:tc>
        <w:tc>
          <w:tcPr>
            <w:tcW w:w="968" w:type="pct"/>
            <w:tcBorders>
              <w:top w:val="nil"/>
              <w:left w:val="nil"/>
              <w:bottom w:val="single" w:color="auto" w:sz="4" w:space="0"/>
              <w:right w:val="single" w:color="auto" w:sz="4" w:space="0"/>
            </w:tcBorders>
            <w:vAlign w:val="center"/>
          </w:tcPr>
          <w:p w14:paraId="5BDA233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估价对象周边2公里内有德贤华府、兴水家园、漪景园、矿林庄小区、锦华园小区、义和庄东里等居住项目，居住小区规模适中，入住率较好，综合评价居住社区成熟度较好</w:t>
            </w:r>
          </w:p>
        </w:tc>
        <w:tc>
          <w:tcPr>
            <w:tcW w:w="968" w:type="pct"/>
            <w:tcBorders>
              <w:top w:val="nil"/>
              <w:left w:val="nil"/>
              <w:bottom w:val="single" w:color="auto" w:sz="4" w:space="0"/>
              <w:right w:val="single" w:color="auto" w:sz="4" w:space="0"/>
            </w:tcBorders>
            <w:vAlign w:val="center"/>
          </w:tcPr>
          <w:p w14:paraId="5A85F721">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周边2公里内有漪景苑、埝坛华庭北区、壹品兴创颐和公馆、矿林庄小区、锦华园小区、义和庄东里等居住项目，居住小区规模适中，入住率较好，综合评价居住区成熟度较好</w:t>
            </w:r>
          </w:p>
        </w:tc>
        <w:tc>
          <w:tcPr>
            <w:tcW w:w="968" w:type="pct"/>
            <w:tcBorders>
              <w:top w:val="nil"/>
              <w:left w:val="nil"/>
              <w:bottom w:val="single" w:color="auto" w:sz="4" w:space="0"/>
              <w:right w:val="single" w:color="auto" w:sz="4" w:space="0"/>
            </w:tcBorders>
            <w:vAlign w:val="center"/>
          </w:tcPr>
          <w:p w14:paraId="60669A6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周边2公里内有义和庄北里、中骏金辉未来云城、漪景苑、埝坛华庭北区、壹品兴创颐和公馆、矿林庄小区、义和庄东里等居住项目，居住小区规模适中，入住率较好，综合评价居住区成熟度较好</w:t>
            </w:r>
          </w:p>
        </w:tc>
        <w:tc>
          <w:tcPr>
            <w:tcW w:w="970" w:type="pct"/>
            <w:tcBorders>
              <w:top w:val="nil"/>
              <w:left w:val="nil"/>
              <w:bottom w:val="single" w:color="auto" w:sz="4" w:space="0"/>
              <w:right w:val="single" w:color="auto" w:sz="4" w:space="0"/>
            </w:tcBorders>
            <w:vAlign w:val="center"/>
          </w:tcPr>
          <w:p w14:paraId="5B3D82E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周边2公里内有义和庄北里、中骏金辉未来云城、漪景苑、埝坛华庭北区、壹品兴创颐和公馆、矿林庄小区、等居住项目，居住小区规模适中，入住率较好，综合评价居住区成熟度较好</w:t>
            </w:r>
          </w:p>
        </w:tc>
      </w:tr>
      <w:tr w14:paraId="50BBD27A">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F0D42A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AC34115">
            <w:pPr>
              <w:widowControl/>
              <w:adjustRightInd/>
              <w:spacing w:line="240" w:lineRule="auto"/>
              <w:jc w:val="center"/>
              <w:textAlignment w:val="auto"/>
              <w:rPr>
                <w:rFonts w:ascii="Arial" w:hAnsi="Arial" w:cs="Arial"/>
                <w:sz w:val="16"/>
                <w:szCs w:val="18"/>
              </w:rPr>
            </w:pPr>
            <w:r>
              <w:rPr>
                <w:rFonts w:ascii="Arial" w:hAnsi="Arial" w:cs="Arial"/>
                <w:sz w:val="16"/>
                <w:szCs w:val="18"/>
              </w:rPr>
              <w:t>道路通达度</w:t>
            </w:r>
          </w:p>
        </w:tc>
        <w:tc>
          <w:tcPr>
            <w:tcW w:w="968" w:type="pct"/>
            <w:tcBorders>
              <w:top w:val="nil"/>
              <w:left w:val="nil"/>
              <w:bottom w:val="single" w:color="auto" w:sz="4" w:space="0"/>
              <w:right w:val="single" w:color="auto" w:sz="4" w:space="0"/>
            </w:tcBorders>
            <w:vAlign w:val="center"/>
          </w:tcPr>
          <w:p w14:paraId="2FA4ADD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周边500米内有城市主干道——兴良路</w:t>
            </w:r>
          </w:p>
        </w:tc>
        <w:tc>
          <w:tcPr>
            <w:tcW w:w="968" w:type="pct"/>
            <w:tcBorders>
              <w:top w:val="nil"/>
              <w:left w:val="nil"/>
              <w:bottom w:val="single" w:color="auto" w:sz="4" w:space="0"/>
              <w:right w:val="single" w:color="auto" w:sz="4" w:space="0"/>
            </w:tcBorders>
            <w:vAlign w:val="center"/>
          </w:tcPr>
          <w:p w14:paraId="5BAE5B5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周边500米内有城市主干道——林校路</w:t>
            </w:r>
          </w:p>
        </w:tc>
        <w:tc>
          <w:tcPr>
            <w:tcW w:w="968" w:type="pct"/>
            <w:tcBorders>
              <w:top w:val="nil"/>
              <w:left w:val="nil"/>
              <w:bottom w:val="single" w:color="auto" w:sz="4" w:space="0"/>
              <w:right w:val="single" w:color="auto" w:sz="4" w:space="0"/>
            </w:tcBorders>
            <w:vAlign w:val="center"/>
          </w:tcPr>
          <w:p w14:paraId="4AF2D599">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周边500米内有城市主干道——兴华大街</w:t>
            </w:r>
          </w:p>
        </w:tc>
        <w:tc>
          <w:tcPr>
            <w:tcW w:w="970" w:type="pct"/>
            <w:tcBorders>
              <w:top w:val="nil"/>
              <w:left w:val="nil"/>
              <w:bottom w:val="single" w:color="auto" w:sz="4" w:space="0"/>
              <w:right w:val="single" w:color="auto" w:sz="4" w:space="0"/>
            </w:tcBorders>
            <w:vAlign w:val="center"/>
          </w:tcPr>
          <w:p w14:paraId="60F922E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周边500米内有城市主干道——兴华大街</w:t>
            </w:r>
          </w:p>
        </w:tc>
      </w:tr>
      <w:tr w14:paraId="3B89E34F">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08669C3">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4F9436B4">
            <w:pPr>
              <w:widowControl/>
              <w:adjustRightInd/>
              <w:spacing w:line="240" w:lineRule="auto"/>
              <w:jc w:val="center"/>
              <w:textAlignment w:val="auto"/>
              <w:rPr>
                <w:rFonts w:ascii="Arial" w:hAnsi="Arial" w:cs="Arial"/>
                <w:sz w:val="16"/>
                <w:szCs w:val="18"/>
              </w:rPr>
            </w:pPr>
            <w:r>
              <w:rPr>
                <w:rFonts w:ascii="Arial" w:hAnsi="Arial" w:cs="Arial"/>
                <w:sz w:val="16"/>
                <w:szCs w:val="18"/>
              </w:rPr>
              <w:t>距离轨道交通站点距离</w:t>
            </w:r>
          </w:p>
        </w:tc>
        <w:tc>
          <w:tcPr>
            <w:tcW w:w="968" w:type="pct"/>
            <w:tcBorders>
              <w:top w:val="nil"/>
              <w:left w:val="nil"/>
              <w:bottom w:val="single" w:color="auto" w:sz="4" w:space="0"/>
              <w:right w:val="single" w:color="auto" w:sz="4" w:space="0"/>
            </w:tcBorders>
            <w:vAlign w:val="center"/>
          </w:tcPr>
          <w:p w14:paraId="0403819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158E59E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周边2公里范围内有轨道交通站点（地铁4号线义和庄站）</w:t>
            </w:r>
          </w:p>
        </w:tc>
        <w:tc>
          <w:tcPr>
            <w:tcW w:w="968" w:type="pct"/>
            <w:tcBorders>
              <w:top w:val="nil"/>
              <w:left w:val="nil"/>
              <w:bottom w:val="single" w:color="auto" w:sz="4" w:space="0"/>
              <w:right w:val="single" w:color="auto" w:sz="4" w:space="0"/>
            </w:tcBorders>
            <w:vAlign w:val="center"/>
          </w:tcPr>
          <w:p w14:paraId="111C2F5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c>
          <w:tcPr>
            <w:tcW w:w="970" w:type="pct"/>
            <w:tcBorders>
              <w:top w:val="nil"/>
              <w:left w:val="nil"/>
              <w:bottom w:val="single" w:color="auto" w:sz="4" w:space="0"/>
              <w:right w:val="single" w:color="auto" w:sz="4" w:space="0"/>
            </w:tcBorders>
            <w:vAlign w:val="center"/>
          </w:tcPr>
          <w:p w14:paraId="0151D5F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周边2公里范围内有轨道交通站点（地铁4号线黄村火车站）</w:t>
            </w:r>
          </w:p>
        </w:tc>
      </w:tr>
      <w:tr w14:paraId="351F9DB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33E2163B">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37BB426">
            <w:pPr>
              <w:widowControl/>
              <w:adjustRightInd/>
              <w:spacing w:line="240" w:lineRule="auto"/>
              <w:jc w:val="center"/>
              <w:textAlignment w:val="auto"/>
              <w:rPr>
                <w:rFonts w:ascii="Arial" w:hAnsi="Arial" w:cs="Arial"/>
                <w:sz w:val="16"/>
                <w:szCs w:val="18"/>
              </w:rPr>
            </w:pPr>
            <w:r>
              <w:rPr>
                <w:rFonts w:ascii="Arial" w:hAnsi="Arial" w:cs="Arial"/>
                <w:sz w:val="16"/>
                <w:szCs w:val="18"/>
              </w:rPr>
              <w:t>距离公交站点距离</w:t>
            </w:r>
          </w:p>
        </w:tc>
        <w:tc>
          <w:tcPr>
            <w:tcW w:w="968" w:type="pct"/>
            <w:tcBorders>
              <w:top w:val="nil"/>
              <w:left w:val="nil"/>
              <w:bottom w:val="single" w:color="auto" w:sz="4" w:space="0"/>
              <w:right w:val="single" w:color="auto" w:sz="4" w:space="0"/>
            </w:tcBorders>
            <w:vAlign w:val="center"/>
          </w:tcPr>
          <w:p w14:paraId="3BBAB9B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周边1公里内有456路、827路、829路、840路、兴11路、兴21路等公交线路途径并设立站点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0572BBB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周边1公里内有827路、829路、840路、兴11路、兴21路等公交线路途径并设立站点</w:t>
            </w:r>
          </w:p>
        </w:tc>
        <w:tc>
          <w:tcPr>
            <w:tcW w:w="968" w:type="pct"/>
            <w:tcBorders>
              <w:top w:val="nil"/>
              <w:left w:val="nil"/>
              <w:bottom w:val="single" w:color="auto" w:sz="4" w:space="0"/>
              <w:right w:val="single" w:color="auto" w:sz="4" w:space="0"/>
            </w:tcBorders>
            <w:vAlign w:val="center"/>
          </w:tcPr>
          <w:p w14:paraId="1D98B52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c>
          <w:tcPr>
            <w:tcW w:w="970" w:type="pct"/>
            <w:tcBorders>
              <w:top w:val="nil"/>
              <w:left w:val="nil"/>
              <w:bottom w:val="single" w:color="auto" w:sz="4" w:space="0"/>
              <w:right w:val="single" w:color="auto" w:sz="4" w:space="0"/>
            </w:tcBorders>
            <w:vAlign w:val="center"/>
          </w:tcPr>
          <w:p w14:paraId="066A3FD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周边1公里内有兴12路、兴16路、兴37路、兴77路等公交线路途径并设立站点</w:t>
            </w:r>
          </w:p>
        </w:tc>
      </w:tr>
      <w:tr w14:paraId="01E57083">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18F2D020">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627102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环境质量优劣度</w:t>
            </w:r>
          </w:p>
        </w:tc>
        <w:tc>
          <w:tcPr>
            <w:tcW w:w="968" w:type="pct"/>
            <w:tcBorders>
              <w:top w:val="nil"/>
              <w:left w:val="nil"/>
              <w:bottom w:val="single" w:color="auto" w:sz="4" w:space="0"/>
              <w:right w:val="single" w:color="auto" w:sz="4" w:space="0"/>
            </w:tcBorders>
            <w:vAlign w:val="center"/>
          </w:tcPr>
          <w:p w14:paraId="13A3684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68" w:type="pct"/>
            <w:tcBorders>
              <w:top w:val="nil"/>
              <w:left w:val="nil"/>
              <w:bottom w:val="single" w:color="auto" w:sz="4" w:space="0"/>
              <w:right w:val="single" w:color="auto" w:sz="4" w:space="0"/>
            </w:tcBorders>
            <w:vAlign w:val="center"/>
          </w:tcPr>
          <w:p w14:paraId="7EE564C1">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周边5km内无污染源</w:t>
            </w:r>
          </w:p>
        </w:tc>
        <w:tc>
          <w:tcPr>
            <w:tcW w:w="968" w:type="pct"/>
            <w:tcBorders>
              <w:top w:val="nil"/>
              <w:left w:val="nil"/>
              <w:bottom w:val="single" w:color="auto" w:sz="4" w:space="0"/>
              <w:right w:val="single" w:color="auto" w:sz="4" w:space="0"/>
            </w:tcBorders>
            <w:vAlign w:val="center"/>
          </w:tcPr>
          <w:p w14:paraId="415739F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c>
          <w:tcPr>
            <w:tcW w:w="970" w:type="pct"/>
            <w:tcBorders>
              <w:top w:val="nil"/>
              <w:left w:val="nil"/>
              <w:bottom w:val="single" w:color="auto" w:sz="4" w:space="0"/>
              <w:right w:val="single" w:color="auto" w:sz="4" w:space="0"/>
            </w:tcBorders>
            <w:vAlign w:val="center"/>
          </w:tcPr>
          <w:p w14:paraId="4A56E03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周边5km内无污染源</w:t>
            </w:r>
          </w:p>
        </w:tc>
      </w:tr>
      <w:tr w14:paraId="28C501B2">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A19F7BA">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314185D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自然及人文环境</w:t>
            </w:r>
          </w:p>
        </w:tc>
        <w:tc>
          <w:tcPr>
            <w:tcW w:w="968" w:type="pct"/>
            <w:tcBorders>
              <w:top w:val="nil"/>
              <w:left w:val="nil"/>
              <w:bottom w:val="single" w:color="auto" w:sz="4" w:space="0"/>
              <w:right w:val="single" w:color="auto" w:sz="4" w:space="0"/>
            </w:tcBorders>
            <w:vAlign w:val="center"/>
          </w:tcPr>
          <w:p w14:paraId="39B98AB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估价对象周边2公里有念坛公园、兴良路公园、永定公园、小龙河等自然景观，有首都医科大学（大兴校区）、金隅高新产业园等人文环境、综合评价自然与人文环境较好</w:t>
            </w:r>
          </w:p>
        </w:tc>
        <w:tc>
          <w:tcPr>
            <w:tcW w:w="968" w:type="pct"/>
            <w:tcBorders>
              <w:top w:val="nil"/>
              <w:left w:val="nil"/>
              <w:bottom w:val="single" w:color="auto" w:sz="4" w:space="0"/>
              <w:right w:val="single" w:color="auto" w:sz="4" w:space="0"/>
            </w:tcBorders>
            <w:vAlign w:val="center"/>
          </w:tcPr>
          <w:p w14:paraId="1E0A5124">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68" w:type="pct"/>
            <w:tcBorders>
              <w:top w:val="nil"/>
              <w:left w:val="nil"/>
              <w:bottom w:val="single" w:color="auto" w:sz="4" w:space="0"/>
              <w:right w:val="single" w:color="auto" w:sz="4" w:space="0"/>
            </w:tcBorders>
            <w:vAlign w:val="center"/>
          </w:tcPr>
          <w:p w14:paraId="0CD7855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c>
          <w:tcPr>
            <w:tcW w:w="970" w:type="pct"/>
            <w:tcBorders>
              <w:top w:val="nil"/>
              <w:left w:val="nil"/>
              <w:bottom w:val="single" w:color="auto" w:sz="4" w:space="0"/>
              <w:right w:val="single" w:color="auto" w:sz="4" w:space="0"/>
            </w:tcBorders>
            <w:vAlign w:val="center"/>
          </w:tcPr>
          <w:p w14:paraId="4322CAA5">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周边2公里有念坛公园、兴良路公园、永定公园、小龙河等自然景观，有中央文化和旅游管理干部学院、国家林业和草原局管理干部学院等人文环境、综合评价自然与人文环境较好</w:t>
            </w:r>
          </w:p>
        </w:tc>
      </w:tr>
      <w:tr w14:paraId="081FEDE3">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28DED6C4">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7E1F38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小区环境</w:t>
            </w:r>
          </w:p>
        </w:tc>
        <w:tc>
          <w:tcPr>
            <w:tcW w:w="968" w:type="pct"/>
            <w:tcBorders>
              <w:top w:val="nil"/>
              <w:left w:val="nil"/>
              <w:bottom w:val="single" w:color="auto" w:sz="4" w:space="0"/>
              <w:right w:val="single" w:color="auto" w:sz="4" w:space="0"/>
            </w:tcBorders>
            <w:vAlign w:val="center"/>
          </w:tcPr>
          <w:p w14:paraId="024818C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68" w:type="pct"/>
            <w:tcBorders>
              <w:top w:val="nil"/>
              <w:left w:val="nil"/>
              <w:bottom w:val="single" w:color="auto" w:sz="4" w:space="0"/>
              <w:right w:val="single" w:color="auto" w:sz="4" w:space="0"/>
            </w:tcBorders>
            <w:vAlign w:val="center"/>
          </w:tcPr>
          <w:p w14:paraId="22EA32A7">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小区道路整洁、绿化率高、有景观设计、人车分</w:t>
            </w:r>
            <w:r>
              <w:rPr>
                <w:rFonts w:hint="eastAsia" w:ascii="Arial" w:hAnsi="Arial" w:cs="Arial"/>
                <w:sz w:val="16"/>
                <w:szCs w:val="18"/>
              </w:rPr>
              <w:t>流</w:t>
            </w:r>
          </w:p>
        </w:tc>
        <w:tc>
          <w:tcPr>
            <w:tcW w:w="968" w:type="pct"/>
            <w:tcBorders>
              <w:top w:val="nil"/>
              <w:left w:val="nil"/>
              <w:bottom w:val="single" w:color="auto" w:sz="4" w:space="0"/>
              <w:right w:val="single" w:color="auto" w:sz="4" w:space="0"/>
            </w:tcBorders>
            <w:vAlign w:val="center"/>
          </w:tcPr>
          <w:p w14:paraId="0DA5ED4A">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c>
          <w:tcPr>
            <w:tcW w:w="970" w:type="pct"/>
            <w:tcBorders>
              <w:top w:val="nil"/>
              <w:left w:val="nil"/>
              <w:bottom w:val="single" w:color="auto" w:sz="4" w:space="0"/>
              <w:right w:val="single" w:color="auto" w:sz="4" w:space="0"/>
            </w:tcBorders>
            <w:vAlign w:val="center"/>
          </w:tcPr>
          <w:p w14:paraId="318CF85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小区道路整洁、绿化率高、有景观设计、人车分流</w:t>
            </w:r>
          </w:p>
        </w:tc>
      </w:tr>
      <w:tr w14:paraId="4C12B8AD">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4BF5CD7E">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FD945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公共服务设施状况</w:t>
            </w:r>
          </w:p>
        </w:tc>
        <w:tc>
          <w:tcPr>
            <w:tcW w:w="968" w:type="pct"/>
            <w:tcBorders>
              <w:top w:val="nil"/>
              <w:left w:val="nil"/>
              <w:bottom w:val="single" w:color="auto" w:sz="4" w:space="0"/>
              <w:right w:val="single" w:color="auto" w:sz="4" w:space="0"/>
            </w:tcBorders>
            <w:vAlign w:val="center"/>
          </w:tcPr>
          <w:p w14:paraId="3D3F8020">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估价对象所在区域周边2公里范围内有龙湖北京大兴天街、北京明发广场等商业场所；有北京市邮政学校、北京育才学校（大兴分校）、新星双语艺术幼儿园等教育机构，有北京市大兴区心康医院、天宫院街道社区卫生服务中心等医疗机构；有中国银行、中国工商银行等金融网点，公共配套设施状况较好</w:t>
            </w:r>
          </w:p>
        </w:tc>
        <w:tc>
          <w:tcPr>
            <w:tcW w:w="968" w:type="pct"/>
            <w:tcBorders>
              <w:top w:val="nil"/>
              <w:left w:val="nil"/>
              <w:bottom w:val="single" w:color="auto" w:sz="4" w:space="0"/>
              <w:right w:val="single" w:color="auto" w:sz="4" w:space="0"/>
            </w:tcBorders>
            <w:vAlign w:val="center"/>
          </w:tcPr>
          <w:p w14:paraId="48232EFB">
            <w:pPr>
              <w:widowControl/>
              <w:adjustRightInd/>
              <w:spacing w:line="240" w:lineRule="auto"/>
              <w:jc w:val="center"/>
              <w:textAlignment w:val="auto"/>
              <w:rPr>
                <w:rFonts w:ascii="Arial" w:hAnsi="Arial" w:cs="Arial"/>
                <w:sz w:val="16"/>
                <w:szCs w:val="18"/>
              </w:rPr>
            </w:pPr>
            <w:r>
              <w:rPr>
                <w:rFonts w:hint="eastAsia" w:ascii="宋体" w:hAnsi="宋体"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68" w:type="pct"/>
            <w:tcBorders>
              <w:top w:val="nil"/>
              <w:left w:val="nil"/>
              <w:bottom w:val="single" w:color="auto" w:sz="4" w:space="0"/>
              <w:right w:val="single" w:color="auto" w:sz="4" w:space="0"/>
            </w:tcBorders>
            <w:vAlign w:val="center"/>
          </w:tcPr>
          <w:p w14:paraId="08CE277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c>
          <w:tcPr>
            <w:tcW w:w="970" w:type="pct"/>
            <w:tcBorders>
              <w:top w:val="nil"/>
              <w:left w:val="nil"/>
              <w:bottom w:val="single" w:color="auto" w:sz="4" w:space="0"/>
              <w:right w:val="single" w:color="auto" w:sz="4" w:space="0"/>
            </w:tcBorders>
            <w:vAlign w:val="center"/>
          </w:tcPr>
          <w:p w14:paraId="67CD5A6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周边2公里范围内有大兴星城商厦、大兴大悦春风里等商业场所；有北京市大兴区永华实验学校、北京市大兴区第一中学、北京市大兴区第八小学、泰禾幼儿园（大兴园区）等教育机构，有北京市大兴区心康医院、北京市大兴区人民医院等医疗机构；有华夏银行、北京银行等金融网点，公共配套设施状况较好</w:t>
            </w:r>
          </w:p>
        </w:tc>
      </w:tr>
      <w:tr w14:paraId="11BEC58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05439DB7">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0E06394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建筑类型</w:t>
            </w:r>
          </w:p>
        </w:tc>
        <w:tc>
          <w:tcPr>
            <w:tcW w:w="968" w:type="pct"/>
            <w:tcBorders>
              <w:top w:val="nil"/>
              <w:left w:val="nil"/>
              <w:bottom w:val="single" w:color="auto" w:sz="4" w:space="0"/>
              <w:right w:val="single" w:color="auto" w:sz="4" w:space="0"/>
            </w:tcBorders>
            <w:vAlign w:val="center"/>
          </w:tcPr>
          <w:p w14:paraId="1FD0B47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高层板楼</w:t>
            </w:r>
          </w:p>
        </w:tc>
        <w:tc>
          <w:tcPr>
            <w:tcW w:w="968" w:type="pct"/>
            <w:tcBorders>
              <w:top w:val="nil"/>
              <w:left w:val="nil"/>
              <w:bottom w:val="single" w:color="auto" w:sz="4" w:space="0"/>
              <w:right w:val="single" w:color="auto" w:sz="4" w:space="0"/>
            </w:tcBorders>
            <w:vAlign w:val="center"/>
          </w:tcPr>
          <w:p w14:paraId="24A8C26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68" w:type="pct"/>
            <w:tcBorders>
              <w:top w:val="nil"/>
              <w:left w:val="nil"/>
              <w:bottom w:val="single" w:color="auto" w:sz="4" w:space="0"/>
              <w:right w:val="single" w:color="auto" w:sz="4" w:space="0"/>
            </w:tcBorders>
            <w:vAlign w:val="center"/>
          </w:tcPr>
          <w:p w14:paraId="7936BC9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c>
          <w:tcPr>
            <w:tcW w:w="970" w:type="pct"/>
            <w:tcBorders>
              <w:top w:val="nil"/>
              <w:left w:val="nil"/>
              <w:bottom w:val="single" w:color="auto" w:sz="4" w:space="0"/>
              <w:right w:val="single" w:color="auto" w:sz="4" w:space="0"/>
            </w:tcBorders>
            <w:vAlign w:val="center"/>
          </w:tcPr>
          <w:p w14:paraId="43EDB82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多层板楼</w:t>
            </w:r>
          </w:p>
        </w:tc>
      </w:tr>
      <w:tr w14:paraId="435F12EB">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000000" w:sz="4" w:space="0"/>
              <w:right w:val="single" w:color="auto" w:sz="4" w:space="0"/>
            </w:tcBorders>
            <w:vAlign w:val="center"/>
          </w:tcPr>
          <w:p w14:paraId="5EAB99B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7834CFA1">
            <w:pPr>
              <w:widowControl/>
              <w:adjustRightInd/>
              <w:spacing w:line="240" w:lineRule="auto"/>
              <w:jc w:val="center"/>
              <w:textAlignment w:val="auto"/>
              <w:rPr>
                <w:rFonts w:ascii="Arial" w:hAnsi="Arial" w:cs="Arial"/>
                <w:sz w:val="16"/>
                <w:szCs w:val="18"/>
              </w:rPr>
            </w:pP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D0E3EA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4685C37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c>
          <w:tcPr>
            <w:tcW w:w="968" w:type="pct"/>
            <w:tcBorders>
              <w:top w:val="nil"/>
              <w:left w:val="nil"/>
              <w:bottom w:val="single" w:color="auto" w:sz="4" w:space="0"/>
              <w:right w:val="single" w:color="auto" w:sz="4" w:space="0"/>
            </w:tcBorders>
            <w:vAlign w:val="center"/>
          </w:tcPr>
          <w:p w14:paraId="14A8745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w:t>
            </w:r>
            <w:r>
              <w:rPr>
                <w:rFonts w:ascii="Arial" w:hAnsi="Arial" w:cs="Arial"/>
                <w:sz w:val="16"/>
                <w:szCs w:val="18"/>
              </w:rPr>
              <w:t>楼层</w:t>
            </w:r>
          </w:p>
        </w:tc>
        <w:tc>
          <w:tcPr>
            <w:tcW w:w="970" w:type="pct"/>
            <w:tcBorders>
              <w:top w:val="nil"/>
              <w:left w:val="nil"/>
              <w:bottom w:val="single" w:color="auto" w:sz="4" w:space="0"/>
              <w:right w:val="single" w:color="auto" w:sz="4" w:space="0"/>
            </w:tcBorders>
            <w:vAlign w:val="center"/>
          </w:tcPr>
          <w:p w14:paraId="1D82F0DD">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高</w:t>
            </w:r>
            <w:r>
              <w:rPr>
                <w:rFonts w:ascii="Arial" w:hAnsi="Arial" w:cs="Arial"/>
                <w:sz w:val="16"/>
                <w:szCs w:val="18"/>
              </w:rPr>
              <w:t>楼层</w:t>
            </w:r>
          </w:p>
        </w:tc>
      </w:tr>
      <w:tr w14:paraId="73CC2EF1">
        <w:tblPrEx>
          <w:tblCellMar>
            <w:top w:w="0" w:type="dxa"/>
            <w:left w:w="108" w:type="dxa"/>
            <w:bottom w:w="0" w:type="dxa"/>
            <w:right w:w="108" w:type="dxa"/>
          </w:tblCellMar>
        </w:tblPrEx>
        <w:trPr>
          <w:trHeight w:val="397" w:hRule="atLeast"/>
          <w:jc w:val="center"/>
        </w:trPr>
        <w:tc>
          <w:tcPr>
            <w:tcW w:w="362" w:type="pct"/>
            <w:vMerge w:val="continue"/>
            <w:tcBorders>
              <w:top w:val="nil"/>
              <w:left w:val="single" w:color="auto" w:sz="4" w:space="0"/>
              <w:bottom w:val="single" w:color="auto" w:sz="4" w:space="0"/>
              <w:right w:val="single" w:color="auto" w:sz="4" w:space="0"/>
            </w:tcBorders>
            <w:vAlign w:val="center"/>
          </w:tcPr>
          <w:p w14:paraId="3165A9E6">
            <w:pPr>
              <w:widowControl/>
              <w:adjustRightInd/>
              <w:spacing w:line="240" w:lineRule="auto"/>
              <w:jc w:val="center"/>
              <w:textAlignment w:val="auto"/>
              <w:rPr>
                <w:rFonts w:ascii="Arial" w:hAnsi="Arial" w:cs="Arial"/>
                <w:sz w:val="16"/>
                <w:szCs w:val="18"/>
              </w:rPr>
            </w:pPr>
          </w:p>
        </w:tc>
        <w:tc>
          <w:tcPr>
            <w:tcW w:w="760" w:type="pct"/>
            <w:tcBorders>
              <w:top w:val="nil"/>
              <w:left w:val="nil"/>
              <w:bottom w:val="single" w:color="auto" w:sz="4" w:space="0"/>
              <w:right w:val="single" w:color="auto" w:sz="4" w:space="0"/>
            </w:tcBorders>
            <w:vAlign w:val="center"/>
          </w:tcPr>
          <w:p w14:paraId="24339EF1">
            <w:pPr>
              <w:widowControl/>
              <w:adjustRightInd/>
              <w:spacing w:line="240" w:lineRule="auto"/>
              <w:jc w:val="center"/>
              <w:textAlignment w:val="auto"/>
              <w:rPr>
                <w:rFonts w:ascii="Arial" w:hAnsi="Arial" w:cs="Arial"/>
                <w:sz w:val="16"/>
                <w:szCs w:val="18"/>
              </w:rPr>
            </w:pPr>
            <w:r>
              <w:rPr>
                <w:rFonts w:ascii="Arial" w:hAnsi="Arial" w:cs="Arial"/>
                <w:sz w:val="16"/>
                <w:szCs w:val="18"/>
              </w:rPr>
              <w:t>朝向</w:t>
            </w:r>
          </w:p>
        </w:tc>
        <w:tc>
          <w:tcPr>
            <w:tcW w:w="968" w:type="pct"/>
            <w:tcBorders>
              <w:top w:val="nil"/>
              <w:left w:val="nil"/>
              <w:bottom w:val="single" w:color="auto" w:sz="4" w:space="0"/>
              <w:right w:val="single" w:color="auto" w:sz="4" w:space="0"/>
            </w:tcBorders>
            <w:vAlign w:val="center"/>
          </w:tcPr>
          <w:p w14:paraId="6B655AD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2A5ADB66">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68" w:type="pct"/>
            <w:tcBorders>
              <w:top w:val="nil"/>
              <w:left w:val="nil"/>
              <w:bottom w:val="single" w:color="auto" w:sz="4" w:space="0"/>
              <w:right w:val="single" w:color="auto" w:sz="4" w:space="0"/>
            </w:tcBorders>
            <w:vAlign w:val="center"/>
          </w:tcPr>
          <w:p w14:paraId="7A9FA41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c>
          <w:tcPr>
            <w:tcW w:w="970" w:type="pct"/>
            <w:tcBorders>
              <w:top w:val="nil"/>
              <w:left w:val="nil"/>
              <w:bottom w:val="single" w:color="auto" w:sz="4" w:space="0"/>
              <w:right w:val="single" w:color="auto" w:sz="4" w:space="0"/>
            </w:tcBorders>
            <w:vAlign w:val="center"/>
          </w:tcPr>
          <w:p w14:paraId="596787A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南北</w:t>
            </w:r>
          </w:p>
        </w:tc>
      </w:tr>
      <w:tr w14:paraId="54E0E90B">
        <w:tblPrEx>
          <w:tblCellMar>
            <w:top w:w="0" w:type="dxa"/>
            <w:left w:w="108" w:type="dxa"/>
            <w:bottom w:w="0" w:type="dxa"/>
            <w:right w:w="108" w:type="dxa"/>
          </w:tblCellMar>
        </w:tblPrEx>
        <w:trPr>
          <w:trHeight w:val="397" w:hRule="atLeast"/>
          <w:jc w:val="center"/>
        </w:trPr>
        <w:tc>
          <w:tcPr>
            <w:tcW w:w="362" w:type="pct"/>
            <w:vMerge w:val="restart"/>
            <w:tcBorders>
              <w:top w:val="single" w:color="auto" w:sz="4" w:space="0"/>
              <w:left w:val="single" w:color="auto" w:sz="4" w:space="0"/>
              <w:bottom w:val="single" w:color="auto" w:sz="4" w:space="0"/>
              <w:right w:val="single" w:color="auto" w:sz="4" w:space="0"/>
            </w:tcBorders>
            <w:vAlign w:val="center"/>
          </w:tcPr>
          <w:p w14:paraId="7B31B780">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760" w:type="pct"/>
            <w:tcBorders>
              <w:top w:val="single" w:color="auto" w:sz="4" w:space="0"/>
              <w:left w:val="nil"/>
              <w:bottom w:val="single" w:color="auto" w:sz="4" w:space="0"/>
              <w:right w:val="single" w:color="auto" w:sz="4" w:space="0"/>
            </w:tcBorders>
            <w:vAlign w:val="center"/>
          </w:tcPr>
          <w:p w14:paraId="3D59B5B1">
            <w:pPr>
              <w:widowControl/>
              <w:adjustRightInd/>
              <w:spacing w:line="240" w:lineRule="auto"/>
              <w:jc w:val="center"/>
              <w:textAlignment w:val="auto"/>
              <w:rPr>
                <w:rFonts w:ascii="Arial" w:hAnsi="Arial" w:cs="Arial"/>
                <w:sz w:val="16"/>
                <w:szCs w:val="18"/>
              </w:rPr>
            </w:pPr>
            <w:r>
              <w:rPr>
                <w:rFonts w:ascii="Arial" w:hAnsi="Arial" w:cs="Arial"/>
                <w:sz w:val="16"/>
                <w:szCs w:val="18"/>
              </w:rPr>
              <w:t>成新度</w:t>
            </w:r>
          </w:p>
        </w:tc>
        <w:tc>
          <w:tcPr>
            <w:tcW w:w="968" w:type="pct"/>
            <w:tcBorders>
              <w:top w:val="single" w:color="auto" w:sz="4" w:space="0"/>
              <w:left w:val="nil"/>
              <w:bottom w:val="single" w:color="auto" w:sz="4" w:space="0"/>
              <w:right w:val="single" w:color="auto" w:sz="4" w:space="0"/>
            </w:tcBorders>
            <w:vAlign w:val="center"/>
          </w:tcPr>
          <w:p w14:paraId="359C1B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9</w:t>
            </w:r>
            <w:r>
              <w:rPr>
                <w:rFonts w:ascii="Arial" w:hAnsi="Arial" w:cs="Arial"/>
                <w:sz w:val="16"/>
                <w:szCs w:val="18"/>
              </w:rPr>
              <w:t>0-</w:t>
            </w:r>
            <w:r>
              <w:rPr>
                <w:rFonts w:hint="eastAsia" w:ascii="Arial" w:hAnsi="Arial" w:cs="Arial"/>
                <w:sz w:val="16"/>
                <w:szCs w:val="18"/>
              </w:rPr>
              <w:t>100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40D5BD9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68" w:type="pct"/>
            <w:tcBorders>
              <w:top w:val="single" w:color="auto" w:sz="4" w:space="0"/>
              <w:left w:val="nil"/>
              <w:bottom w:val="single" w:color="auto" w:sz="4" w:space="0"/>
              <w:right w:val="single" w:color="auto" w:sz="4" w:space="0"/>
            </w:tcBorders>
            <w:vAlign w:val="center"/>
          </w:tcPr>
          <w:p w14:paraId="62D6B67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c>
          <w:tcPr>
            <w:tcW w:w="970" w:type="pct"/>
            <w:tcBorders>
              <w:top w:val="single" w:color="auto" w:sz="4" w:space="0"/>
              <w:left w:val="nil"/>
              <w:bottom w:val="single" w:color="auto" w:sz="4" w:space="0"/>
              <w:right w:val="single" w:color="auto" w:sz="4" w:space="0"/>
            </w:tcBorders>
            <w:vAlign w:val="center"/>
          </w:tcPr>
          <w:p w14:paraId="622231E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6</w:t>
            </w:r>
            <w:r>
              <w:rPr>
                <w:rFonts w:ascii="Arial" w:hAnsi="Arial" w:cs="Arial"/>
                <w:sz w:val="16"/>
                <w:szCs w:val="18"/>
              </w:rPr>
              <w:t>0-</w:t>
            </w:r>
            <w:r>
              <w:rPr>
                <w:rFonts w:hint="eastAsia" w:ascii="Arial" w:hAnsi="Arial" w:cs="Arial"/>
                <w:sz w:val="16"/>
                <w:szCs w:val="18"/>
              </w:rPr>
              <w:t>70</w:t>
            </w:r>
            <w:r>
              <w:rPr>
                <w:rFonts w:ascii="Arial" w:hAnsi="Arial" w:cs="Arial"/>
                <w:sz w:val="16"/>
                <w:szCs w:val="18"/>
              </w:rPr>
              <w:t>%</w:t>
            </w:r>
          </w:p>
        </w:tc>
      </w:tr>
      <w:tr w14:paraId="52F64F5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3593671">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08A7906">
            <w:pPr>
              <w:widowControl/>
              <w:adjustRightInd/>
              <w:spacing w:line="240" w:lineRule="auto"/>
              <w:jc w:val="center"/>
              <w:textAlignment w:val="auto"/>
              <w:rPr>
                <w:rFonts w:ascii="Arial" w:hAnsi="Arial" w:cs="Arial"/>
                <w:sz w:val="16"/>
                <w:szCs w:val="18"/>
              </w:rPr>
            </w:pPr>
            <w:r>
              <w:rPr>
                <w:rFonts w:ascii="Arial" w:hAnsi="Arial" w:cs="Arial"/>
                <w:sz w:val="16"/>
                <w:szCs w:val="18"/>
              </w:rPr>
              <w:t>公共区域装修</w:t>
            </w:r>
          </w:p>
        </w:tc>
        <w:tc>
          <w:tcPr>
            <w:tcW w:w="1844" w:type="dxa"/>
            <w:tcBorders>
              <w:top w:val="single" w:color="auto" w:sz="4" w:space="0"/>
              <w:left w:val="nil"/>
              <w:bottom w:val="single" w:color="auto" w:sz="4" w:space="0"/>
              <w:right w:val="single" w:color="auto" w:sz="4" w:space="0"/>
            </w:tcBorders>
            <w:vAlign w:val="center"/>
          </w:tcPr>
          <w:p w14:paraId="7B51AB3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721C36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35532F33">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5346820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低档</w:t>
            </w:r>
            <w:r>
              <w:rPr>
                <w:rFonts w:ascii="Arial" w:hAnsi="Arial" w:cs="Arial"/>
                <w:sz w:val="16"/>
                <w:szCs w:val="18"/>
              </w:rPr>
              <w:t>装修</w:t>
            </w:r>
          </w:p>
        </w:tc>
      </w:tr>
      <w:tr w14:paraId="415D7BF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4E4E4A18">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C7D48DF">
            <w:pPr>
              <w:widowControl/>
              <w:adjustRightInd/>
              <w:spacing w:line="240" w:lineRule="auto"/>
              <w:jc w:val="center"/>
              <w:textAlignment w:val="auto"/>
              <w:rPr>
                <w:rFonts w:ascii="Arial" w:hAnsi="Arial" w:cs="Arial"/>
                <w:sz w:val="16"/>
                <w:szCs w:val="18"/>
              </w:rPr>
            </w:pPr>
            <w:r>
              <w:rPr>
                <w:rFonts w:ascii="Arial" w:hAnsi="Arial" w:cs="Arial"/>
                <w:sz w:val="16"/>
                <w:szCs w:val="18"/>
              </w:rPr>
              <w:t>室内装饰装修</w:t>
            </w:r>
          </w:p>
        </w:tc>
        <w:tc>
          <w:tcPr>
            <w:tcW w:w="1844" w:type="dxa"/>
            <w:tcBorders>
              <w:top w:val="single" w:color="auto" w:sz="4" w:space="0"/>
              <w:left w:val="nil"/>
              <w:bottom w:val="single" w:color="auto" w:sz="4" w:space="0"/>
              <w:right w:val="single" w:color="auto" w:sz="4" w:space="0"/>
            </w:tcBorders>
            <w:vAlign w:val="center"/>
          </w:tcPr>
          <w:p w14:paraId="5D6157CB">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7A71FD3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4" w:type="dxa"/>
            <w:tcBorders>
              <w:top w:val="single" w:color="auto" w:sz="4" w:space="0"/>
              <w:left w:val="nil"/>
              <w:bottom w:val="single" w:color="auto" w:sz="4" w:space="0"/>
              <w:right w:val="single" w:color="auto" w:sz="4" w:space="0"/>
            </w:tcBorders>
            <w:vAlign w:val="center"/>
          </w:tcPr>
          <w:p w14:paraId="020BBAC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c>
          <w:tcPr>
            <w:tcW w:w="1847" w:type="dxa"/>
            <w:tcBorders>
              <w:top w:val="single" w:color="auto" w:sz="4" w:space="0"/>
              <w:left w:val="nil"/>
              <w:bottom w:val="single" w:color="auto" w:sz="4" w:space="0"/>
              <w:right w:val="single" w:color="auto" w:sz="4" w:space="0"/>
            </w:tcBorders>
            <w:vAlign w:val="center"/>
          </w:tcPr>
          <w:p w14:paraId="1708A2E2">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中档</w:t>
            </w:r>
            <w:r>
              <w:rPr>
                <w:rFonts w:ascii="Arial" w:hAnsi="Arial" w:cs="Arial"/>
                <w:sz w:val="16"/>
                <w:szCs w:val="18"/>
              </w:rPr>
              <w:t>装修</w:t>
            </w:r>
          </w:p>
        </w:tc>
      </w:tr>
      <w:tr w14:paraId="59180A20">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A6A791E">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1B5566E">
            <w:pPr>
              <w:widowControl/>
              <w:adjustRightInd/>
              <w:spacing w:line="240" w:lineRule="auto"/>
              <w:jc w:val="center"/>
              <w:textAlignment w:val="auto"/>
              <w:rPr>
                <w:rFonts w:ascii="Arial" w:hAnsi="Arial" w:cs="Arial"/>
                <w:sz w:val="16"/>
                <w:szCs w:val="18"/>
              </w:rPr>
            </w:pPr>
            <w:r>
              <w:rPr>
                <w:rFonts w:ascii="Arial" w:hAnsi="Arial" w:cs="Arial"/>
                <w:sz w:val="16"/>
                <w:szCs w:val="18"/>
              </w:rPr>
              <w:t>设施设备</w:t>
            </w:r>
          </w:p>
        </w:tc>
        <w:tc>
          <w:tcPr>
            <w:tcW w:w="968" w:type="pct"/>
            <w:tcBorders>
              <w:top w:val="single" w:color="auto" w:sz="4" w:space="0"/>
              <w:left w:val="nil"/>
              <w:bottom w:val="single" w:color="auto" w:sz="4" w:space="0"/>
              <w:right w:val="single" w:color="auto" w:sz="4" w:space="0"/>
            </w:tcBorders>
            <w:vAlign w:val="center"/>
          </w:tcPr>
          <w:p w14:paraId="44C18E55">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507E1A96">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68" w:type="pct"/>
            <w:tcBorders>
              <w:top w:val="single" w:color="auto" w:sz="4" w:space="0"/>
              <w:left w:val="nil"/>
              <w:bottom w:val="single" w:color="auto" w:sz="4" w:space="0"/>
              <w:right w:val="single" w:color="auto" w:sz="4" w:space="0"/>
            </w:tcBorders>
            <w:vAlign w:val="center"/>
          </w:tcPr>
          <w:p w14:paraId="10CEBFD1">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c>
          <w:tcPr>
            <w:tcW w:w="970" w:type="pct"/>
            <w:tcBorders>
              <w:top w:val="single" w:color="auto" w:sz="4" w:space="0"/>
              <w:left w:val="nil"/>
              <w:bottom w:val="single" w:color="auto" w:sz="4" w:space="0"/>
              <w:right w:val="single" w:color="auto" w:sz="4" w:space="0"/>
            </w:tcBorders>
            <w:vAlign w:val="center"/>
          </w:tcPr>
          <w:p w14:paraId="66A167CD">
            <w:pPr>
              <w:widowControl/>
              <w:adjustRightInd/>
              <w:spacing w:line="240" w:lineRule="auto"/>
              <w:jc w:val="center"/>
              <w:textAlignment w:val="auto"/>
              <w:rPr>
                <w:rFonts w:ascii="Arial" w:hAnsi="Arial" w:cs="Arial"/>
                <w:sz w:val="16"/>
                <w:szCs w:val="18"/>
              </w:rPr>
            </w:pPr>
            <w:r>
              <w:rPr>
                <w:rFonts w:ascii="Arial" w:hAnsi="Arial" w:cs="Arial"/>
                <w:sz w:val="16"/>
                <w:szCs w:val="18"/>
              </w:rPr>
              <w:t>较完善</w:t>
            </w:r>
          </w:p>
        </w:tc>
      </w:tr>
      <w:tr w14:paraId="2B8C26D2">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A4941A0">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7673BFE">
            <w:pPr>
              <w:widowControl/>
              <w:adjustRightInd/>
              <w:spacing w:line="240" w:lineRule="auto"/>
              <w:jc w:val="center"/>
              <w:textAlignment w:val="auto"/>
              <w:rPr>
                <w:rFonts w:ascii="Arial" w:hAnsi="Arial" w:cs="Arial"/>
                <w:sz w:val="16"/>
                <w:szCs w:val="18"/>
              </w:rPr>
            </w:pPr>
            <w:r>
              <w:rPr>
                <w:rFonts w:ascii="Arial" w:hAnsi="Arial" w:cs="Arial"/>
                <w:sz w:val="16"/>
                <w:szCs w:val="18"/>
              </w:rPr>
              <w:t>综合管理服务设施</w:t>
            </w:r>
          </w:p>
        </w:tc>
        <w:tc>
          <w:tcPr>
            <w:tcW w:w="968" w:type="pct"/>
            <w:tcBorders>
              <w:top w:val="single" w:color="auto" w:sz="4" w:space="0"/>
              <w:left w:val="nil"/>
              <w:bottom w:val="single" w:color="auto" w:sz="4" w:space="0"/>
              <w:right w:val="single" w:color="auto" w:sz="4" w:space="0"/>
            </w:tcBorders>
            <w:vAlign w:val="center"/>
          </w:tcPr>
          <w:p w14:paraId="0E7540D7">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4345291C">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68" w:type="pct"/>
            <w:tcBorders>
              <w:top w:val="single" w:color="auto" w:sz="4" w:space="0"/>
              <w:left w:val="nil"/>
              <w:bottom w:val="single" w:color="auto" w:sz="4" w:space="0"/>
              <w:right w:val="single" w:color="auto" w:sz="4" w:space="0"/>
            </w:tcBorders>
            <w:vAlign w:val="center"/>
          </w:tcPr>
          <w:p w14:paraId="4F46E911">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c>
          <w:tcPr>
            <w:tcW w:w="970" w:type="pct"/>
            <w:tcBorders>
              <w:top w:val="single" w:color="auto" w:sz="4" w:space="0"/>
              <w:left w:val="nil"/>
              <w:bottom w:val="single" w:color="auto" w:sz="4" w:space="0"/>
              <w:right w:val="single" w:color="auto" w:sz="4" w:space="0"/>
            </w:tcBorders>
            <w:vAlign w:val="center"/>
          </w:tcPr>
          <w:p w14:paraId="6E681F78">
            <w:pPr>
              <w:widowControl/>
              <w:adjustRightInd/>
              <w:spacing w:line="240" w:lineRule="auto"/>
              <w:jc w:val="center"/>
              <w:textAlignment w:val="auto"/>
              <w:rPr>
                <w:rFonts w:ascii="Arial" w:hAnsi="Arial" w:cs="Arial"/>
                <w:sz w:val="16"/>
                <w:szCs w:val="18"/>
              </w:rPr>
            </w:pPr>
            <w:r>
              <w:rPr>
                <w:rFonts w:ascii="Arial" w:hAnsi="Arial" w:cs="Arial"/>
                <w:sz w:val="16"/>
                <w:szCs w:val="18"/>
              </w:rPr>
              <w:t>有快递柜、垃圾分类收集点</w:t>
            </w:r>
          </w:p>
        </w:tc>
      </w:tr>
      <w:tr w14:paraId="6D4EE0E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3ABA133E">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F80F9E8">
            <w:pPr>
              <w:widowControl/>
              <w:adjustRightInd/>
              <w:spacing w:line="240" w:lineRule="auto"/>
              <w:jc w:val="center"/>
              <w:textAlignment w:val="auto"/>
              <w:rPr>
                <w:rFonts w:ascii="Arial" w:hAnsi="Arial" w:cs="Arial"/>
                <w:sz w:val="16"/>
                <w:szCs w:val="18"/>
              </w:rPr>
            </w:pPr>
            <w:r>
              <w:rPr>
                <w:rFonts w:ascii="Arial" w:hAnsi="Arial" w:cs="Arial"/>
                <w:sz w:val="16"/>
                <w:szCs w:val="18"/>
              </w:rPr>
              <w:t>户型布局</w:t>
            </w:r>
          </w:p>
        </w:tc>
        <w:tc>
          <w:tcPr>
            <w:tcW w:w="968" w:type="pct"/>
            <w:tcBorders>
              <w:top w:val="single" w:color="auto" w:sz="4" w:space="0"/>
              <w:left w:val="nil"/>
              <w:bottom w:val="single" w:color="auto" w:sz="4" w:space="0"/>
              <w:right w:val="single" w:color="auto" w:sz="4" w:space="0"/>
            </w:tcBorders>
            <w:vAlign w:val="center"/>
          </w:tcPr>
          <w:p w14:paraId="61FFFE9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68" w:type="pct"/>
            <w:tcBorders>
              <w:top w:val="single" w:color="auto" w:sz="4" w:space="0"/>
              <w:left w:val="nil"/>
              <w:bottom w:val="single" w:color="auto" w:sz="4" w:space="0"/>
              <w:right w:val="single" w:color="auto" w:sz="4" w:space="0"/>
            </w:tcBorders>
            <w:vAlign w:val="center"/>
          </w:tcPr>
          <w:p w14:paraId="34D6C15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68" w:type="pct"/>
            <w:tcBorders>
              <w:top w:val="single" w:color="auto" w:sz="4" w:space="0"/>
              <w:left w:val="nil"/>
              <w:bottom w:val="single" w:color="auto" w:sz="4" w:space="0"/>
              <w:right w:val="single" w:color="auto" w:sz="4" w:space="0"/>
            </w:tcBorders>
            <w:vAlign w:val="center"/>
          </w:tcPr>
          <w:p w14:paraId="2DC51D2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c>
          <w:tcPr>
            <w:tcW w:w="970" w:type="pct"/>
            <w:tcBorders>
              <w:top w:val="single" w:color="auto" w:sz="4" w:space="0"/>
              <w:left w:val="nil"/>
              <w:bottom w:val="single" w:color="auto" w:sz="4" w:space="0"/>
              <w:right w:val="single" w:color="auto" w:sz="4" w:space="0"/>
            </w:tcBorders>
            <w:vAlign w:val="center"/>
          </w:tcPr>
          <w:p w14:paraId="7DFCFBA5">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三居室</w:t>
            </w:r>
          </w:p>
        </w:tc>
      </w:tr>
      <w:tr w14:paraId="2D9A6DF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16D06B">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34464BE6">
            <w:pPr>
              <w:widowControl/>
              <w:adjustRightInd/>
              <w:spacing w:line="240" w:lineRule="auto"/>
              <w:jc w:val="center"/>
              <w:textAlignment w:val="auto"/>
              <w:rPr>
                <w:rFonts w:ascii="Arial" w:hAnsi="Arial" w:cs="Arial"/>
                <w:sz w:val="16"/>
                <w:szCs w:val="18"/>
              </w:rPr>
            </w:pPr>
            <w:r>
              <w:rPr>
                <w:rFonts w:ascii="Arial" w:hAnsi="Arial" w:cs="Arial"/>
                <w:sz w:val="16"/>
                <w:szCs w:val="18"/>
              </w:rPr>
              <w:t>户型结构</w:t>
            </w:r>
          </w:p>
        </w:tc>
        <w:tc>
          <w:tcPr>
            <w:tcW w:w="968" w:type="pct"/>
            <w:tcBorders>
              <w:top w:val="single" w:color="auto" w:sz="4" w:space="0"/>
              <w:left w:val="nil"/>
              <w:bottom w:val="single" w:color="auto" w:sz="4" w:space="0"/>
              <w:right w:val="single" w:color="auto" w:sz="4" w:space="0"/>
            </w:tcBorders>
            <w:vAlign w:val="center"/>
          </w:tcPr>
          <w:p w14:paraId="07DA84C9">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6524B868">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68" w:type="pct"/>
            <w:tcBorders>
              <w:top w:val="single" w:color="auto" w:sz="4" w:space="0"/>
              <w:left w:val="nil"/>
              <w:bottom w:val="single" w:color="auto" w:sz="4" w:space="0"/>
              <w:right w:val="single" w:color="auto" w:sz="4" w:space="0"/>
            </w:tcBorders>
            <w:vAlign w:val="center"/>
          </w:tcPr>
          <w:p w14:paraId="4CC3601F">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c>
          <w:tcPr>
            <w:tcW w:w="970" w:type="pct"/>
            <w:tcBorders>
              <w:top w:val="single" w:color="auto" w:sz="4" w:space="0"/>
              <w:left w:val="nil"/>
              <w:bottom w:val="single" w:color="auto" w:sz="4" w:space="0"/>
              <w:right w:val="single" w:color="auto" w:sz="4" w:space="0"/>
            </w:tcBorders>
            <w:vAlign w:val="center"/>
          </w:tcPr>
          <w:p w14:paraId="7E4B6624">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平层</w:t>
            </w:r>
          </w:p>
        </w:tc>
      </w:tr>
      <w:tr w14:paraId="50A82FA6">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18794C03">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065DA2C">
            <w:pPr>
              <w:widowControl/>
              <w:adjustRightInd/>
              <w:spacing w:line="240" w:lineRule="auto"/>
              <w:jc w:val="center"/>
              <w:textAlignment w:val="auto"/>
              <w:rPr>
                <w:rFonts w:ascii="Arial" w:hAnsi="Arial" w:cs="Arial"/>
                <w:sz w:val="16"/>
                <w:szCs w:val="18"/>
              </w:rPr>
            </w:pPr>
            <w:r>
              <w:rPr>
                <w:rFonts w:ascii="Arial" w:hAnsi="Arial" w:cs="Arial"/>
                <w:sz w:val="16"/>
                <w:szCs w:val="18"/>
              </w:rPr>
              <w:t>建筑面积（㎡）</w:t>
            </w:r>
          </w:p>
        </w:tc>
        <w:tc>
          <w:tcPr>
            <w:tcW w:w="968" w:type="pct"/>
            <w:tcBorders>
              <w:top w:val="single" w:color="auto" w:sz="4" w:space="0"/>
              <w:left w:val="nil"/>
              <w:bottom w:val="single" w:color="auto" w:sz="4" w:space="0"/>
              <w:right w:val="single" w:color="auto" w:sz="4" w:space="0"/>
            </w:tcBorders>
            <w:vAlign w:val="center"/>
          </w:tcPr>
          <w:p w14:paraId="5E6F7D9C">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115.8</w:t>
            </w:r>
          </w:p>
        </w:tc>
        <w:tc>
          <w:tcPr>
            <w:tcW w:w="968" w:type="pct"/>
            <w:tcBorders>
              <w:top w:val="single" w:color="auto" w:sz="4" w:space="0"/>
              <w:left w:val="nil"/>
              <w:bottom w:val="single" w:color="auto" w:sz="4" w:space="0"/>
              <w:right w:val="single" w:color="auto" w:sz="4" w:space="0"/>
            </w:tcBorders>
            <w:vAlign w:val="center"/>
          </w:tcPr>
          <w:p w14:paraId="7632A947">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136</w:t>
            </w:r>
          </w:p>
        </w:tc>
        <w:tc>
          <w:tcPr>
            <w:tcW w:w="968" w:type="pct"/>
            <w:tcBorders>
              <w:top w:val="single" w:color="auto" w:sz="4" w:space="0"/>
              <w:left w:val="nil"/>
              <w:bottom w:val="single" w:color="auto" w:sz="4" w:space="0"/>
              <w:right w:val="single" w:color="auto" w:sz="4" w:space="0"/>
            </w:tcBorders>
            <w:vAlign w:val="center"/>
          </w:tcPr>
          <w:p w14:paraId="10950EB1">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101.93</w:t>
            </w:r>
          </w:p>
        </w:tc>
        <w:tc>
          <w:tcPr>
            <w:tcW w:w="970" w:type="pct"/>
            <w:tcBorders>
              <w:top w:val="single" w:color="auto" w:sz="4" w:space="0"/>
              <w:left w:val="nil"/>
              <w:bottom w:val="single" w:color="auto" w:sz="4" w:space="0"/>
              <w:right w:val="single" w:color="auto" w:sz="4" w:space="0"/>
            </w:tcBorders>
            <w:vAlign w:val="center"/>
          </w:tcPr>
          <w:p w14:paraId="4161668E">
            <w:pPr>
              <w:widowControl/>
              <w:adjustRightInd/>
              <w:spacing w:line="240" w:lineRule="auto"/>
              <w:jc w:val="center"/>
              <w:textAlignment w:val="auto"/>
              <w:rPr>
                <w:rFonts w:ascii="Arial" w:hAnsi="Arial" w:cs="Arial"/>
                <w:sz w:val="16"/>
                <w:szCs w:val="18"/>
              </w:rPr>
            </w:pPr>
            <w:r>
              <w:rPr>
                <w:rFonts w:hint="eastAsia" w:ascii="Arial" w:hAnsi="Arial" w:cs="Arial"/>
                <w:sz w:val="16"/>
                <w:szCs w:val="18"/>
              </w:rPr>
              <w:t>123</w:t>
            </w:r>
          </w:p>
        </w:tc>
      </w:tr>
      <w:tr w14:paraId="6B0DBB1D">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5F38D9E1">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230B8021">
            <w:pPr>
              <w:widowControl/>
              <w:adjustRightInd/>
              <w:spacing w:line="240" w:lineRule="auto"/>
              <w:jc w:val="center"/>
              <w:textAlignment w:val="auto"/>
              <w:rPr>
                <w:rFonts w:ascii="Arial" w:hAnsi="Arial" w:cs="Arial"/>
                <w:sz w:val="16"/>
                <w:szCs w:val="18"/>
              </w:rPr>
            </w:pPr>
            <w:r>
              <w:rPr>
                <w:rFonts w:ascii="Arial" w:hAnsi="Arial" w:cs="Arial"/>
                <w:sz w:val="16"/>
                <w:szCs w:val="18"/>
              </w:rPr>
              <w:t>家具家电</w:t>
            </w:r>
          </w:p>
        </w:tc>
        <w:tc>
          <w:tcPr>
            <w:tcW w:w="1844" w:type="dxa"/>
            <w:tcBorders>
              <w:top w:val="single" w:color="auto" w:sz="4" w:space="0"/>
              <w:left w:val="nil"/>
              <w:bottom w:val="single" w:color="auto" w:sz="4" w:space="0"/>
              <w:right w:val="single" w:color="auto" w:sz="4" w:space="0"/>
            </w:tcBorders>
            <w:vAlign w:val="center"/>
          </w:tcPr>
          <w:p w14:paraId="0B3F4157">
            <w:pPr>
              <w:widowControl/>
              <w:adjustRightInd/>
              <w:spacing w:line="240" w:lineRule="auto"/>
              <w:jc w:val="center"/>
              <w:textAlignment w:val="auto"/>
              <w:rPr>
                <w:rFonts w:ascii="Arial" w:hAnsi="Arial" w:cs="Arial"/>
                <w:sz w:val="16"/>
                <w:szCs w:val="18"/>
              </w:rPr>
            </w:pPr>
            <w:r>
              <w:rPr>
                <w:rFonts w:ascii="Arial" w:hAnsi="Arial" w:cs="Arial"/>
                <w:sz w:val="16"/>
                <w:szCs w:val="18"/>
              </w:rPr>
              <w:t>配备</w:t>
            </w:r>
            <w:r>
              <w:rPr>
                <w:rFonts w:hint="eastAsia" w:ascii="Arial" w:hAnsi="Arial" w:cs="Arial"/>
                <w:sz w:val="16"/>
                <w:szCs w:val="18"/>
              </w:rPr>
              <w:t>品牌</w:t>
            </w:r>
            <w:r>
              <w:rPr>
                <w:rFonts w:ascii="Arial" w:hAnsi="Arial" w:cs="Arial"/>
                <w:sz w:val="16"/>
                <w:szCs w:val="18"/>
              </w:rPr>
              <w:t>家具、</w:t>
            </w:r>
            <w:r>
              <w:rPr>
                <w:rFonts w:hint="eastAsia" w:ascii="Arial" w:hAnsi="Arial" w:cs="Arial"/>
                <w:sz w:val="16"/>
                <w:szCs w:val="18"/>
              </w:rPr>
              <w:t>品牌</w:t>
            </w:r>
            <w:r>
              <w:rPr>
                <w:rFonts w:ascii="Arial" w:hAnsi="Arial" w:cs="Arial"/>
                <w:sz w:val="16"/>
                <w:szCs w:val="18"/>
              </w:rPr>
              <w:t>家电齐全；功能正常，质量有保证</w:t>
            </w:r>
            <w:r>
              <w:rPr>
                <w:rFonts w:hint="eastAsia" w:ascii="Arial" w:hAnsi="Arial" w:cs="Arial"/>
                <w:sz w:val="16"/>
                <w:szCs w:val="18"/>
              </w:rPr>
              <w:t>；配备网络设施；</w:t>
            </w:r>
            <w:r>
              <w:rPr>
                <w:rFonts w:ascii="Arial" w:hAnsi="Arial" w:cs="Arial"/>
                <w:sz w:val="16"/>
                <w:szCs w:val="18"/>
              </w:rPr>
              <w:t>好</w:t>
            </w:r>
          </w:p>
        </w:tc>
        <w:tc>
          <w:tcPr>
            <w:tcW w:w="1844" w:type="dxa"/>
            <w:tcBorders>
              <w:top w:val="single" w:color="auto" w:sz="4" w:space="0"/>
              <w:left w:val="nil"/>
              <w:bottom w:val="single" w:color="auto" w:sz="4" w:space="0"/>
              <w:right w:val="single" w:color="auto" w:sz="4" w:space="0"/>
            </w:tcBorders>
            <w:vAlign w:val="center"/>
          </w:tcPr>
          <w:p w14:paraId="14BA67CC">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4" w:type="dxa"/>
            <w:tcBorders>
              <w:top w:val="single" w:color="auto" w:sz="4" w:space="0"/>
              <w:left w:val="nil"/>
              <w:bottom w:val="single" w:color="auto" w:sz="4" w:space="0"/>
              <w:right w:val="single" w:color="auto" w:sz="4" w:space="0"/>
            </w:tcBorders>
            <w:vAlign w:val="center"/>
          </w:tcPr>
          <w:p w14:paraId="4E2CB1A2">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c>
          <w:tcPr>
            <w:tcW w:w="1847" w:type="dxa"/>
            <w:tcBorders>
              <w:top w:val="single" w:color="auto" w:sz="4" w:space="0"/>
              <w:left w:val="nil"/>
              <w:bottom w:val="single" w:color="auto" w:sz="4" w:space="0"/>
              <w:right w:val="single" w:color="auto" w:sz="4" w:space="0"/>
            </w:tcBorders>
            <w:vAlign w:val="center"/>
          </w:tcPr>
          <w:p w14:paraId="23A77A5B">
            <w:pPr>
              <w:widowControl/>
              <w:adjustRightInd/>
              <w:spacing w:line="240" w:lineRule="auto"/>
              <w:jc w:val="center"/>
              <w:textAlignment w:val="auto"/>
              <w:rPr>
                <w:rFonts w:ascii="Arial" w:hAnsi="Arial" w:cs="Arial"/>
                <w:sz w:val="16"/>
                <w:szCs w:val="18"/>
              </w:rPr>
            </w:pPr>
            <w:r>
              <w:rPr>
                <w:rFonts w:ascii="Arial" w:hAnsi="Arial" w:cs="Arial"/>
                <w:sz w:val="16"/>
                <w:szCs w:val="18"/>
              </w:rPr>
              <w:t>配备家具、家电；功能正常，质量有保证，</w:t>
            </w:r>
            <w:r>
              <w:rPr>
                <w:rFonts w:hint="eastAsia" w:ascii="Arial" w:hAnsi="Arial" w:cs="Arial"/>
                <w:sz w:val="16"/>
                <w:szCs w:val="18"/>
              </w:rPr>
              <w:t>一般</w:t>
            </w:r>
          </w:p>
        </w:tc>
      </w:tr>
      <w:tr w14:paraId="568D5263">
        <w:tblPrEx>
          <w:tblCellMar>
            <w:top w:w="0" w:type="dxa"/>
            <w:left w:w="108" w:type="dxa"/>
            <w:bottom w:w="0" w:type="dxa"/>
            <w:right w:w="108" w:type="dxa"/>
          </w:tblCellMar>
        </w:tblPrEx>
        <w:trPr>
          <w:trHeight w:val="397" w:hRule="atLeast"/>
          <w:jc w:val="center"/>
        </w:trPr>
        <w:tc>
          <w:tcPr>
            <w:tcW w:w="362" w:type="pct"/>
            <w:vMerge w:val="restart"/>
            <w:tcBorders>
              <w:left w:val="single" w:color="auto" w:sz="4" w:space="0"/>
              <w:bottom w:val="single" w:color="auto" w:sz="4" w:space="0"/>
              <w:right w:val="single" w:color="auto" w:sz="4" w:space="0"/>
            </w:tcBorders>
            <w:vAlign w:val="center"/>
          </w:tcPr>
          <w:p w14:paraId="08D0415F">
            <w:pPr>
              <w:widowControl/>
              <w:adjustRightInd/>
              <w:spacing w:line="240" w:lineRule="auto"/>
              <w:jc w:val="center"/>
              <w:textAlignment w:val="auto"/>
              <w:rPr>
                <w:rFonts w:ascii="Arial" w:hAnsi="Arial" w:cs="Arial"/>
                <w:sz w:val="16"/>
                <w:szCs w:val="18"/>
              </w:rPr>
            </w:pPr>
            <w:r>
              <w:rPr>
                <w:rFonts w:ascii="Arial" w:hAnsi="Arial" w:cs="Arial"/>
                <w:sz w:val="16"/>
                <w:szCs w:val="18"/>
              </w:rPr>
              <w:t>权益状况</w:t>
            </w:r>
          </w:p>
        </w:tc>
        <w:tc>
          <w:tcPr>
            <w:tcW w:w="760" w:type="pct"/>
            <w:tcBorders>
              <w:top w:val="single" w:color="auto" w:sz="4" w:space="0"/>
              <w:left w:val="nil"/>
              <w:bottom w:val="single" w:color="auto" w:sz="4" w:space="0"/>
              <w:right w:val="single" w:color="auto" w:sz="4" w:space="0"/>
            </w:tcBorders>
            <w:vAlign w:val="center"/>
          </w:tcPr>
          <w:p w14:paraId="38689A7A">
            <w:pPr>
              <w:widowControl/>
              <w:adjustRightInd/>
              <w:spacing w:line="240" w:lineRule="auto"/>
              <w:jc w:val="center"/>
              <w:textAlignment w:val="auto"/>
              <w:rPr>
                <w:rFonts w:ascii="Arial" w:hAnsi="Arial" w:cs="Arial"/>
                <w:sz w:val="16"/>
                <w:szCs w:val="18"/>
              </w:rPr>
            </w:pPr>
            <w:r>
              <w:rPr>
                <w:rFonts w:ascii="Arial" w:hAnsi="Arial" w:cs="Arial"/>
                <w:sz w:val="16"/>
                <w:szCs w:val="18"/>
              </w:rPr>
              <w:t>服务及管理水平</w:t>
            </w:r>
          </w:p>
        </w:tc>
        <w:tc>
          <w:tcPr>
            <w:tcW w:w="968" w:type="pct"/>
            <w:tcBorders>
              <w:top w:val="single" w:color="auto" w:sz="4" w:space="0"/>
              <w:left w:val="nil"/>
              <w:bottom w:val="single" w:color="auto" w:sz="4" w:space="0"/>
              <w:right w:val="single" w:color="auto" w:sz="4" w:space="0"/>
            </w:tcBorders>
            <w:vAlign w:val="center"/>
          </w:tcPr>
          <w:p w14:paraId="1FFB004E">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7B477CD6">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68" w:type="pct"/>
            <w:tcBorders>
              <w:top w:val="single" w:color="auto" w:sz="4" w:space="0"/>
              <w:left w:val="nil"/>
              <w:bottom w:val="single" w:color="auto" w:sz="4" w:space="0"/>
              <w:right w:val="single" w:color="auto" w:sz="4" w:space="0"/>
            </w:tcBorders>
            <w:vAlign w:val="center"/>
          </w:tcPr>
          <w:p w14:paraId="008D090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c>
          <w:tcPr>
            <w:tcW w:w="970" w:type="pct"/>
            <w:tcBorders>
              <w:top w:val="single" w:color="auto" w:sz="4" w:space="0"/>
              <w:left w:val="nil"/>
              <w:bottom w:val="single" w:color="auto" w:sz="4" w:space="0"/>
              <w:right w:val="single" w:color="auto" w:sz="4" w:space="0"/>
            </w:tcBorders>
            <w:vAlign w:val="center"/>
          </w:tcPr>
          <w:p w14:paraId="3DA0A2AB">
            <w:pPr>
              <w:widowControl/>
              <w:adjustRightInd/>
              <w:spacing w:line="240" w:lineRule="auto"/>
              <w:jc w:val="center"/>
              <w:textAlignment w:val="auto"/>
              <w:rPr>
                <w:rFonts w:ascii="Arial" w:hAnsi="Arial" w:cs="Arial"/>
                <w:sz w:val="16"/>
                <w:szCs w:val="18"/>
              </w:rPr>
            </w:pPr>
            <w:r>
              <w:rPr>
                <w:rFonts w:ascii="Arial" w:hAnsi="Arial" w:cs="Arial"/>
                <w:sz w:val="16"/>
                <w:szCs w:val="18"/>
              </w:rPr>
              <w:t>普通物业管理，封闭式管理</w:t>
            </w:r>
          </w:p>
        </w:tc>
      </w:tr>
      <w:tr w14:paraId="588EA2D5">
        <w:tblPrEx>
          <w:tblCellMar>
            <w:top w:w="0" w:type="dxa"/>
            <w:left w:w="108" w:type="dxa"/>
            <w:bottom w:w="0" w:type="dxa"/>
            <w:right w:w="108" w:type="dxa"/>
          </w:tblCellMar>
        </w:tblPrEx>
        <w:trPr>
          <w:trHeight w:val="397" w:hRule="atLeast"/>
          <w:jc w:val="center"/>
        </w:trPr>
        <w:tc>
          <w:tcPr>
            <w:tcW w:w="362" w:type="pct"/>
            <w:vMerge w:val="continue"/>
            <w:tcBorders>
              <w:left w:val="single" w:color="auto" w:sz="4" w:space="0"/>
              <w:bottom w:val="single" w:color="auto" w:sz="4" w:space="0"/>
              <w:right w:val="single" w:color="auto" w:sz="4" w:space="0"/>
            </w:tcBorders>
            <w:vAlign w:val="center"/>
          </w:tcPr>
          <w:p w14:paraId="069E8439">
            <w:pPr>
              <w:widowControl/>
              <w:adjustRightInd/>
              <w:spacing w:line="240" w:lineRule="auto"/>
              <w:jc w:val="center"/>
              <w:textAlignment w:val="auto"/>
              <w:rPr>
                <w:rFonts w:ascii="Arial" w:hAnsi="Arial" w:cs="Arial"/>
                <w:sz w:val="16"/>
                <w:szCs w:val="18"/>
              </w:rPr>
            </w:pPr>
          </w:p>
        </w:tc>
        <w:tc>
          <w:tcPr>
            <w:tcW w:w="760" w:type="pct"/>
            <w:tcBorders>
              <w:top w:val="single" w:color="auto" w:sz="4" w:space="0"/>
              <w:left w:val="nil"/>
              <w:bottom w:val="single" w:color="auto" w:sz="4" w:space="0"/>
              <w:right w:val="single" w:color="auto" w:sz="4" w:space="0"/>
            </w:tcBorders>
            <w:vAlign w:val="center"/>
          </w:tcPr>
          <w:p w14:paraId="0A433389">
            <w:pPr>
              <w:widowControl/>
              <w:adjustRightInd/>
              <w:spacing w:line="240" w:lineRule="auto"/>
              <w:jc w:val="center"/>
              <w:textAlignment w:val="auto"/>
              <w:rPr>
                <w:rFonts w:ascii="Arial" w:hAnsi="Arial" w:cs="Arial"/>
                <w:sz w:val="16"/>
                <w:szCs w:val="18"/>
              </w:rPr>
            </w:pPr>
            <w:r>
              <w:rPr>
                <w:rFonts w:ascii="Arial" w:hAnsi="Arial" w:cs="Arial"/>
                <w:sz w:val="16"/>
                <w:szCs w:val="18"/>
              </w:rPr>
              <w:t>水电气费执行标准</w:t>
            </w:r>
          </w:p>
        </w:tc>
        <w:tc>
          <w:tcPr>
            <w:tcW w:w="968" w:type="pct"/>
            <w:tcBorders>
              <w:top w:val="single" w:color="auto" w:sz="4" w:space="0"/>
              <w:left w:val="nil"/>
              <w:bottom w:val="single" w:color="auto" w:sz="4" w:space="0"/>
              <w:right w:val="single" w:color="auto" w:sz="4" w:space="0"/>
            </w:tcBorders>
            <w:vAlign w:val="center"/>
          </w:tcPr>
          <w:p w14:paraId="4F1CC46B">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1DA818CF">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68" w:type="pct"/>
            <w:tcBorders>
              <w:top w:val="single" w:color="auto" w:sz="4" w:space="0"/>
              <w:left w:val="nil"/>
              <w:bottom w:val="single" w:color="auto" w:sz="4" w:space="0"/>
              <w:right w:val="single" w:color="auto" w:sz="4" w:space="0"/>
            </w:tcBorders>
            <w:vAlign w:val="center"/>
          </w:tcPr>
          <w:p w14:paraId="54CC922B">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c>
          <w:tcPr>
            <w:tcW w:w="970" w:type="pct"/>
            <w:tcBorders>
              <w:top w:val="single" w:color="auto" w:sz="4" w:space="0"/>
              <w:left w:val="nil"/>
              <w:bottom w:val="single" w:color="auto" w:sz="4" w:space="0"/>
              <w:right w:val="single" w:color="auto" w:sz="4" w:space="0"/>
            </w:tcBorders>
            <w:vAlign w:val="center"/>
          </w:tcPr>
          <w:p w14:paraId="471054B6">
            <w:pPr>
              <w:widowControl/>
              <w:adjustRightInd/>
              <w:spacing w:line="240" w:lineRule="auto"/>
              <w:jc w:val="center"/>
              <w:textAlignment w:val="auto"/>
              <w:rPr>
                <w:rFonts w:ascii="Arial" w:hAnsi="Arial" w:cs="Arial"/>
                <w:sz w:val="16"/>
                <w:szCs w:val="18"/>
              </w:rPr>
            </w:pPr>
            <w:r>
              <w:rPr>
                <w:rFonts w:ascii="Arial" w:hAnsi="Arial" w:cs="Arial"/>
                <w:sz w:val="16"/>
                <w:szCs w:val="18"/>
              </w:rPr>
              <w:t>民水民电</w:t>
            </w:r>
          </w:p>
        </w:tc>
      </w:tr>
    </w:tbl>
    <w:p w14:paraId="7309A19D">
      <w:pPr>
        <w:overflowPunct w:val="0"/>
        <w:spacing w:line="480" w:lineRule="auto"/>
        <w:ind w:firstLine="420" w:firstLineChars="200"/>
        <w:jc w:val="center"/>
        <w:rPr>
          <w:rFonts w:ascii="Arial" w:hAnsi="Arial"/>
          <w:sz w:val="21"/>
          <w:szCs w:val="21"/>
        </w:rPr>
      </w:pPr>
    </w:p>
    <w:p w14:paraId="5389F4E0">
      <w:pPr>
        <w:overflowPunct w:val="0"/>
        <w:spacing w:line="480" w:lineRule="auto"/>
        <w:ind w:firstLine="420" w:firstLineChars="200"/>
        <w:jc w:val="center"/>
        <w:rPr>
          <w:rFonts w:ascii="Arial" w:hAnsi="Arial"/>
          <w:sz w:val="21"/>
          <w:szCs w:val="21"/>
        </w:rPr>
      </w:pPr>
    </w:p>
    <w:p w14:paraId="6E84247E">
      <w:pPr>
        <w:overflowPunct w:val="0"/>
        <w:spacing w:line="480" w:lineRule="auto"/>
        <w:ind w:firstLine="420" w:firstLineChars="200"/>
        <w:jc w:val="center"/>
        <w:rPr>
          <w:rFonts w:ascii="Arial" w:hAnsi="Arial"/>
          <w:sz w:val="21"/>
          <w:szCs w:val="21"/>
        </w:rPr>
      </w:pPr>
    </w:p>
    <w:p w14:paraId="5E78DDEC">
      <w:pPr>
        <w:overflowPunct w:val="0"/>
        <w:spacing w:line="480" w:lineRule="auto"/>
        <w:ind w:firstLine="420" w:firstLineChars="200"/>
        <w:jc w:val="center"/>
        <w:rPr>
          <w:rFonts w:ascii="Arial" w:hAnsi="Arial"/>
          <w:sz w:val="21"/>
          <w:szCs w:val="21"/>
        </w:rPr>
      </w:pPr>
    </w:p>
    <w:p w14:paraId="5DE69327">
      <w:pPr>
        <w:overflowPunct w:val="0"/>
        <w:spacing w:line="480" w:lineRule="auto"/>
        <w:ind w:firstLine="420" w:firstLineChars="200"/>
        <w:jc w:val="center"/>
        <w:rPr>
          <w:rFonts w:ascii="Arial" w:hAnsi="Arial"/>
          <w:sz w:val="21"/>
          <w:szCs w:val="21"/>
        </w:rPr>
      </w:pPr>
    </w:p>
    <w:p w14:paraId="71A83900">
      <w:pPr>
        <w:overflowPunct w:val="0"/>
        <w:spacing w:line="480" w:lineRule="auto"/>
        <w:ind w:firstLine="420" w:firstLineChars="200"/>
        <w:jc w:val="center"/>
        <w:rPr>
          <w:rFonts w:ascii="Arial" w:hAnsi="Arial"/>
          <w:sz w:val="21"/>
          <w:szCs w:val="21"/>
        </w:rPr>
      </w:pPr>
    </w:p>
    <w:p w14:paraId="5D9F9C2D">
      <w:pPr>
        <w:overflowPunct w:val="0"/>
        <w:spacing w:line="480" w:lineRule="auto"/>
        <w:ind w:firstLine="420" w:firstLineChars="200"/>
        <w:jc w:val="center"/>
        <w:rPr>
          <w:rFonts w:ascii="Arial" w:hAnsi="Arial"/>
          <w:sz w:val="21"/>
          <w:szCs w:val="21"/>
        </w:rPr>
      </w:pPr>
    </w:p>
    <w:p w14:paraId="4F3748D5">
      <w:pPr>
        <w:overflowPunct w:val="0"/>
        <w:spacing w:line="480" w:lineRule="auto"/>
        <w:ind w:firstLine="420" w:firstLineChars="200"/>
        <w:jc w:val="center"/>
        <w:rPr>
          <w:rFonts w:ascii="Arial" w:hAnsi="Arial"/>
          <w:sz w:val="21"/>
          <w:szCs w:val="21"/>
        </w:rPr>
      </w:pPr>
    </w:p>
    <w:p w14:paraId="16F1EF18">
      <w:pPr>
        <w:overflowPunct w:val="0"/>
        <w:spacing w:line="480" w:lineRule="auto"/>
        <w:ind w:firstLine="420" w:firstLineChars="200"/>
        <w:jc w:val="center"/>
        <w:rPr>
          <w:rFonts w:ascii="Arial" w:hAnsi="Arial"/>
          <w:sz w:val="21"/>
          <w:szCs w:val="21"/>
        </w:rPr>
      </w:pPr>
    </w:p>
    <w:p w14:paraId="5A6E2BC8">
      <w:pPr>
        <w:wordWrap w:val="0"/>
        <w:overflowPunct w:val="0"/>
        <w:spacing w:line="480" w:lineRule="auto"/>
        <w:rPr>
          <w:rFonts w:ascii="Arial" w:hAnsi="Arial"/>
          <w:sz w:val="21"/>
          <w:szCs w:val="21"/>
        </w:rPr>
      </w:pPr>
    </w:p>
    <w:p w14:paraId="4F927D1C">
      <w:pPr>
        <w:wordWrap w:val="0"/>
        <w:overflowPunct w:val="0"/>
        <w:spacing w:line="480" w:lineRule="auto"/>
        <w:ind w:firstLine="420" w:firstLineChars="200"/>
        <w:rPr>
          <w:rFonts w:ascii="Arial" w:hAnsi="Arial"/>
          <w:sz w:val="21"/>
          <w:szCs w:val="21"/>
        </w:rPr>
      </w:pPr>
      <w:r>
        <w:rPr>
          <w:rFonts w:ascii="Arial" w:hAnsi="Arial"/>
          <w:sz w:val="21"/>
          <w:szCs w:val="21"/>
        </w:rPr>
        <w:br w:type="page"/>
      </w:r>
      <w:r>
        <w:rPr>
          <w:rFonts w:hint="eastAsia" w:ascii="Arial" w:hAnsi="Arial"/>
          <w:sz w:val="21"/>
          <w:szCs w:val="21"/>
        </w:rPr>
        <w:t>（2）</w:t>
      </w:r>
      <w:r>
        <w:rPr>
          <w:rFonts w:ascii="Arial" w:hAnsi="Arial"/>
          <w:sz w:val="21"/>
          <w:szCs w:val="21"/>
        </w:rPr>
        <w:t xml:space="preserve"> </w:t>
      </w:r>
      <w:r>
        <w:rPr>
          <w:rFonts w:hint="eastAsia" w:ascii="Arial" w:hAnsi="Arial"/>
          <w:sz w:val="21"/>
          <w:szCs w:val="21"/>
        </w:rPr>
        <w:t>建立比较因素条件指数表和因素比较修正系数表</w:t>
      </w:r>
      <w:r>
        <w:rPr>
          <w:rFonts w:ascii="Arial" w:hAnsi="Arial"/>
          <w:sz w:val="21"/>
          <w:szCs w:val="21"/>
        </w:rPr>
        <w:t xml:space="preserve"> </w:t>
      </w:r>
    </w:p>
    <w:p w14:paraId="41D672C3">
      <w:pPr>
        <w:wordWrap w:val="0"/>
        <w:overflowPunct w:val="0"/>
        <w:spacing w:line="480" w:lineRule="auto"/>
        <w:ind w:firstLine="420" w:firstLineChars="200"/>
        <w:rPr>
          <w:rFonts w:ascii="Arial" w:hAnsi="Arial"/>
          <w:sz w:val="21"/>
          <w:szCs w:val="21"/>
        </w:rPr>
      </w:pPr>
      <w:r>
        <w:rPr>
          <w:rFonts w:ascii="Arial" w:hAnsi="Arial"/>
          <w:sz w:val="21"/>
          <w:szCs w:val="21"/>
        </w:rPr>
        <w:t>根据对估价对象和可比案例情况的分析，把各可比案例的自身状况按照参比因素分别与估价对象的相应状况进行比较，编制比较因素条件指数表。具体如下</w:t>
      </w:r>
      <w:r>
        <w:rPr>
          <w:rFonts w:hint="eastAsia" w:ascii="Arial" w:hAnsi="Arial"/>
          <w:sz w:val="21"/>
          <w:szCs w:val="21"/>
        </w:rPr>
        <w:t>：</w:t>
      </w:r>
    </w:p>
    <w:p w14:paraId="5AFD89A4">
      <w:pPr>
        <w:overflowPunct w:val="0"/>
        <w:spacing w:line="480" w:lineRule="auto"/>
        <w:ind w:firstLine="420" w:firstLineChars="200"/>
        <w:jc w:val="center"/>
        <w:rPr>
          <w:rFonts w:ascii="Arial" w:hAnsi="Arial"/>
          <w:sz w:val="21"/>
          <w:szCs w:val="21"/>
        </w:rPr>
      </w:pPr>
      <w:r>
        <w:rPr>
          <w:rFonts w:hint="eastAsia" w:ascii="Arial" w:hAnsi="Arial"/>
          <w:sz w:val="21"/>
          <w:szCs w:val="21"/>
        </w:rPr>
        <w:t>埝坛华庭</w:t>
      </w:r>
      <w:r>
        <w:rPr>
          <w:rFonts w:ascii="Arial" w:hAnsi="Arial"/>
          <w:sz w:val="21"/>
          <w:szCs w:val="21"/>
        </w:rPr>
        <w:t>比较因素条件指数表</w:t>
      </w:r>
    </w:p>
    <w:tbl>
      <w:tblPr>
        <w:tblStyle w:val="33"/>
        <w:tblW w:w="4936" w:type="pct"/>
        <w:jc w:val="center"/>
        <w:tblLayout w:type="autofit"/>
        <w:tblCellMar>
          <w:top w:w="57" w:type="dxa"/>
          <w:left w:w="57" w:type="dxa"/>
          <w:bottom w:w="57" w:type="dxa"/>
          <w:right w:w="57" w:type="dxa"/>
        </w:tblCellMar>
      </w:tblPr>
      <w:tblGrid>
        <w:gridCol w:w="566"/>
        <w:gridCol w:w="996"/>
        <w:gridCol w:w="988"/>
        <w:gridCol w:w="988"/>
        <w:gridCol w:w="988"/>
        <w:gridCol w:w="988"/>
        <w:gridCol w:w="3779"/>
      </w:tblGrid>
      <w:tr w14:paraId="654B1689">
        <w:tblPrEx>
          <w:tblCellMar>
            <w:top w:w="57" w:type="dxa"/>
            <w:left w:w="57" w:type="dxa"/>
            <w:bottom w:w="57" w:type="dxa"/>
            <w:right w:w="57" w:type="dxa"/>
          </w:tblCellMar>
        </w:tblPrEx>
        <w:trPr>
          <w:trHeight w:val="20" w:hRule="atLeast"/>
          <w:tblHeader/>
          <w:jc w:val="center"/>
        </w:trPr>
        <w:tc>
          <w:tcPr>
            <w:tcW w:w="841" w:type="pct"/>
            <w:gridSpan w:val="2"/>
            <w:vMerge w:val="restart"/>
            <w:tcBorders>
              <w:top w:val="single" w:color="auto" w:sz="4" w:space="0"/>
              <w:left w:val="single" w:color="auto" w:sz="4" w:space="0"/>
              <w:bottom w:val="single" w:color="000000" w:sz="4" w:space="0"/>
              <w:right w:val="single" w:color="000000" w:sz="4" w:space="0"/>
              <w:tl2br w:val="single" w:color="auto" w:sz="4" w:space="0"/>
            </w:tcBorders>
            <w:vAlign w:val="center"/>
          </w:tcPr>
          <w:p w14:paraId="4B963A82">
            <w:pPr>
              <w:snapToGrid w:val="0"/>
              <w:spacing w:line="240" w:lineRule="exact"/>
              <w:jc w:val="right"/>
              <w:rPr>
                <w:rFonts w:ascii="宋体" w:hAnsi="宋体" w:cs="Arial"/>
                <w:sz w:val="16"/>
                <w:szCs w:val="18"/>
              </w:rPr>
            </w:pPr>
            <w:r>
              <w:rPr>
                <w:rFonts w:ascii="宋体" w:hAnsi="宋体" w:cs="Arial"/>
                <w:sz w:val="16"/>
                <w:szCs w:val="18"/>
              </w:rPr>
              <w:t>估价对象及</w:t>
            </w:r>
          </w:p>
          <w:p w14:paraId="5D4F7693">
            <w:pPr>
              <w:snapToGrid w:val="0"/>
              <w:spacing w:line="240" w:lineRule="exact"/>
              <w:jc w:val="right"/>
              <w:rPr>
                <w:rFonts w:ascii="宋体" w:hAnsi="宋体" w:cs="Arial"/>
                <w:sz w:val="16"/>
                <w:szCs w:val="18"/>
              </w:rPr>
            </w:pPr>
            <w:r>
              <w:rPr>
                <w:rFonts w:ascii="宋体" w:hAnsi="宋体" w:cs="Arial"/>
                <w:sz w:val="16"/>
                <w:szCs w:val="18"/>
              </w:rPr>
              <w:t>可比实例</w:t>
            </w:r>
          </w:p>
          <w:p w14:paraId="4C84CE14">
            <w:pPr>
              <w:snapToGrid w:val="0"/>
              <w:spacing w:line="240" w:lineRule="exact"/>
              <w:jc w:val="both"/>
              <w:rPr>
                <w:rFonts w:ascii="宋体" w:hAnsi="宋体" w:cs="Arial"/>
                <w:sz w:val="16"/>
                <w:szCs w:val="18"/>
              </w:rPr>
            </w:pPr>
          </w:p>
          <w:p w14:paraId="1DE2A597">
            <w:pPr>
              <w:snapToGrid w:val="0"/>
              <w:spacing w:line="240" w:lineRule="exact"/>
              <w:jc w:val="both"/>
              <w:rPr>
                <w:rFonts w:ascii="宋体" w:hAnsi="宋体" w:cs="Arial"/>
                <w:sz w:val="16"/>
                <w:szCs w:val="18"/>
              </w:rPr>
            </w:pPr>
          </w:p>
          <w:p w14:paraId="1AF760E8">
            <w:pPr>
              <w:snapToGrid w:val="0"/>
              <w:spacing w:line="240" w:lineRule="exact"/>
              <w:jc w:val="both"/>
              <w:rPr>
                <w:rFonts w:ascii="宋体" w:hAnsi="宋体" w:cs="Arial"/>
                <w:sz w:val="16"/>
                <w:szCs w:val="18"/>
              </w:rPr>
            </w:pPr>
            <w:r>
              <w:rPr>
                <w:rFonts w:ascii="宋体" w:hAnsi="宋体" w:cs="Arial"/>
                <w:sz w:val="16"/>
                <w:szCs w:val="18"/>
              </w:rPr>
              <w:t>比较因素</w:t>
            </w:r>
          </w:p>
        </w:tc>
        <w:tc>
          <w:tcPr>
            <w:tcW w:w="531" w:type="pct"/>
            <w:tcBorders>
              <w:top w:val="single" w:color="auto" w:sz="4" w:space="0"/>
              <w:left w:val="nil"/>
              <w:bottom w:val="single" w:color="auto" w:sz="4" w:space="0"/>
              <w:right w:val="single" w:color="auto" w:sz="4" w:space="0"/>
            </w:tcBorders>
            <w:vAlign w:val="center"/>
          </w:tcPr>
          <w:p w14:paraId="1F4D6FF6">
            <w:pPr>
              <w:snapToGrid w:val="0"/>
              <w:spacing w:line="240" w:lineRule="exact"/>
              <w:jc w:val="both"/>
              <w:rPr>
                <w:rFonts w:ascii="宋体" w:hAnsi="宋体" w:cs="Arial"/>
                <w:sz w:val="16"/>
                <w:szCs w:val="18"/>
              </w:rPr>
            </w:pPr>
            <w:r>
              <w:rPr>
                <w:rFonts w:ascii="宋体" w:hAnsi="宋体" w:cs="Arial"/>
                <w:sz w:val="16"/>
                <w:szCs w:val="18"/>
              </w:rPr>
              <w:t>估价对象</w:t>
            </w:r>
          </w:p>
        </w:tc>
        <w:tc>
          <w:tcPr>
            <w:tcW w:w="531" w:type="pct"/>
            <w:tcBorders>
              <w:top w:val="single" w:color="auto" w:sz="4" w:space="0"/>
              <w:left w:val="nil"/>
              <w:bottom w:val="single" w:color="auto" w:sz="4" w:space="0"/>
              <w:right w:val="single" w:color="auto" w:sz="4" w:space="0"/>
            </w:tcBorders>
            <w:vAlign w:val="center"/>
          </w:tcPr>
          <w:p w14:paraId="78CCF55F">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7</w:t>
            </w:r>
          </w:p>
        </w:tc>
        <w:tc>
          <w:tcPr>
            <w:tcW w:w="531" w:type="pct"/>
            <w:tcBorders>
              <w:top w:val="single" w:color="auto" w:sz="4" w:space="0"/>
              <w:left w:val="nil"/>
              <w:bottom w:val="single" w:color="auto" w:sz="4" w:space="0"/>
              <w:right w:val="single" w:color="auto" w:sz="4" w:space="0"/>
            </w:tcBorders>
            <w:vAlign w:val="center"/>
          </w:tcPr>
          <w:p w14:paraId="69EE48E0">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8</w:t>
            </w:r>
          </w:p>
        </w:tc>
        <w:tc>
          <w:tcPr>
            <w:tcW w:w="531" w:type="pct"/>
            <w:tcBorders>
              <w:top w:val="single" w:color="auto" w:sz="4" w:space="0"/>
              <w:left w:val="nil"/>
              <w:bottom w:val="single" w:color="auto" w:sz="4" w:space="0"/>
              <w:right w:val="single" w:color="auto" w:sz="4" w:space="0"/>
            </w:tcBorders>
            <w:vAlign w:val="center"/>
          </w:tcPr>
          <w:p w14:paraId="756EB3E1">
            <w:pPr>
              <w:snapToGrid w:val="0"/>
              <w:spacing w:line="240" w:lineRule="exact"/>
              <w:jc w:val="both"/>
              <w:rPr>
                <w:rFonts w:ascii="宋体" w:hAnsi="宋体" w:cs="Arial"/>
                <w:sz w:val="16"/>
                <w:szCs w:val="18"/>
              </w:rPr>
            </w:pPr>
            <w:r>
              <w:rPr>
                <w:rFonts w:ascii="宋体" w:hAnsi="宋体" w:cs="Arial"/>
                <w:sz w:val="16"/>
                <w:szCs w:val="18"/>
              </w:rPr>
              <w:t>可比实例</w:t>
            </w:r>
            <w:r>
              <w:rPr>
                <w:rFonts w:hint="eastAsia" w:ascii="宋体" w:hAnsi="宋体" w:cs="Arial"/>
                <w:sz w:val="16"/>
                <w:szCs w:val="18"/>
              </w:rPr>
              <w:t>9</w:t>
            </w:r>
          </w:p>
        </w:tc>
        <w:tc>
          <w:tcPr>
            <w:tcW w:w="2032" w:type="pct"/>
            <w:tcBorders>
              <w:top w:val="single" w:color="auto" w:sz="4" w:space="0"/>
              <w:left w:val="nil"/>
              <w:bottom w:val="single" w:color="auto" w:sz="4" w:space="0"/>
              <w:right w:val="single" w:color="auto" w:sz="4" w:space="0"/>
            </w:tcBorders>
            <w:vAlign w:val="center"/>
          </w:tcPr>
          <w:p w14:paraId="32F7BE44">
            <w:pPr>
              <w:snapToGrid w:val="0"/>
              <w:spacing w:line="240" w:lineRule="exact"/>
              <w:jc w:val="both"/>
              <w:rPr>
                <w:rFonts w:ascii="宋体" w:hAnsi="宋体" w:cs="Arial"/>
                <w:sz w:val="16"/>
                <w:szCs w:val="18"/>
              </w:rPr>
            </w:pPr>
            <w:r>
              <w:rPr>
                <w:rFonts w:ascii="宋体" w:hAnsi="宋体" w:cs="Arial"/>
                <w:sz w:val="16"/>
                <w:szCs w:val="18"/>
              </w:rPr>
              <w:t>比较因素调整说明</w:t>
            </w:r>
          </w:p>
        </w:tc>
      </w:tr>
      <w:tr w14:paraId="509F3779">
        <w:tblPrEx>
          <w:tblCellMar>
            <w:top w:w="57" w:type="dxa"/>
            <w:left w:w="57" w:type="dxa"/>
            <w:bottom w:w="57" w:type="dxa"/>
            <w:right w:w="57" w:type="dxa"/>
          </w:tblCellMar>
        </w:tblPrEx>
        <w:trPr>
          <w:trHeight w:val="20" w:hRule="atLeast"/>
          <w:tblHeader/>
          <w:jc w:val="center"/>
        </w:trPr>
        <w:tc>
          <w:tcPr>
            <w:tcW w:w="841" w:type="pct"/>
            <w:gridSpan w:val="2"/>
            <w:vMerge w:val="continue"/>
            <w:tcBorders>
              <w:top w:val="single" w:color="auto" w:sz="4" w:space="0"/>
              <w:left w:val="single" w:color="auto" w:sz="4" w:space="0"/>
              <w:bottom w:val="single" w:color="000000" w:sz="4" w:space="0"/>
              <w:right w:val="single" w:color="000000" w:sz="4" w:space="0"/>
            </w:tcBorders>
            <w:vAlign w:val="center"/>
          </w:tcPr>
          <w:p w14:paraId="0CAC6BD3">
            <w:pPr>
              <w:snapToGrid w:val="0"/>
              <w:spacing w:line="240" w:lineRule="exact"/>
              <w:jc w:val="both"/>
              <w:rPr>
                <w:rFonts w:ascii="宋体" w:hAnsi="宋体" w:cs="Arial"/>
                <w:sz w:val="16"/>
                <w:szCs w:val="18"/>
              </w:rPr>
            </w:pPr>
          </w:p>
        </w:tc>
        <w:tc>
          <w:tcPr>
            <w:tcW w:w="531" w:type="pct"/>
            <w:tcBorders>
              <w:top w:val="nil"/>
              <w:left w:val="nil"/>
              <w:bottom w:val="single" w:color="auto" w:sz="4" w:space="0"/>
              <w:right w:val="single" w:color="auto" w:sz="4" w:space="0"/>
            </w:tcBorders>
            <w:vAlign w:val="center"/>
          </w:tcPr>
          <w:p w14:paraId="4DB14043">
            <w:pPr>
              <w:pStyle w:val="61"/>
              <w:autoSpaceDE w:val="0"/>
              <w:autoSpaceDN w:val="0"/>
              <w:spacing w:line="240" w:lineRule="exact"/>
              <w:textAlignment w:val="bottom"/>
              <w:rPr>
                <w:rFonts w:ascii="Arial" w:hAnsi="Arial" w:cs="Arial"/>
                <w:sz w:val="16"/>
                <w:szCs w:val="18"/>
              </w:rPr>
            </w:pPr>
            <w:r>
              <w:rPr>
                <w:rFonts w:hint="eastAsia" w:ascii="Arial" w:hAnsi="Arial" w:cs="Arial"/>
                <w:sz w:val="16"/>
                <w:szCs w:val="18"/>
              </w:rPr>
              <w:t>埝坛华庭</w:t>
            </w:r>
          </w:p>
        </w:tc>
        <w:tc>
          <w:tcPr>
            <w:tcW w:w="531" w:type="pct"/>
            <w:tcBorders>
              <w:top w:val="nil"/>
              <w:left w:val="nil"/>
              <w:bottom w:val="single" w:color="auto" w:sz="4" w:space="0"/>
              <w:right w:val="single" w:color="auto" w:sz="4" w:space="0"/>
            </w:tcBorders>
            <w:vAlign w:val="center"/>
          </w:tcPr>
          <w:p w14:paraId="23FB368A">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531" w:type="pct"/>
            <w:tcBorders>
              <w:top w:val="nil"/>
              <w:left w:val="nil"/>
              <w:bottom w:val="single" w:color="auto" w:sz="4" w:space="0"/>
              <w:right w:val="single" w:color="auto" w:sz="4" w:space="0"/>
            </w:tcBorders>
            <w:vAlign w:val="center"/>
          </w:tcPr>
          <w:p w14:paraId="77680AB2">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531" w:type="pct"/>
            <w:tcBorders>
              <w:top w:val="nil"/>
              <w:left w:val="nil"/>
              <w:bottom w:val="single" w:color="auto" w:sz="4" w:space="0"/>
              <w:right w:val="single" w:color="auto" w:sz="4" w:space="0"/>
            </w:tcBorders>
            <w:vAlign w:val="center"/>
          </w:tcPr>
          <w:p w14:paraId="6D6F4233">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c>
          <w:tcPr>
            <w:tcW w:w="2032" w:type="pct"/>
            <w:tcBorders>
              <w:top w:val="nil"/>
              <w:left w:val="nil"/>
              <w:bottom w:val="single" w:color="auto" w:sz="4" w:space="0"/>
              <w:right w:val="single" w:color="auto" w:sz="4" w:space="0"/>
            </w:tcBorders>
            <w:vAlign w:val="center"/>
          </w:tcPr>
          <w:p w14:paraId="604BA253">
            <w:pPr>
              <w:snapToGrid w:val="0"/>
              <w:spacing w:line="240" w:lineRule="exact"/>
              <w:jc w:val="both"/>
              <w:rPr>
                <w:rFonts w:ascii="宋体" w:hAnsi="宋体" w:cs="Arial"/>
                <w:sz w:val="16"/>
                <w:szCs w:val="18"/>
              </w:rPr>
            </w:pPr>
            <w:r>
              <w:rPr>
                <w:rFonts w:ascii="宋体" w:hAnsi="宋体" w:cs="Arial"/>
                <w:sz w:val="16"/>
                <w:szCs w:val="18"/>
              </w:rPr>
              <w:t>——</w:t>
            </w:r>
          </w:p>
        </w:tc>
      </w:tr>
      <w:tr w14:paraId="7C05233F">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000000" w:sz="4" w:space="0"/>
            </w:tcBorders>
            <w:vAlign w:val="center"/>
          </w:tcPr>
          <w:p w14:paraId="071FF753">
            <w:pPr>
              <w:snapToGrid w:val="0"/>
              <w:spacing w:line="240" w:lineRule="exact"/>
              <w:jc w:val="both"/>
              <w:rPr>
                <w:rFonts w:ascii="宋体" w:hAnsi="宋体" w:cs="Arial"/>
                <w:sz w:val="16"/>
                <w:szCs w:val="18"/>
              </w:rPr>
            </w:pPr>
            <w:r>
              <w:rPr>
                <w:rFonts w:ascii="宋体" w:hAnsi="宋体" w:cs="Arial"/>
                <w:sz w:val="16"/>
                <w:szCs w:val="18"/>
              </w:rPr>
              <w:t>确定的租金价格（</w:t>
            </w:r>
            <w:r>
              <w:rPr>
                <w:rStyle w:val="40"/>
              </w:rPr>
              <w:commentReference w:id="18"/>
            </w:r>
            <w:r>
              <w:rPr>
                <w:rFonts w:hint="eastAsia" w:ascii="宋体" w:hAnsi="宋体" w:cs="Arial"/>
                <w:sz w:val="16"/>
                <w:szCs w:val="18"/>
                <w:lang w:eastAsia="zh-CN"/>
              </w:rPr>
              <w:t>元/平方米·月</w:t>
            </w:r>
            <w:r>
              <w:rPr>
                <w:rFonts w:ascii="宋体" w:hAnsi="宋体" w:cs="Arial"/>
                <w:sz w:val="16"/>
                <w:szCs w:val="18"/>
              </w:rPr>
              <w:t>）</w:t>
            </w:r>
          </w:p>
        </w:tc>
        <w:tc>
          <w:tcPr>
            <w:tcW w:w="531" w:type="pct"/>
            <w:tcBorders>
              <w:top w:val="nil"/>
              <w:left w:val="nil"/>
              <w:bottom w:val="single" w:color="auto" w:sz="4" w:space="0"/>
              <w:right w:val="single" w:color="auto" w:sz="4" w:space="0"/>
            </w:tcBorders>
            <w:noWrap/>
            <w:vAlign w:val="center"/>
          </w:tcPr>
          <w:p w14:paraId="705FE0E0">
            <w:pPr>
              <w:pStyle w:val="61"/>
              <w:autoSpaceDE w:val="0"/>
              <w:autoSpaceDN w:val="0"/>
              <w:spacing w:line="240" w:lineRule="exact"/>
              <w:jc w:val="left"/>
              <w:textAlignment w:val="bottom"/>
              <w:rPr>
                <w:rFonts w:hAnsi="宋体" w:cs="Arial"/>
                <w:sz w:val="16"/>
                <w:szCs w:val="18"/>
              </w:rPr>
            </w:pPr>
            <w:r>
              <w:rPr>
                <w:rFonts w:ascii="Arial" w:hAnsi="Arial" w:cs="Arial"/>
                <w:sz w:val="16"/>
                <w:szCs w:val="18"/>
              </w:rPr>
              <w:t>待估</w:t>
            </w:r>
          </w:p>
        </w:tc>
        <w:tc>
          <w:tcPr>
            <w:tcW w:w="531" w:type="pct"/>
            <w:tcBorders>
              <w:top w:val="nil"/>
              <w:left w:val="nil"/>
              <w:bottom w:val="single" w:color="auto" w:sz="4" w:space="0"/>
              <w:right w:val="single" w:color="auto" w:sz="4" w:space="0"/>
            </w:tcBorders>
            <w:noWrap/>
            <w:vAlign w:val="center"/>
          </w:tcPr>
          <w:p w14:paraId="2942D448">
            <w:pPr>
              <w:autoSpaceDE w:val="0"/>
              <w:autoSpaceDN w:val="0"/>
              <w:spacing w:line="240" w:lineRule="exact"/>
              <w:textAlignment w:val="bottom"/>
              <w:rPr>
                <w:rFonts w:ascii="Arial" w:hAnsi="Arial" w:cs="Arial"/>
                <w:sz w:val="16"/>
                <w:szCs w:val="18"/>
              </w:rPr>
            </w:pPr>
            <w:r>
              <w:rPr>
                <w:rFonts w:hint="eastAsia" w:ascii="Arial" w:hAnsi="Arial" w:cs="Arial"/>
                <w:sz w:val="16"/>
                <w:szCs w:val="18"/>
              </w:rPr>
              <w:t>33.16</w:t>
            </w:r>
          </w:p>
        </w:tc>
        <w:tc>
          <w:tcPr>
            <w:tcW w:w="531" w:type="pct"/>
            <w:tcBorders>
              <w:top w:val="nil"/>
              <w:left w:val="nil"/>
              <w:bottom w:val="single" w:color="auto" w:sz="4" w:space="0"/>
              <w:right w:val="single" w:color="auto" w:sz="4" w:space="0"/>
            </w:tcBorders>
            <w:noWrap/>
            <w:vAlign w:val="center"/>
          </w:tcPr>
          <w:p w14:paraId="03D69F02">
            <w:pPr>
              <w:autoSpaceDE w:val="0"/>
              <w:autoSpaceDN w:val="0"/>
              <w:spacing w:line="240" w:lineRule="exact"/>
              <w:textAlignment w:val="bottom"/>
              <w:rPr>
                <w:rFonts w:ascii="Arial" w:hAnsi="Arial" w:cs="Arial"/>
                <w:sz w:val="16"/>
                <w:szCs w:val="18"/>
              </w:rPr>
            </w:pPr>
            <w:r>
              <w:rPr>
                <w:rFonts w:hint="eastAsia" w:ascii="Arial" w:hAnsi="Arial" w:cs="Arial"/>
                <w:sz w:val="16"/>
                <w:szCs w:val="18"/>
              </w:rPr>
              <w:t>34.56</w:t>
            </w:r>
          </w:p>
        </w:tc>
        <w:tc>
          <w:tcPr>
            <w:tcW w:w="531" w:type="pct"/>
            <w:tcBorders>
              <w:top w:val="nil"/>
              <w:left w:val="nil"/>
              <w:bottom w:val="single" w:color="auto" w:sz="4" w:space="0"/>
              <w:right w:val="single" w:color="auto" w:sz="4" w:space="0"/>
            </w:tcBorders>
            <w:noWrap/>
            <w:vAlign w:val="center"/>
          </w:tcPr>
          <w:p w14:paraId="5B9EC2D4">
            <w:pPr>
              <w:autoSpaceDE w:val="0"/>
              <w:autoSpaceDN w:val="0"/>
              <w:spacing w:line="240" w:lineRule="exact"/>
              <w:textAlignment w:val="bottom"/>
              <w:rPr>
                <w:rFonts w:ascii="Arial" w:hAnsi="Arial" w:cs="Arial"/>
                <w:sz w:val="16"/>
                <w:szCs w:val="18"/>
              </w:rPr>
            </w:pPr>
            <w:r>
              <w:rPr>
                <w:rFonts w:hint="eastAsia" w:ascii="Arial" w:hAnsi="Arial" w:cs="Arial"/>
                <w:sz w:val="16"/>
                <w:szCs w:val="18"/>
              </w:rPr>
              <w:t>30.85</w:t>
            </w:r>
          </w:p>
        </w:tc>
        <w:tc>
          <w:tcPr>
            <w:tcW w:w="2032" w:type="pct"/>
            <w:tcBorders>
              <w:top w:val="nil"/>
              <w:left w:val="nil"/>
              <w:bottom w:val="single" w:color="auto" w:sz="4" w:space="0"/>
              <w:right w:val="single" w:color="auto" w:sz="4" w:space="0"/>
            </w:tcBorders>
            <w:vAlign w:val="center"/>
          </w:tcPr>
          <w:p w14:paraId="74A51435">
            <w:pPr>
              <w:snapToGrid w:val="0"/>
              <w:spacing w:line="240" w:lineRule="exact"/>
              <w:jc w:val="both"/>
              <w:rPr>
                <w:rFonts w:ascii="宋体" w:hAnsi="宋体" w:cs="Arial"/>
                <w:sz w:val="16"/>
                <w:szCs w:val="18"/>
              </w:rPr>
            </w:pPr>
            <w:r>
              <w:rPr>
                <w:rFonts w:ascii="宋体" w:hAnsi="宋体" w:cs="Arial"/>
                <w:sz w:val="16"/>
                <w:szCs w:val="18"/>
              </w:rPr>
              <w:t>——</w:t>
            </w:r>
          </w:p>
        </w:tc>
      </w:tr>
      <w:tr w14:paraId="288580D6">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6C261A99">
            <w:pPr>
              <w:snapToGrid w:val="0"/>
              <w:spacing w:line="240" w:lineRule="exact"/>
              <w:jc w:val="both"/>
              <w:rPr>
                <w:rFonts w:ascii="宋体" w:hAnsi="宋体" w:cs="Arial"/>
                <w:sz w:val="16"/>
                <w:szCs w:val="18"/>
              </w:rPr>
            </w:pPr>
            <w:r>
              <w:rPr>
                <w:rFonts w:ascii="宋体" w:hAnsi="宋体" w:cs="Arial"/>
                <w:sz w:val="16"/>
                <w:szCs w:val="18"/>
              </w:rPr>
              <w:t>交易时间</w:t>
            </w:r>
          </w:p>
        </w:tc>
        <w:tc>
          <w:tcPr>
            <w:tcW w:w="531" w:type="pct"/>
            <w:tcBorders>
              <w:top w:val="nil"/>
              <w:left w:val="nil"/>
              <w:bottom w:val="single" w:color="auto" w:sz="4" w:space="0"/>
              <w:right w:val="single" w:color="auto" w:sz="4" w:space="0"/>
            </w:tcBorders>
            <w:noWrap/>
            <w:vAlign w:val="center"/>
          </w:tcPr>
          <w:p w14:paraId="0CD7636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0C6D8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DD3E14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4779626">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3AC812C9">
            <w:pPr>
              <w:snapToGrid w:val="0"/>
              <w:spacing w:line="240" w:lineRule="exact"/>
              <w:jc w:val="both"/>
              <w:rPr>
                <w:rFonts w:ascii="Arial" w:hAnsi="Arial" w:cs="Arial"/>
                <w:sz w:val="16"/>
                <w:szCs w:val="18"/>
              </w:rPr>
            </w:pPr>
            <w:r>
              <w:rPr>
                <w:rFonts w:ascii="Arial" w:hAnsi="Arial" w:cs="Arial"/>
                <w:sz w:val="16"/>
                <w:szCs w:val="18"/>
              </w:rPr>
              <w:t>估价对象与可比实例的交易时间一致，因此确定估价对象与可比实例该因素指数均为100；</w:t>
            </w:r>
          </w:p>
        </w:tc>
      </w:tr>
      <w:tr w14:paraId="1F9E9088">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24AC6716">
            <w:pPr>
              <w:snapToGrid w:val="0"/>
              <w:spacing w:line="240" w:lineRule="exact"/>
              <w:jc w:val="both"/>
              <w:rPr>
                <w:rFonts w:ascii="宋体" w:hAnsi="宋体" w:cs="Arial"/>
                <w:sz w:val="16"/>
                <w:szCs w:val="18"/>
              </w:rPr>
            </w:pPr>
            <w:r>
              <w:rPr>
                <w:rFonts w:ascii="宋体" w:hAnsi="宋体" w:cs="Arial"/>
                <w:sz w:val="16"/>
                <w:szCs w:val="18"/>
              </w:rPr>
              <w:t>交易情况</w:t>
            </w:r>
          </w:p>
        </w:tc>
        <w:tc>
          <w:tcPr>
            <w:tcW w:w="531" w:type="pct"/>
            <w:tcBorders>
              <w:top w:val="nil"/>
              <w:left w:val="nil"/>
              <w:bottom w:val="single" w:color="auto" w:sz="4" w:space="0"/>
              <w:right w:val="single" w:color="auto" w:sz="4" w:space="0"/>
            </w:tcBorders>
            <w:noWrap/>
            <w:vAlign w:val="center"/>
          </w:tcPr>
          <w:p w14:paraId="04FB8C9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14C346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383F15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7CE9C3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C4B4B8F">
            <w:pPr>
              <w:snapToGrid w:val="0"/>
              <w:spacing w:line="240" w:lineRule="exact"/>
              <w:jc w:val="both"/>
              <w:rPr>
                <w:rFonts w:ascii="Arial" w:hAnsi="Arial" w:cs="Arial"/>
                <w:sz w:val="16"/>
                <w:szCs w:val="18"/>
              </w:rPr>
            </w:pPr>
            <w:r>
              <w:rPr>
                <w:rFonts w:ascii="Arial" w:hAnsi="Arial" w:cs="Arial"/>
                <w:sz w:val="16"/>
                <w:szCs w:val="18"/>
              </w:rPr>
              <w:t>可比实例均为正常交易或已修正为正常交易，故不予修正，交易情况指数均100；</w:t>
            </w:r>
          </w:p>
        </w:tc>
      </w:tr>
      <w:tr w14:paraId="1220F5EB">
        <w:tblPrEx>
          <w:tblCellMar>
            <w:top w:w="57" w:type="dxa"/>
            <w:left w:w="57" w:type="dxa"/>
            <w:bottom w:w="57" w:type="dxa"/>
            <w:right w:w="57" w:type="dxa"/>
          </w:tblCellMar>
        </w:tblPrEx>
        <w:trPr>
          <w:trHeight w:val="20" w:hRule="atLeast"/>
          <w:jc w:val="center"/>
        </w:trPr>
        <w:tc>
          <w:tcPr>
            <w:tcW w:w="841" w:type="pct"/>
            <w:gridSpan w:val="2"/>
            <w:tcBorders>
              <w:top w:val="single" w:color="auto" w:sz="4" w:space="0"/>
              <w:left w:val="single" w:color="auto" w:sz="4" w:space="0"/>
              <w:bottom w:val="single" w:color="auto" w:sz="4" w:space="0"/>
              <w:right w:val="single" w:color="auto" w:sz="4" w:space="0"/>
            </w:tcBorders>
            <w:vAlign w:val="center"/>
          </w:tcPr>
          <w:p w14:paraId="211B7452">
            <w:pPr>
              <w:snapToGrid w:val="0"/>
              <w:spacing w:line="240" w:lineRule="exact"/>
              <w:jc w:val="both"/>
              <w:rPr>
                <w:rFonts w:ascii="宋体" w:hAnsi="宋体" w:cs="Arial"/>
                <w:sz w:val="16"/>
                <w:szCs w:val="18"/>
              </w:rPr>
            </w:pPr>
            <w:r>
              <w:rPr>
                <w:rFonts w:ascii="宋体" w:hAnsi="宋体" w:cs="Arial"/>
                <w:sz w:val="16"/>
                <w:szCs w:val="18"/>
              </w:rPr>
              <w:t>项目类型</w:t>
            </w:r>
          </w:p>
        </w:tc>
        <w:tc>
          <w:tcPr>
            <w:tcW w:w="531" w:type="pct"/>
            <w:tcBorders>
              <w:top w:val="nil"/>
              <w:left w:val="nil"/>
              <w:bottom w:val="single" w:color="auto" w:sz="4" w:space="0"/>
              <w:right w:val="single" w:color="auto" w:sz="4" w:space="0"/>
            </w:tcBorders>
            <w:noWrap/>
            <w:vAlign w:val="center"/>
          </w:tcPr>
          <w:p w14:paraId="354A292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918D1C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8354DC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FF5E75E">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7B9E8B3">
            <w:pPr>
              <w:snapToGrid w:val="0"/>
              <w:spacing w:line="240" w:lineRule="exact"/>
              <w:jc w:val="both"/>
              <w:rPr>
                <w:rFonts w:ascii="Arial" w:hAnsi="Arial" w:cs="Arial"/>
                <w:sz w:val="16"/>
                <w:szCs w:val="18"/>
              </w:rPr>
            </w:pPr>
            <w:r>
              <w:rPr>
                <w:rFonts w:ascii="Arial" w:hAnsi="Arial" w:cs="Arial"/>
                <w:sz w:val="16"/>
                <w:szCs w:val="18"/>
              </w:rPr>
              <w:t>可比实例均为</w:t>
            </w:r>
            <w:r>
              <w:rPr>
                <w:rFonts w:hint="eastAsia" w:ascii="Arial" w:hAnsi="Arial" w:cs="Arial"/>
                <w:sz w:val="16"/>
                <w:szCs w:val="18"/>
              </w:rPr>
              <w:t>住宅</w:t>
            </w:r>
            <w:r>
              <w:rPr>
                <w:rFonts w:ascii="Arial" w:hAnsi="Arial" w:cs="Arial"/>
                <w:sz w:val="16"/>
                <w:szCs w:val="18"/>
              </w:rPr>
              <w:t>，故不予修正，交易情况指数均100；</w:t>
            </w:r>
          </w:p>
        </w:tc>
      </w:tr>
      <w:tr w14:paraId="3A75698B">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1586F883">
            <w:pPr>
              <w:snapToGrid w:val="0"/>
              <w:spacing w:line="240" w:lineRule="exact"/>
              <w:jc w:val="both"/>
              <w:rPr>
                <w:rFonts w:ascii="宋体" w:hAnsi="宋体" w:cs="Arial"/>
                <w:sz w:val="16"/>
                <w:szCs w:val="18"/>
              </w:rPr>
            </w:pPr>
            <w:r>
              <w:rPr>
                <w:rFonts w:ascii="宋体" w:hAnsi="宋体" w:cs="Arial"/>
                <w:sz w:val="16"/>
                <w:szCs w:val="18"/>
              </w:rPr>
              <w:t>区域</w:t>
            </w:r>
          </w:p>
          <w:p w14:paraId="75F87FA5">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5945D6C6">
            <w:pPr>
              <w:widowControl/>
              <w:adjustRightInd/>
              <w:spacing w:line="240" w:lineRule="auto"/>
              <w:jc w:val="center"/>
              <w:textAlignment w:val="auto"/>
              <w:rPr>
                <w:rFonts w:ascii="宋体" w:hAnsi="宋体" w:cs="Arial"/>
                <w:sz w:val="16"/>
                <w:szCs w:val="18"/>
              </w:rPr>
            </w:pPr>
            <w:r>
              <w:rPr>
                <w:rFonts w:ascii="宋体" w:hAnsi="宋体" w:cs="Arial"/>
                <w:sz w:val="16"/>
                <w:szCs w:val="18"/>
              </w:rPr>
              <w:t>居住区成熟度</w:t>
            </w:r>
          </w:p>
        </w:tc>
        <w:tc>
          <w:tcPr>
            <w:tcW w:w="531" w:type="pct"/>
            <w:tcBorders>
              <w:top w:val="nil"/>
              <w:left w:val="nil"/>
              <w:bottom w:val="single" w:color="auto" w:sz="4" w:space="0"/>
              <w:right w:val="single" w:color="auto" w:sz="4" w:space="0"/>
            </w:tcBorders>
            <w:noWrap/>
            <w:vAlign w:val="center"/>
          </w:tcPr>
          <w:p w14:paraId="674D5141">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C3316F6">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F04A7D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0A8DAF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8E453F4">
            <w:pPr>
              <w:snapToGrid w:val="0"/>
              <w:spacing w:line="240" w:lineRule="exact"/>
              <w:jc w:val="both"/>
              <w:rPr>
                <w:rFonts w:ascii="Arial" w:hAnsi="Arial" w:cs="Arial"/>
                <w:sz w:val="16"/>
                <w:szCs w:val="18"/>
              </w:rPr>
            </w:pPr>
            <w:r>
              <w:rPr>
                <w:rFonts w:ascii="Arial" w:hAnsi="Arial" w:cs="Arial"/>
                <w:sz w:val="16"/>
                <w:szCs w:val="18"/>
              </w:rPr>
              <w:t>从好到差划分为优、较优、一般、较劣、劣五个等级，每个等级相差</w:t>
            </w:r>
            <w:r>
              <w:rPr>
                <w:rFonts w:hint="eastAsia" w:ascii="Arial" w:hAnsi="Arial" w:cs="Arial"/>
                <w:sz w:val="16"/>
                <w:szCs w:val="18"/>
              </w:rPr>
              <w:t>2</w:t>
            </w:r>
            <w:r>
              <w:rPr>
                <w:rFonts w:ascii="Arial" w:hAnsi="Arial" w:cs="Arial"/>
                <w:sz w:val="16"/>
                <w:szCs w:val="18"/>
              </w:rPr>
              <w:t>分，确定可比实例1、2、3该因素指数分别为10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2413988A">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455ED24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1B61DB9">
            <w:pPr>
              <w:widowControl/>
              <w:adjustRightInd/>
              <w:spacing w:line="240" w:lineRule="auto"/>
              <w:jc w:val="center"/>
              <w:textAlignment w:val="auto"/>
              <w:rPr>
                <w:rFonts w:ascii="宋体" w:hAnsi="宋体" w:cs="Arial"/>
                <w:sz w:val="16"/>
                <w:szCs w:val="18"/>
              </w:rPr>
            </w:pPr>
            <w:r>
              <w:rPr>
                <w:rFonts w:ascii="宋体" w:hAnsi="宋体" w:cs="Arial"/>
                <w:sz w:val="16"/>
                <w:szCs w:val="18"/>
              </w:rPr>
              <w:t>道路通达度</w:t>
            </w:r>
          </w:p>
        </w:tc>
        <w:tc>
          <w:tcPr>
            <w:tcW w:w="531" w:type="pct"/>
            <w:tcBorders>
              <w:top w:val="nil"/>
              <w:left w:val="nil"/>
              <w:bottom w:val="single" w:color="auto" w:sz="4" w:space="0"/>
              <w:right w:val="single" w:color="auto" w:sz="4" w:space="0"/>
            </w:tcBorders>
            <w:noWrap/>
            <w:vAlign w:val="center"/>
          </w:tcPr>
          <w:p w14:paraId="229F2EE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FD8297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2BAAAB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E351AE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657097C">
            <w:pPr>
              <w:snapToGrid w:val="0"/>
              <w:spacing w:line="240" w:lineRule="exact"/>
              <w:jc w:val="both"/>
              <w:rPr>
                <w:rFonts w:ascii="Arial" w:hAnsi="Arial" w:cs="Arial"/>
                <w:sz w:val="16"/>
                <w:szCs w:val="18"/>
              </w:rPr>
            </w:pPr>
            <w:r>
              <w:rPr>
                <w:rFonts w:ascii="Arial" w:hAnsi="Arial" w:cs="Arial"/>
                <w:sz w:val="16"/>
                <w:szCs w:val="18"/>
              </w:rPr>
              <w:t>按照距离干道的距离和干道等级分为优、较优、一般、较劣、劣五个等级，每个等级相差2分，确定可比实例1、2、3该因素指数分别为100、100、100；</w:t>
            </w:r>
          </w:p>
        </w:tc>
      </w:tr>
      <w:tr w14:paraId="08ADC9F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ECFAC58">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0136704">
            <w:pPr>
              <w:widowControl/>
              <w:adjustRightInd/>
              <w:spacing w:line="240" w:lineRule="auto"/>
              <w:jc w:val="center"/>
              <w:textAlignment w:val="auto"/>
              <w:rPr>
                <w:rFonts w:ascii="宋体" w:hAnsi="宋体" w:cs="Arial"/>
                <w:sz w:val="16"/>
                <w:szCs w:val="18"/>
              </w:rPr>
            </w:pPr>
            <w:r>
              <w:rPr>
                <w:rFonts w:ascii="宋体" w:hAnsi="宋体" w:cs="Arial"/>
                <w:sz w:val="16"/>
                <w:szCs w:val="18"/>
              </w:rPr>
              <w:t>距离轨道交通站点距离</w:t>
            </w:r>
          </w:p>
        </w:tc>
        <w:tc>
          <w:tcPr>
            <w:tcW w:w="531" w:type="pct"/>
            <w:tcBorders>
              <w:top w:val="nil"/>
              <w:left w:val="nil"/>
              <w:bottom w:val="single" w:color="auto" w:sz="4" w:space="0"/>
              <w:right w:val="single" w:color="auto" w:sz="4" w:space="0"/>
            </w:tcBorders>
            <w:noWrap/>
            <w:vAlign w:val="center"/>
          </w:tcPr>
          <w:p w14:paraId="2363BD0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4576E5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6930CD4E">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1041110A">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B376F19">
            <w:pPr>
              <w:snapToGrid w:val="0"/>
              <w:spacing w:line="240" w:lineRule="exact"/>
              <w:jc w:val="both"/>
              <w:rPr>
                <w:rFonts w:ascii="Arial" w:hAnsi="Arial" w:cs="Arial"/>
                <w:sz w:val="16"/>
                <w:szCs w:val="18"/>
              </w:rPr>
            </w:pPr>
            <w:r>
              <w:rPr>
                <w:rFonts w:ascii="Arial" w:hAnsi="Arial" w:cs="Arial"/>
                <w:sz w:val="16"/>
                <w:szCs w:val="18"/>
              </w:rPr>
              <w:t>按照距离轨道交通的距离，0.5km为一档，每个等级相差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100</w:t>
            </w:r>
            <w:r>
              <w:rPr>
                <w:rFonts w:ascii="Arial" w:hAnsi="Arial" w:cs="Arial"/>
                <w:sz w:val="16"/>
                <w:szCs w:val="18"/>
              </w:rPr>
              <w:t>；</w:t>
            </w:r>
          </w:p>
        </w:tc>
      </w:tr>
      <w:tr w14:paraId="1F24A16F">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E2A68F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C0AA4B4">
            <w:pPr>
              <w:widowControl/>
              <w:adjustRightInd/>
              <w:spacing w:line="240" w:lineRule="auto"/>
              <w:jc w:val="center"/>
              <w:textAlignment w:val="auto"/>
              <w:rPr>
                <w:rFonts w:ascii="宋体" w:hAnsi="宋体" w:cs="Arial"/>
                <w:sz w:val="16"/>
                <w:szCs w:val="18"/>
              </w:rPr>
            </w:pPr>
            <w:r>
              <w:rPr>
                <w:rFonts w:ascii="宋体" w:hAnsi="宋体" w:cs="Arial"/>
                <w:sz w:val="16"/>
                <w:szCs w:val="18"/>
              </w:rPr>
              <w:t>距离公交站点距离</w:t>
            </w:r>
          </w:p>
        </w:tc>
        <w:tc>
          <w:tcPr>
            <w:tcW w:w="531" w:type="pct"/>
            <w:tcBorders>
              <w:top w:val="nil"/>
              <w:left w:val="nil"/>
              <w:bottom w:val="single" w:color="auto" w:sz="4" w:space="0"/>
              <w:right w:val="single" w:color="auto" w:sz="4" w:space="0"/>
            </w:tcBorders>
            <w:noWrap/>
            <w:vAlign w:val="center"/>
          </w:tcPr>
          <w:p w14:paraId="0F5D4B5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920C43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491449D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A62CC5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B455D9A">
            <w:pPr>
              <w:snapToGrid w:val="0"/>
              <w:spacing w:line="240" w:lineRule="exact"/>
              <w:jc w:val="both"/>
              <w:rPr>
                <w:rFonts w:ascii="Arial" w:hAnsi="Arial" w:cs="Arial"/>
                <w:sz w:val="16"/>
                <w:szCs w:val="18"/>
              </w:rPr>
            </w:pPr>
            <w:r>
              <w:rPr>
                <w:rFonts w:ascii="Arial" w:hAnsi="Arial" w:cs="Arial"/>
                <w:sz w:val="16"/>
                <w:szCs w:val="18"/>
              </w:rPr>
              <w:t>按照距离公交站点的距离，0.5km为一档，每个等级相差2分，确定可比实例1、2、3该因素指数分别为100、100、100；</w:t>
            </w:r>
          </w:p>
        </w:tc>
      </w:tr>
      <w:tr w14:paraId="487153D2">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B51D38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D2D92D9">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环境质量优劣度</w:t>
            </w:r>
          </w:p>
        </w:tc>
        <w:tc>
          <w:tcPr>
            <w:tcW w:w="531" w:type="pct"/>
            <w:tcBorders>
              <w:top w:val="nil"/>
              <w:left w:val="nil"/>
              <w:bottom w:val="single" w:color="auto" w:sz="4" w:space="0"/>
              <w:right w:val="single" w:color="auto" w:sz="4" w:space="0"/>
            </w:tcBorders>
            <w:noWrap/>
            <w:vAlign w:val="center"/>
          </w:tcPr>
          <w:p w14:paraId="08678BB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768A3B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45D2C9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85AFBF">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4B40003">
            <w:pPr>
              <w:snapToGrid w:val="0"/>
              <w:spacing w:line="240" w:lineRule="exact"/>
              <w:jc w:val="both"/>
              <w:rPr>
                <w:rFonts w:ascii="Arial" w:hAnsi="Arial" w:cs="Arial"/>
                <w:sz w:val="16"/>
                <w:szCs w:val="18"/>
              </w:rPr>
            </w:pPr>
            <w:r>
              <w:rPr>
                <w:rFonts w:hint="eastAsia" w:ascii="Arial" w:hAnsi="Arial" w:cs="Arial"/>
                <w:sz w:val="16"/>
                <w:szCs w:val="18"/>
              </w:rPr>
              <w:t>根据周边污染源的范围，判断优劣，每档相差2分</w:t>
            </w:r>
            <w:r>
              <w:rPr>
                <w:rFonts w:ascii="Arial" w:hAnsi="Arial" w:cs="Arial"/>
                <w:sz w:val="16"/>
                <w:szCs w:val="18"/>
              </w:rPr>
              <w:t>，确定可比实例1、2、3该因素指数分别为100、100、100</w:t>
            </w:r>
            <w:r>
              <w:rPr>
                <w:rFonts w:hint="eastAsia" w:ascii="Arial" w:hAnsi="Arial" w:cs="Arial"/>
                <w:sz w:val="16"/>
                <w:szCs w:val="18"/>
              </w:rPr>
              <w:t>；</w:t>
            </w:r>
          </w:p>
        </w:tc>
      </w:tr>
      <w:tr w14:paraId="68558B8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EA98C3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975B7B0">
            <w:pPr>
              <w:widowControl/>
              <w:adjustRightInd/>
              <w:spacing w:line="240" w:lineRule="auto"/>
              <w:jc w:val="center"/>
              <w:textAlignment w:val="auto"/>
              <w:rPr>
                <w:rFonts w:ascii="宋体" w:hAnsi="宋体" w:cs="Arial"/>
                <w:sz w:val="16"/>
                <w:szCs w:val="18"/>
              </w:rPr>
            </w:pPr>
            <w:r>
              <w:rPr>
                <w:rFonts w:ascii="宋体" w:hAnsi="宋体" w:cs="Arial"/>
                <w:sz w:val="16"/>
                <w:szCs w:val="18"/>
              </w:rPr>
              <w:t>自然环境</w:t>
            </w:r>
          </w:p>
        </w:tc>
        <w:tc>
          <w:tcPr>
            <w:tcW w:w="531" w:type="pct"/>
            <w:tcBorders>
              <w:top w:val="nil"/>
              <w:left w:val="nil"/>
              <w:bottom w:val="single" w:color="auto" w:sz="4" w:space="0"/>
              <w:right w:val="single" w:color="auto" w:sz="4" w:space="0"/>
            </w:tcBorders>
            <w:noWrap/>
            <w:vAlign w:val="center"/>
          </w:tcPr>
          <w:p w14:paraId="04147EE8">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15544F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F4300B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7FF9B3">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509B13DB">
            <w:pPr>
              <w:snapToGrid w:val="0"/>
              <w:spacing w:line="240" w:lineRule="exact"/>
              <w:jc w:val="both"/>
              <w:rPr>
                <w:rFonts w:ascii="Arial" w:hAnsi="Arial" w:cs="Arial"/>
                <w:sz w:val="16"/>
                <w:szCs w:val="18"/>
              </w:rPr>
            </w:pPr>
            <w:r>
              <w:rPr>
                <w:rFonts w:ascii="Arial" w:hAnsi="Arial" w:cs="Arial"/>
                <w:sz w:val="16"/>
                <w:szCs w:val="18"/>
              </w:rPr>
              <w:t>从好到差划分为好、较好、一般、较差、差五个等级，每个等级相差2分，确定可比实例1、2、3该因素指数分别为100、100、100；</w:t>
            </w:r>
          </w:p>
        </w:tc>
      </w:tr>
      <w:tr w14:paraId="40C1A173">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34D5B0A0">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04E5BF06">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小区环境</w:t>
            </w:r>
          </w:p>
        </w:tc>
        <w:tc>
          <w:tcPr>
            <w:tcW w:w="531" w:type="pct"/>
            <w:tcBorders>
              <w:top w:val="nil"/>
              <w:left w:val="nil"/>
              <w:bottom w:val="single" w:color="auto" w:sz="4" w:space="0"/>
              <w:right w:val="single" w:color="auto" w:sz="4" w:space="0"/>
            </w:tcBorders>
            <w:noWrap/>
            <w:vAlign w:val="center"/>
          </w:tcPr>
          <w:p w14:paraId="7CDDF4EF">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A0A7805">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EAB5A1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EAD05DD">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4EC6EEBD">
            <w:pPr>
              <w:snapToGrid w:val="0"/>
              <w:spacing w:line="240" w:lineRule="exact"/>
              <w:jc w:val="both"/>
              <w:rPr>
                <w:rFonts w:ascii="Arial" w:hAnsi="Arial" w:cs="Arial"/>
                <w:sz w:val="16"/>
                <w:szCs w:val="18"/>
              </w:rPr>
            </w:pPr>
            <w:r>
              <w:rPr>
                <w:rFonts w:hint="eastAsia" w:ascii="Arial" w:hAnsi="Arial" w:cs="Arial"/>
                <w:sz w:val="16"/>
                <w:szCs w:val="18"/>
              </w:rPr>
              <w:t>根据小区道路、绿化率、景观设计及人车分流情况分为一档，每级相差1分，</w:t>
            </w:r>
            <w:r>
              <w:rPr>
                <w:rFonts w:ascii="Arial" w:hAnsi="Arial" w:cs="Arial"/>
                <w:sz w:val="16"/>
                <w:szCs w:val="18"/>
              </w:rPr>
              <w:t>确定可比实例1、2、3该因素指数分别为100、100、100；</w:t>
            </w:r>
          </w:p>
        </w:tc>
      </w:tr>
      <w:tr w14:paraId="32597141">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5F5B9BFB">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87BD8E7">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公共服务设施状况</w:t>
            </w:r>
          </w:p>
        </w:tc>
        <w:tc>
          <w:tcPr>
            <w:tcW w:w="531" w:type="pct"/>
            <w:tcBorders>
              <w:top w:val="nil"/>
              <w:left w:val="nil"/>
              <w:bottom w:val="single" w:color="auto" w:sz="4" w:space="0"/>
              <w:right w:val="single" w:color="auto" w:sz="4" w:space="0"/>
            </w:tcBorders>
            <w:noWrap/>
            <w:vAlign w:val="center"/>
          </w:tcPr>
          <w:p w14:paraId="223D054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9FFB209">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15DBCD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4216496">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01C8CFD">
            <w:pPr>
              <w:snapToGrid w:val="0"/>
              <w:spacing w:line="240" w:lineRule="exact"/>
              <w:jc w:val="both"/>
              <w:rPr>
                <w:rFonts w:ascii="Arial" w:hAnsi="Arial" w:cs="Arial"/>
                <w:sz w:val="16"/>
                <w:szCs w:val="18"/>
              </w:rPr>
            </w:pPr>
            <w:r>
              <w:rPr>
                <w:rFonts w:ascii="Arial" w:hAnsi="Arial" w:cs="Arial"/>
                <w:sz w:val="16"/>
                <w:szCs w:val="18"/>
              </w:rPr>
              <w:t>从好到差划分为齐全、较齐全、一般、较不齐全、不齐全五个等级，每个等级相差</w:t>
            </w:r>
            <w:r>
              <w:rPr>
                <w:rFonts w:hint="eastAsia" w:ascii="Arial" w:hAnsi="Arial" w:cs="Arial"/>
                <w:sz w:val="16"/>
                <w:szCs w:val="18"/>
              </w:rPr>
              <w:t>2</w:t>
            </w:r>
            <w:r>
              <w:rPr>
                <w:rFonts w:ascii="Arial" w:hAnsi="Arial" w:cs="Arial"/>
                <w:sz w:val="16"/>
                <w:szCs w:val="18"/>
              </w:rPr>
              <w:t>分，确定可比实例1、2、3该因素指数分别为100、100、</w:t>
            </w:r>
            <w:r>
              <w:rPr>
                <w:rFonts w:hint="eastAsia" w:ascii="Arial" w:hAnsi="Arial" w:cs="Arial"/>
                <w:sz w:val="16"/>
                <w:szCs w:val="18"/>
              </w:rPr>
              <w:t>100</w:t>
            </w:r>
            <w:r>
              <w:rPr>
                <w:rFonts w:ascii="Arial" w:hAnsi="Arial" w:cs="Arial"/>
                <w:sz w:val="16"/>
                <w:szCs w:val="18"/>
              </w:rPr>
              <w:t>；</w:t>
            </w:r>
          </w:p>
        </w:tc>
      </w:tr>
      <w:tr w14:paraId="7DB79B1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2C5A8CA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8D3D8DD">
            <w:pPr>
              <w:widowControl/>
              <w:adjustRightInd/>
              <w:spacing w:line="240" w:lineRule="auto"/>
              <w:jc w:val="center"/>
              <w:textAlignment w:val="auto"/>
              <w:rPr>
                <w:rFonts w:ascii="宋体" w:hAnsi="宋体" w:cs="Arial"/>
                <w:sz w:val="16"/>
                <w:szCs w:val="18"/>
              </w:rPr>
            </w:pPr>
            <w:r>
              <w:rPr>
                <w:rFonts w:hint="eastAsia" w:ascii="宋体" w:hAnsi="宋体" w:cs="Arial"/>
                <w:sz w:val="16"/>
                <w:szCs w:val="18"/>
              </w:rPr>
              <w:t>建筑类型</w:t>
            </w:r>
          </w:p>
        </w:tc>
        <w:tc>
          <w:tcPr>
            <w:tcW w:w="531" w:type="pct"/>
            <w:tcBorders>
              <w:top w:val="nil"/>
              <w:left w:val="nil"/>
              <w:bottom w:val="single" w:color="auto" w:sz="4" w:space="0"/>
              <w:right w:val="single" w:color="auto" w:sz="4" w:space="0"/>
            </w:tcBorders>
            <w:noWrap/>
            <w:vAlign w:val="center"/>
          </w:tcPr>
          <w:p w14:paraId="62334E1B">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5484802">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20FF6BA4">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531" w:type="pct"/>
            <w:tcBorders>
              <w:top w:val="nil"/>
              <w:left w:val="nil"/>
              <w:bottom w:val="single" w:color="auto" w:sz="4" w:space="0"/>
              <w:right w:val="single" w:color="auto" w:sz="4" w:space="0"/>
            </w:tcBorders>
            <w:noWrap/>
            <w:vAlign w:val="center"/>
          </w:tcPr>
          <w:p w14:paraId="01D1302C">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4</w:t>
            </w:r>
          </w:p>
        </w:tc>
        <w:tc>
          <w:tcPr>
            <w:tcW w:w="2032" w:type="pct"/>
            <w:tcBorders>
              <w:top w:val="nil"/>
              <w:left w:val="nil"/>
              <w:bottom w:val="single" w:color="auto" w:sz="4" w:space="0"/>
              <w:right w:val="single" w:color="auto" w:sz="4" w:space="0"/>
            </w:tcBorders>
            <w:vAlign w:val="center"/>
          </w:tcPr>
          <w:p w14:paraId="5131C74C">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多层板楼、小高层板楼、高层板楼、板塔结合、塔楼五</w:t>
            </w:r>
            <w:r>
              <w:rPr>
                <w:rFonts w:ascii="Arial" w:hAnsi="Arial" w:cs="Arial"/>
                <w:sz w:val="16"/>
                <w:szCs w:val="18"/>
              </w:rPr>
              <w:t>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104</w:t>
            </w:r>
            <w:r>
              <w:rPr>
                <w:rFonts w:ascii="Arial" w:hAnsi="Arial" w:cs="Arial"/>
                <w:sz w:val="16"/>
                <w:szCs w:val="18"/>
              </w:rPr>
              <w:t>、</w:t>
            </w:r>
            <w:r>
              <w:rPr>
                <w:rFonts w:hint="eastAsia" w:ascii="Arial" w:hAnsi="Arial" w:cs="Arial"/>
                <w:sz w:val="16"/>
                <w:szCs w:val="18"/>
              </w:rPr>
              <w:t>104</w:t>
            </w:r>
            <w:r>
              <w:rPr>
                <w:rFonts w:ascii="Arial" w:hAnsi="Arial" w:cs="Arial"/>
                <w:sz w:val="16"/>
                <w:szCs w:val="18"/>
              </w:rPr>
              <w:t>、10</w:t>
            </w:r>
            <w:r>
              <w:rPr>
                <w:rFonts w:hint="eastAsia" w:ascii="Arial" w:hAnsi="Arial" w:cs="Arial"/>
                <w:sz w:val="16"/>
                <w:szCs w:val="18"/>
              </w:rPr>
              <w:t>4</w:t>
            </w:r>
            <w:r>
              <w:rPr>
                <w:rFonts w:ascii="Arial" w:hAnsi="Arial" w:cs="Arial"/>
                <w:sz w:val="16"/>
                <w:szCs w:val="18"/>
              </w:rPr>
              <w:t>；</w:t>
            </w:r>
          </w:p>
        </w:tc>
      </w:tr>
      <w:tr w14:paraId="5477BA34">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07C64C41">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D680D63">
            <w:pPr>
              <w:widowControl/>
              <w:adjustRightInd/>
              <w:spacing w:line="240" w:lineRule="auto"/>
              <w:jc w:val="center"/>
              <w:textAlignment w:val="auto"/>
              <w:rPr>
                <w:rFonts w:ascii="宋体" w:hAnsi="宋体" w:cs="Arial"/>
                <w:sz w:val="16"/>
                <w:szCs w:val="18"/>
              </w:rPr>
            </w:pPr>
            <w:r>
              <w:rPr>
                <w:rFonts w:ascii="宋体" w:hAnsi="宋体" w:cs="Arial"/>
                <w:sz w:val="16"/>
                <w:szCs w:val="18"/>
              </w:rPr>
              <w:t>楼层</w:t>
            </w:r>
          </w:p>
        </w:tc>
        <w:tc>
          <w:tcPr>
            <w:tcW w:w="531" w:type="pct"/>
            <w:tcBorders>
              <w:top w:val="nil"/>
              <w:left w:val="nil"/>
              <w:bottom w:val="single" w:color="auto" w:sz="4" w:space="0"/>
              <w:right w:val="single" w:color="auto" w:sz="4" w:space="0"/>
            </w:tcBorders>
            <w:noWrap/>
            <w:vAlign w:val="center"/>
          </w:tcPr>
          <w:p w14:paraId="7BD67C8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E73767E">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E95B5EF">
            <w:pPr>
              <w:snapToGrid w:val="0"/>
              <w:spacing w:line="240" w:lineRule="exact"/>
              <w:jc w:val="both"/>
              <w:rPr>
                <w:rFonts w:ascii="Arial" w:hAnsi="Arial" w:cs="Arial"/>
                <w:sz w:val="16"/>
                <w:szCs w:val="18"/>
              </w:rPr>
            </w:pPr>
            <w:r>
              <w:rPr>
                <w:rFonts w:hint="eastAsia" w:ascii="Arial" w:hAnsi="Arial" w:cs="Arial"/>
                <w:sz w:val="16"/>
                <w:szCs w:val="18"/>
              </w:rPr>
              <w:t>98</w:t>
            </w:r>
          </w:p>
        </w:tc>
        <w:tc>
          <w:tcPr>
            <w:tcW w:w="531" w:type="pct"/>
            <w:tcBorders>
              <w:top w:val="nil"/>
              <w:left w:val="nil"/>
              <w:bottom w:val="single" w:color="auto" w:sz="4" w:space="0"/>
              <w:right w:val="single" w:color="auto" w:sz="4" w:space="0"/>
            </w:tcBorders>
            <w:noWrap/>
            <w:vAlign w:val="center"/>
          </w:tcPr>
          <w:p w14:paraId="30717CE6">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0CD14CB0">
            <w:pPr>
              <w:snapToGrid w:val="0"/>
              <w:spacing w:line="240" w:lineRule="exact"/>
              <w:jc w:val="both"/>
              <w:rPr>
                <w:rFonts w:ascii="Arial" w:hAnsi="Arial" w:cs="Arial"/>
                <w:sz w:val="16"/>
                <w:szCs w:val="18"/>
              </w:rPr>
            </w:pPr>
            <w:r>
              <w:rPr>
                <w:rFonts w:ascii="Arial" w:hAnsi="Arial" w:cs="Arial"/>
                <w:sz w:val="16"/>
                <w:szCs w:val="18"/>
              </w:rPr>
              <w:t>分为高楼层、中楼层、低楼层两个等级，以估价对象指数为 100，每相差一个等级，每级相差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100</w:t>
            </w:r>
            <w:r>
              <w:rPr>
                <w:rFonts w:ascii="Arial" w:hAnsi="Arial" w:cs="Arial"/>
                <w:sz w:val="16"/>
                <w:szCs w:val="18"/>
              </w:rPr>
              <w:t>；</w:t>
            </w:r>
          </w:p>
        </w:tc>
      </w:tr>
      <w:tr w14:paraId="0F6CC8FB">
        <w:tblPrEx>
          <w:tblCellMar>
            <w:top w:w="57" w:type="dxa"/>
            <w:left w:w="57" w:type="dxa"/>
            <w:bottom w:w="57" w:type="dxa"/>
            <w:right w:w="57" w:type="dxa"/>
          </w:tblCellMar>
        </w:tblPrEx>
        <w:trPr>
          <w:trHeight w:val="20" w:hRule="atLeast"/>
          <w:jc w:val="center"/>
        </w:trPr>
        <w:tc>
          <w:tcPr>
            <w:tcW w:w="305" w:type="pct"/>
            <w:vMerge w:val="continue"/>
            <w:tcBorders>
              <w:top w:val="single" w:color="auto" w:sz="4" w:space="0"/>
              <w:left w:val="single" w:color="auto" w:sz="4" w:space="0"/>
              <w:bottom w:val="single" w:color="auto" w:sz="4" w:space="0"/>
              <w:right w:val="single" w:color="auto" w:sz="4" w:space="0"/>
            </w:tcBorders>
            <w:vAlign w:val="center"/>
          </w:tcPr>
          <w:p w14:paraId="102F348F">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7E00195A">
            <w:pPr>
              <w:widowControl/>
              <w:adjustRightInd/>
              <w:spacing w:line="240" w:lineRule="auto"/>
              <w:jc w:val="center"/>
              <w:textAlignment w:val="auto"/>
              <w:rPr>
                <w:rFonts w:ascii="宋体" w:hAnsi="宋体" w:cs="Arial"/>
                <w:sz w:val="16"/>
                <w:szCs w:val="18"/>
              </w:rPr>
            </w:pPr>
            <w:r>
              <w:rPr>
                <w:rFonts w:ascii="宋体" w:hAnsi="宋体" w:cs="Arial"/>
                <w:sz w:val="16"/>
                <w:szCs w:val="18"/>
              </w:rPr>
              <w:t>朝向</w:t>
            </w:r>
          </w:p>
        </w:tc>
        <w:tc>
          <w:tcPr>
            <w:tcW w:w="531" w:type="pct"/>
            <w:tcBorders>
              <w:top w:val="nil"/>
              <w:left w:val="nil"/>
              <w:bottom w:val="single" w:color="auto" w:sz="4" w:space="0"/>
              <w:right w:val="single" w:color="auto" w:sz="4" w:space="0"/>
            </w:tcBorders>
            <w:noWrap/>
            <w:vAlign w:val="center"/>
          </w:tcPr>
          <w:p w14:paraId="64D995D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0A574F60">
            <w:pPr>
              <w:snapToGrid w:val="0"/>
              <w:spacing w:line="240" w:lineRule="exact"/>
              <w:jc w:val="both"/>
              <w:rPr>
                <w:rFonts w:ascii="Arial" w:hAnsi="Arial" w:cs="Arial"/>
                <w:sz w:val="16"/>
                <w:szCs w:val="18"/>
              </w:rPr>
            </w:pPr>
            <w:r>
              <w:rPr>
                <w:rFonts w:hint="eastAsia"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28CD4AA">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7FC75FD6">
            <w:pPr>
              <w:snapToGrid w:val="0"/>
              <w:spacing w:line="240" w:lineRule="exact"/>
              <w:jc w:val="both"/>
              <w:rPr>
                <w:rFonts w:ascii="Arial" w:hAnsi="Arial" w:cs="Arial"/>
                <w:sz w:val="16"/>
                <w:szCs w:val="18"/>
              </w:rPr>
            </w:pPr>
            <w:r>
              <w:rPr>
                <w:rFonts w:hint="eastAsia"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EB48C08">
            <w:pPr>
              <w:snapToGrid w:val="0"/>
              <w:spacing w:line="240" w:lineRule="exact"/>
              <w:jc w:val="both"/>
              <w:rPr>
                <w:rFonts w:ascii="Arial" w:hAnsi="Arial" w:cs="Arial"/>
                <w:sz w:val="16"/>
                <w:szCs w:val="18"/>
              </w:rPr>
            </w:pPr>
            <w:r>
              <w:rPr>
                <w:rFonts w:ascii="Arial" w:hAnsi="Arial" w:cs="Arial"/>
                <w:sz w:val="16"/>
                <w:szCs w:val="18"/>
              </w:rPr>
              <w:t>从优到劣依次为：为南北向；南向；东、南；西、南；东、西；东；西；东、北；西、北；北。每档相差</w:t>
            </w:r>
            <w:r>
              <w:rPr>
                <w:rFonts w:hint="eastAsia" w:ascii="Arial" w:hAnsi="Arial" w:cs="Arial"/>
                <w:sz w:val="16"/>
                <w:szCs w:val="18"/>
              </w:rPr>
              <w:t>1</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19861883">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noWrap/>
            <w:vAlign w:val="center"/>
          </w:tcPr>
          <w:p w14:paraId="5B66EFE4">
            <w:pPr>
              <w:snapToGrid w:val="0"/>
              <w:spacing w:line="240" w:lineRule="exact"/>
              <w:jc w:val="both"/>
              <w:rPr>
                <w:rFonts w:ascii="宋体" w:hAnsi="宋体" w:cs="Arial"/>
                <w:sz w:val="16"/>
                <w:szCs w:val="18"/>
              </w:rPr>
            </w:pPr>
            <w:r>
              <w:rPr>
                <w:rFonts w:ascii="宋体" w:hAnsi="宋体" w:cs="Arial"/>
                <w:sz w:val="16"/>
                <w:szCs w:val="18"/>
              </w:rPr>
              <w:t>实物</w:t>
            </w:r>
          </w:p>
          <w:p w14:paraId="170DEC33">
            <w:pPr>
              <w:snapToGrid w:val="0"/>
              <w:spacing w:line="240" w:lineRule="exact"/>
              <w:jc w:val="both"/>
              <w:rPr>
                <w:rFonts w:ascii="宋体" w:hAnsi="宋体" w:cs="Arial"/>
                <w:sz w:val="16"/>
                <w:szCs w:val="18"/>
              </w:rPr>
            </w:pPr>
            <w:r>
              <w:rPr>
                <w:rFonts w:ascii="宋体" w:hAnsi="宋体" w:cs="Arial"/>
                <w:sz w:val="16"/>
                <w:szCs w:val="18"/>
              </w:rPr>
              <w:t>状况</w:t>
            </w:r>
          </w:p>
        </w:tc>
        <w:tc>
          <w:tcPr>
            <w:tcW w:w="535" w:type="pct"/>
            <w:tcBorders>
              <w:top w:val="nil"/>
              <w:left w:val="nil"/>
              <w:bottom w:val="single" w:color="auto" w:sz="4" w:space="0"/>
              <w:right w:val="single" w:color="auto" w:sz="4" w:space="0"/>
            </w:tcBorders>
            <w:vAlign w:val="center"/>
          </w:tcPr>
          <w:p w14:paraId="0C2B295C">
            <w:pPr>
              <w:widowControl/>
              <w:adjustRightInd/>
              <w:spacing w:line="240" w:lineRule="auto"/>
              <w:jc w:val="center"/>
              <w:textAlignment w:val="auto"/>
              <w:rPr>
                <w:rFonts w:ascii="宋体" w:hAnsi="宋体" w:cs="Arial"/>
                <w:sz w:val="16"/>
                <w:szCs w:val="18"/>
              </w:rPr>
            </w:pPr>
            <w:r>
              <w:rPr>
                <w:rFonts w:ascii="宋体" w:hAnsi="宋体" w:cs="Arial"/>
                <w:sz w:val="16"/>
                <w:szCs w:val="18"/>
              </w:rPr>
              <w:t>成新度</w:t>
            </w:r>
          </w:p>
        </w:tc>
        <w:tc>
          <w:tcPr>
            <w:tcW w:w="531" w:type="pct"/>
            <w:tcBorders>
              <w:top w:val="nil"/>
              <w:left w:val="nil"/>
              <w:bottom w:val="single" w:color="auto" w:sz="4" w:space="0"/>
              <w:right w:val="single" w:color="auto" w:sz="4" w:space="0"/>
            </w:tcBorders>
            <w:noWrap/>
            <w:vAlign w:val="center"/>
          </w:tcPr>
          <w:p w14:paraId="6EDE772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78EE17F">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6F6DB18E">
            <w:pPr>
              <w:snapToGrid w:val="0"/>
              <w:spacing w:line="240" w:lineRule="exact"/>
              <w:jc w:val="both"/>
              <w:rPr>
                <w:rFonts w:ascii="Arial" w:hAnsi="Arial" w:cs="Arial"/>
                <w:sz w:val="16"/>
                <w:szCs w:val="18"/>
              </w:rPr>
            </w:pPr>
            <w:r>
              <w:rPr>
                <w:rFonts w:hint="eastAsia" w:ascii="Arial" w:hAnsi="Arial" w:cs="Arial"/>
                <w:sz w:val="16"/>
                <w:szCs w:val="18"/>
              </w:rPr>
              <w:t>94</w:t>
            </w:r>
          </w:p>
        </w:tc>
        <w:tc>
          <w:tcPr>
            <w:tcW w:w="531" w:type="pct"/>
            <w:tcBorders>
              <w:top w:val="nil"/>
              <w:left w:val="nil"/>
              <w:bottom w:val="single" w:color="auto" w:sz="4" w:space="0"/>
              <w:right w:val="single" w:color="auto" w:sz="4" w:space="0"/>
            </w:tcBorders>
            <w:noWrap/>
            <w:vAlign w:val="center"/>
          </w:tcPr>
          <w:p w14:paraId="5E418E6B">
            <w:pPr>
              <w:snapToGrid w:val="0"/>
              <w:spacing w:line="240" w:lineRule="exact"/>
              <w:jc w:val="both"/>
              <w:rPr>
                <w:rFonts w:ascii="Arial" w:hAnsi="Arial" w:cs="Arial"/>
                <w:sz w:val="16"/>
                <w:szCs w:val="18"/>
              </w:rPr>
            </w:pPr>
            <w:r>
              <w:rPr>
                <w:rFonts w:hint="eastAsia" w:ascii="Arial" w:hAnsi="Arial" w:cs="Arial"/>
                <w:sz w:val="16"/>
                <w:szCs w:val="18"/>
              </w:rPr>
              <w:t>94</w:t>
            </w:r>
          </w:p>
        </w:tc>
        <w:tc>
          <w:tcPr>
            <w:tcW w:w="2032" w:type="pct"/>
            <w:tcBorders>
              <w:top w:val="nil"/>
              <w:left w:val="nil"/>
              <w:bottom w:val="single" w:color="auto" w:sz="4" w:space="0"/>
              <w:right w:val="single" w:color="auto" w:sz="4" w:space="0"/>
            </w:tcBorders>
            <w:vAlign w:val="center"/>
          </w:tcPr>
          <w:p w14:paraId="14018633">
            <w:pPr>
              <w:snapToGrid w:val="0"/>
              <w:spacing w:line="240" w:lineRule="exact"/>
              <w:jc w:val="both"/>
              <w:rPr>
                <w:rFonts w:ascii="Arial" w:hAnsi="Arial" w:cs="Arial"/>
                <w:sz w:val="16"/>
                <w:szCs w:val="18"/>
              </w:rPr>
            </w:pPr>
            <w:r>
              <w:rPr>
                <w:rFonts w:ascii="Arial" w:hAnsi="Arial" w:cs="Arial"/>
                <w:sz w:val="16"/>
                <w:szCs w:val="18"/>
              </w:rPr>
              <w:t>根据90%（含）-100%、80%（含）-90%、70%（含）-80%、60%（含）-70%、60%以下分为五个等级，每级相差</w:t>
            </w:r>
            <w:r>
              <w:rPr>
                <w:rFonts w:hint="eastAsia" w:ascii="Arial" w:hAnsi="Arial" w:cs="Arial"/>
                <w:sz w:val="16"/>
                <w:szCs w:val="18"/>
              </w:rPr>
              <w:t>2</w:t>
            </w:r>
            <w:r>
              <w:rPr>
                <w:rFonts w:ascii="Arial" w:hAnsi="Arial" w:cs="Arial"/>
                <w:sz w:val="16"/>
                <w:szCs w:val="18"/>
              </w:rPr>
              <w:t>分，确定可比实例1、2、3该因素指数分别为</w:t>
            </w:r>
            <w:r>
              <w:rPr>
                <w:rFonts w:hint="eastAsia" w:ascii="Arial" w:hAnsi="Arial" w:cs="Arial"/>
                <w:sz w:val="16"/>
                <w:szCs w:val="18"/>
              </w:rPr>
              <w:t>94、94、94</w:t>
            </w:r>
            <w:r>
              <w:rPr>
                <w:rFonts w:ascii="Arial" w:hAnsi="Arial" w:cs="Arial"/>
                <w:sz w:val="16"/>
                <w:szCs w:val="18"/>
              </w:rPr>
              <w:t>；</w:t>
            </w:r>
          </w:p>
        </w:tc>
      </w:tr>
      <w:tr w14:paraId="47601B1E">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867261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82D2BA7">
            <w:pPr>
              <w:widowControl/>
              <w:adjustRightInd/>
              <w:spacing w:line="240" w:lineRule="auto"/>
              <w:jc w:val="center"/>
              <w:textAlignment w:val="auto"/>
              <w:rPr>
                <w:rFonts w:ascii="宋体" w:hAnsi="宋体" w:cs="Arial"/>
                <w:sz w:val="16"/>
                <w:szCs w:val="18"/>
              </w:rPr>
            </w:pPr>
            <w:r>
              <w:rPr>
                <w:rFonts w:ascii="宋体" w:hAnsi="宋体" w:cs="Arial"/>
                <w:sz w:val="16"/>
                <w:szCs w:val="18"/>
              </w:rPr>
              <w:t>公共区域装修</w:t>
            </w:r>
          </w:p>
        </w:tc>
        <w:tc>
          <w:tcPr>
            <w:tcW w:w="988" w:type="dxa"/>
            <w:tcBorders>
              <w:top w:val="nil"/>
              <w:left w:val="nil"/>
              <w:bottom w:val="single" w:color="auto" w:sz="4" w:space="0"/>
              <w:right w:val="single" w:color="auto" w:sz="4" w:space="0"/>
            </w:tcBorders>
            <w:noWrap/>
            <w:vAlign w:val="center"/>
          </w:tcPr>
          <w:p w14:paraId="37F083B4">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0F968A9">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1B30CDD3">
            <w:pPr>
              <w:snapToGrid w:val="0"/>
              <w:spacing w:line="240" w:lineRule="exact"/>
              <w:jc w:val="both"/>
              <w:rPr>
                <w:rFonts w:ascii="Arial" w:hAnsi="Arial" w:cs="Arial"/>
                <w:sz w:val="16"/>
                <w:szCs w:val="18"/>
              </w:rPr>
            </w:pPr>
            <w:r>
              <w:rPr>
                <w:rFonts w:hint="eastAsia" w:ascii="Arial" w:hAnsi="Arial" w:cs="Arial"/>
                <w:sz w:val="16"/>
                <w:szCs w:val="18"/>
              </w:rPr>
              <w:t>98</w:t>
            </w:r>
          </w:p>
        </w:tc>
        <w:tc>
          <w:tcPr>
            <w:tcW w:w="988" w:type="dxa"/>
            <w:tcBorders>
              <w:top w:val="nil"/>
              <w:left w:val="nil"/>
              <w:bottom w:val="single" w:color="auto" w:sz="4" w:space="0"/>
              <w:right w:val="single" w:color="auto" w:sz="4" w:space="0"/>
            </w:tcBorders>
            <w:noWrap/>
            <w:vAlign w:val="center"/>
          </w:tcPr>
          <w:p w14:paraId="3A54D47F">
            <w:pPr>
              <w:snapToGrid w:val="0"/>
              <w:spacing w:line="240" w:lineRule="exact"/>
              <w:jc w:val="both"/>
              <w:rPr>
                <w:rFonts w:ascii="Arial" w:hAnsi="Arial" w:cs="Arial"/>
                <w:sz w:val="16"/>
                <w:szCs w:val="18"/>
              </w:rPr>
            </w:pPr>
            <w:r>
              <w:rPr>
                <w:rFonts w:hint="eastAsia" w:ascii="Arial" w:hAnsi="Arial" w:cs="Arial"/>
                <w:sz w:val="16"/>
                <w:szCs w:val="18"/>
              </w:rPr>
              <w:t>98</w:t>
            </w:r>
          </w:p>
        </w:tc>
        <w:tc>
          <w:tcPr>
            <w:tcW w:w="3779" w:type="dxa"/>
            <w:tcBorders>
              <w:top w:val="nil"/>
              <w:left w:val="nil"/>
              <w:bottom w:val="single" w:color="auto" w:sz="4" w:space="0"/>
              <w:right w:val="single" w:color="auto" w:sz="4" w:space="0"/>
            </w:tcBorders>
            <w:vAlign w:val="center"/>
          </w:tcPr>
          <w:p w14:paraId="6368D27E">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装修等，以估价对象指数为100，每级相差2分，确定可比实例1、2、3该因素指数分别为</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r>
              <w:rPr>
                <w:rFonts w:hint="eastAsia" w:ascii="Arial" w:hAnsi="Arial" w:cs="Arial"/>
                <w:sz w:val="16"/>
                <w:szCs w:val="18"/>
              </w:rPr>
              <w:t>98</w:t>
            </w:r>
            <w:r>
              <w:rPr>
                <w:rFonts w:ascii="Arial" w:hAnsi="Arial" w:cs="Arial"/>
                <w:sz w:val="16"/>
                <w:szCs w:val="18"/>
              </w:rPr>
              <w:t>；</w:t>
            </w:r>
          </w:p>
        </w:tc>
      </w:tr>
      <w:tr w14:paraId="237E048C">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CFD2497">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267194C4">
            <w:pPr>
              <w:widowControl/>
              <w:adjustRightInd/>
              <w:spacing w:line="240" w:lineRule="auto"/>
              <w:jc w:val="center"/>
              <w:textAlignment w:val="auto"/>
              <w:rPr>
                <w:rFonts w:ascii="宋体" w:hAnsi="宋体" w:cs="Arial"/>
                <w:sz w:val="16"/>
                <w:szCs w:val="18"/>
              </w:rPr>
            </w:pPr>
            <w:r>
              <w:rPr>
                <w:rFonts w:ascii="宋体" w:hAnsi="宋体" w:cs="Arial"/>
                <w:sz w:val="16"/>
                <w:szCs w:val="18"/>
              </w:rPr>
              <w:t>室内装饰装修</w:t>
            </w:r>
          </w:p>
        </w:tc>
        <w:tc>
          <w:tcPr>
            <w:tcW w:w="988" w:type="dxa"/>
            <w:tcBorders>
              <w:top w:val="nil"/>
              <w:left w:val="nil"/>
              <w:bottom w:val="single" w:color="auto" w:sz="4" w:space="0"/>
              <w:right w:val="single" w:color="auto" w:sz="4" w:space="0"/>
            </w:tcBorders>
            <w:noWrap/>
            <w:vAlign w:val="center"/>
          </w:tcPr>
          <w:p w14:paraId="6E64E9DC">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06C81C7">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4DBB75A6">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2B9D50A6">
            <w:pPr>
              <w:snapToGrid w:val="0"/>
              <w:spacing w:line="240" w:lineRule="exact"/>
              <w:jc w:val="both"/>
              <w:rPr>
                <w:rFonts w:ascii="Arial" w:hAnsi="Arial" w:cs="Arial"/>
                <w:sz w:val="16"/>
                <w:szCs w:val="18"/>
              </w:rPr>
            </w:pPr>
            <w:r>
              <w:rPr>
                <w:rFonts w:ascii="Arial" w:hAnsi="Arial" w:cs="Arial"/>
                <w:sz w:val="16"/>
                <w:szCs w:val="18"/>
              </w:rPr>
              <w:t>100</w:t>
            </w:r>
          </w:p>
        </w:tc>
        <w:tc>
          <w:tcPr>
            <w:tcW w:w="3779" w:type="dxa"/>
            <w:tcBorders>
              <w:top w:val="nil"/>
              <w:left w:val="nil"/>
              <w:bottom w:val="single" w:color="auto" w:sz="4" w:space="0"/>
              <w:right w:val="single" w:color="auto" w:sz="4" w:space="0"/>
            </w:tcBorders>
            <w:vAlign w:val="center"/>
          </w:tcPr>
          <w:p w14:paraId="4D2BC6FF">
            <w:pPr>
              <w:snapToGrid w:val="0"/>
              <w:spacing w:line="240" w:lineRule="exact"/>
              <w:jc w:val="both"/>
              <w:rPr>
                <w:rFonts w:ascii="Arial" w:hAnsi="Arial" w:cs="Arial"/>
                <w:sz w:val="16"/>
                <w:szCs w:val="18"/>
              </w:rPr>
            </w:pPr>
            <w:r>
              <w:rPr>
                <w:rFonts w:ascii="Arial" w:hAnsi="Arial" w:cs="Arial"/>
                <w:sz w:val="16"/>
                <w:szCs w:val="18"/>
              </w:rPr>
              <w:t>分为</w:t>
            </w:r>
            <w:r>
              <w:rPr>
                <w:rFonts w:hint="eastAsia" w:ascii="Arial" w:hAnsi="Arial" w:cs="Arial"/>
                <w:sz w:val="16"/>
                <w:szCs w:val="18"/>
              </w:rPr>
              <w:t>高档</w:t>
            </w:r>
            <w:r>
              <w:rPr>
                <w:rFonts w:ascii="Arial" w:hAnsi="Arial" w:cs="Arial"/>
                <w:sz w:val="16"/>
                <w:szCs w:val="18"/>
              </w:rPr>
              <w:t>装修、</w:t>
            </w:r>
            <w:r>
              <w:rPr>
                <w:rFonts w:hint="eastAsia" w:ascii="Arial" w:hAnsi="Arial" w:cs="Arial"/>
                <w:sz w:val="16"/>
                <w:szCs w:val="18"/>
              </w:rPr>
              <w:t>中档</w:t>
            </w:r>
            <w:r>
              <w:rPr>
                <w:rFonts w:ascii="Arial" w:hAnsi="Arial" w:cs="Arial"/>
                <w:sz w:val="16"/>
                <w:szCs w:val="18"/>
              </w:rPr>
              <w:t>装修、</w:t>
            </w:r>
            <w:r>
              <w:rPr>
                <w:rFonts w:hint="eastAsia" w:ascii="Arial" w:hAnsi="Arial" w:cs="Arial"/>
                <w:sz w:val="16"/>
                <w:szCs w:val="18"/>
              </w:rPr>
              <w:t>低档</w:t>
            </w:r>
            <w:r>
              <w:rPr>
                <w:rFonts w:ascii="Arial" w:hAnsi="Arial" w:cs="Arial"/>
                <w:sz w:val="16"/>
                <w:szCs w:val="18"/>
              </w:rPr>
              <w:t>装修等，以估价对象指数为 100，每级相差3分，确定可比实例1、2、3该因素指数分别为</w:t>
            </w:r>
            <w:r>
              <w:rPr>
                <w:rFonts w:hint="eastAsia" w:ascii="Arial" w:hAnsi="Arial" w:cs="Arial"/>
                <w:sz w:val="16"/>
                <w:szCs w:val="18"/>
              </w:rPr>
              <w:t>100、100、100</w:t>
            </w:r>
            <w:r>
              <w:rPr>
                <w:rFonts w:ascii="Arial" w:hAnsi="Arial" w:cs="Arial"/>
                <w:sz w:val="16"/>
                <w:szCs w:val="18"/>
              </w:rPr>
              <w:t>；</w:t>
            </w:r>
          </w:p>
        </w:tc>
      </w:tr>
      <w:tr w14:paraId="02CD74C7">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4813585">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5BEEEDCE">
            <w:pPr>
              <w:widowControl/>
              <w:adjustRightInd/>
              <w:spacing w:line="240" w:lineRule="auto"/>
              <w:jc w:val="center"/>
              <w:textAlignment w:val="auto"/>
              <w:rPr>
                <w:rFonts w:ascii="宋体" w:hAnsi="宋体" w:cs="Arial"/>
                <w:sz w:val="16"/>
                <w:szCs w:val="18"/>
              </w:rPr>
            </w:pPr>
            <w:r>
              <w:rPr>
                <w:rFonts w:ascii="宋体" w:hAnsi="宋体" w:cs="Arial"/>
                <w:sz w:val="16"/>
                <w:szCs w:val="18"/>
              </w:rPr>
              <w:t>设施设备</w:t>
            </w:r>
          </w:p>
        </w:tc>
        <w:tc>
          <w:tcPr>
            <w:tcW w:w="531" w:type="pct"/>
            <w:tcBorders>
              <w:top w:val="nil"/>
              <w:left w:val="nil"/>
              <w:bottom w:val="single" w:color="auto" w:sz="4" w:space="0"/>
              <w:right w:val="single" w:color="auto" w:sz="4" w:space="0"/>
            </w:tcBorders>
            <w:noWrap/>
            <w:vAlign w:val="center"/>
          </w:tcPr>
          <w:p w14:paraId="7825E467">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B84B3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9294F6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0D6CEAB">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BC36A30">
            <w:pPr>
              <w:snapToGrid w:val="0"/>
              <w:spacing w:line="240" w:lineRule="exact"/>
              <w:jc w:val="both"/>
              <w:rPr>
                <w:rFonts w:ascii="Arial" w:hAnsi="Arial" w:cs="Arial"/>
                <w:sz w:val="16"/>
                <w:szCs w:val="18"/>
              </w:rPr>
            </w:pPr>
            <w:r>
              <w:rPr>
                <w:rFonts w:ascii="Arial" w:hAnsi="Arial" w:cs="Arial"/>
                <w:sz w:val="16"/>
                <w:szCs w:val="18"/>
              </w:rPr>
              <w:t>根据实际配备情况，分为完善、较完善、一般、较不完善、不完善五个等级，每级相差</w:t>
            </w:r>
            <w:r>
              <w:rPr>
                <w:rFonts w:hint="eastAsia" w:ascii="Arial" w:hAnsi="Arial" w:cs="Arial"/>
                <w:sz w:val="16"/>
                <w:szCs w:val="18"/>
              </w:rPr>
              <w:t>3</w:t>
            </w:r>
            <w:r>
              <w:rPr>
                <w:rFonts w:ascii="Arial" w:hAnsi="Arial" w:cs="Arial"/>
                <w:sz w:val="16"/>
                <w:szCs w:val="18"/>
              </w:rPr>
              <w:t>分，确定可比实例1、2、3该因素指数分别为</w:t>
            </w:r>
            <w:r>
              <w:rPr>
                <w:rFonts w:hint="eastAsia" w:ascii="Arial" w:hAnsi="Arial" w:cs="Arial"/>
                <w:sz w:val="16"/>
                <w:szCs w:val="18"/>
              </w:rPr>
              <w:t>100、100、100</w:t>
            </w:r>
            <w:r>
              <w:rPr>
                <w:rFonts w:ascii="Arial" w:hAnsi="Arial" w:cs="Arial"/>
                <w:sz w:val="16"/>
                <w:szCs w:val="18"/>
              </w:rPr>
              <w:t>；</w:t>
            </w:r>
          </w:p>
        </w:tc>
      </w:tr>
      <w:tr w14:paraId="0B2C3A7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1F05B8C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98DA260">
            <w:pPr>
              <w:widowControl/>
              <w:adjustRightInd/>
              <w:spacing w:line="240" w:lineRule="auto"/>
              <w:jc w:val="center"/>
              <w:textAlignment w:val="auto"/>
              <w:rPr>
                <w:rFonts w:ascii="宋体" w:hAnsi="宋体" w:cs="Arial"/>
                <w:sz w:val="16"/>
                <w:szCs w:val="18"/>
              </w:rPr>
            </w:pPr>
            <w:r>
              <w:rPr>
                <w:rFonts w:ascii="宋体" w:hAnsi="宋体" w:cs="Arial"/>
                <w:sz w:val="16"/>
                <w:szCs w:val="18"/>
              </w:rPr>
              <w:t>综合管理服务设施</w:t>
            </w:r>
          </w:p>
        </w:tc>
        <w:tc>
          <w:tcPr>
            <w:tcW w:w="531" w:type="pct"/>
            <w:tcBorders>
              <w:top w:val="nil"/>
              <w:left w:val="nil"/>
              <w:bottom w:val="single" w:color="auto" w:sz="4" w:space="0"/>
              <w:right w:val="single" w:color="auto" w:sz="4" w:space="0"/>
            </w:tcBorders>
            <w:noWrap/>
            <w:vAlign w:val="center"/>
          </w:tcPr>
          <w:p w14:paraId="099B1AB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E5B954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A7B69C3">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B953FE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17C211A9">
            <w:pPr>
              <w:snapToGrid w:val="0"/>
              <w:spacing w:line="240" w:lineRule="exact"/>
              <w:jc w:val="both"/>
              <w:rPr>
                <w:rFonts w:ascii="Arial" w:hAnsi="Arial" w:cs="Arial"/>
                <w:sz w:val="16"/>
                <w:szCs w:val="18"/>
              </w:rPr>
            </w:pPr>
            <w:r>
              <w:rPr>
                <w:rFonts w:ascii="Arial" w:hAnsi="Arial" w:cs="Arial"/>
                <w:sz w:val="16"/>
                <w:szCs w:val="18"/>
              </w:rPr>
              <w:t>根据实际管理服务，确定可比实例1、2、3该因素指数分别为100、100、100；</w:t>
            </w:r>
          </w:p>
        </w:tc>
      </w:tr>
      <w:tr w14:paraId="2D6399D3">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ACBB84E">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346A5058">
            <w:pPr>
              <w:widowControl/>
              <w:adjustRightInd/>
              <w:spacing w:line="240" w:lineRule="auto"/>
              <w:jc w:val="center"/>
              <w:textAlignment w:val="auto"/>
              <w:rPr>
                <w:rFonts w:ascii="宋体" w:hAnsi="宋体" w:cs="Arial"/>
                <w:sz w:val="16"/>
                <w:szCs w:val="18"/>
              </w:rPr>
            </w:pPr>
            <w:r>
              <w:rPr>
                <w:rFonts w:ascii="宋体" w:hAnsi="宋体" w:cs="Arial"/>
                <w:sz w:val="16"/>
                <w:szCs w:val="18"/>
              </w:rPr>
              <w:t>户型布局</w:t>
            </w:r>
          </w:p>
        </w:tc>
        <w:tc>
          <w:tcPr>
            <w:tcW w:w="531" w:type="pct"/>
            <w:tcBorders>
              <w:top w:val="nil"/>
              <w:left w:val="nil"/>
              <w:bottom w:val="single" w:color="auto" w:sz="4" w:space="0"/>
              <w:right w:val="single" w:color="auto" w:sz="4" w:space="0"/>
            </w:tcBorders>
            <w:noWrap/>
            <w:vAlign w:val="center"/>
          </w:tcPr>
          <w:p w14:paraId="6D9908CC">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2F3693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6F18BE4B">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531" w:type="pct"/>
            <w:tcBorders>
              <w:top w:val="nil"/>
              <w:left w:val="nil"/>
              <w:bottom w:val="single" w:color="auto" w:sz="4" w:space="0"/>
              <w:right w:val="single" w:color="auto" w:sz="4" w:space="0"/>
            </w:tcBorders>
            <w:noWrap/>
            <w:vAlign w:val="center"/>
          </w:tcPr>
          <w:p w14:paraId="2349367D">
            <w:pPr>
              <w:snapToGrid w:val="0"/>
              <w:spacing w:line="240" w:lineRule="exact"/>
              <w:jc w:val="both"/>
              <w:rPr>
                <w:rFonts w:ascii="Arial" w:hAnsi="Arial" w:cs="Arial"/>
                <w:sz w:val="16"/>
                <w:szCs w:val="18"/>
              </w:rPr>
            </w:pPr>
            <w:r>
              <w:rPr>
                <w:rFonts w:ascii="Arial" w:hAnsi="Arial" w:cs="Arial"/>
                <w:sz w:val="16"/>
                <w:szCs w:val="18"/>
              </w:rPr>
              <w:t>10</w:t>
            </w:r>
            <w:r>
              <w:rPr>
                <w:rFonts w:hint="eastAsia" w:ascii="Arial" w:hAnsi="Arial" w:cs="Arial"/>
                <w:sz w:val="16"/>
                <w:szCs w:val="18"/>
              </w:rPr>
              <w:t>0</w:t>
            </w:r>
          </w:p>
        </w:tc>
        <w:tc>
          <w:tcPr>
            <w:tcW w:w="2032" w:type="pct"/>
            <w:tcBorders>
              <w:top w:val="nil"/>
              <w:left w:val="nil"/>
              <w:bottom w:val="single" w:color="auto" w:sz="4" w:space="0"/>
              <w:right w:val="single" w:color="auto" w:sz="4" w:space="0"/>
            </w:tcBorders>
            <w:vAlign w:val="center"/>
          </w:tcPr>
          <w:p w14:paraId="4ABC1AF9">
            <w:pPr>
              <w:snapToGrid w:val="0"/>
              <w:spacing w:line="240" w:lineRule="exact"/>
              <w:jc w:val="both"/>
              <w:rPr>
                <w:rFonts w:ascii="Arial" w:hAnsi="Arial" w:cs="Arial"/>
                <w:sz w:val="16"/>
                <w:szCs w:val="18"/>
              </w:rPr>
            </w:pPr>
            <w:r>
              <w:rPr>
                <w:rFonts w:ascii="Arial" w:hAnsi="Arial" w:cs="Arial"/>
                <w:sz w:val="16"/>
                <w:szCs w:val="18"/>
              </w:rPr>
              <w:t>根据布局对于使用率的影响，确定可比实例1、2、3该因素指数分别为10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、10</w:t>
            </w:r>
            <w:r>
              <w:rPr>
                <w:rFonts w:hint="eastAsia" w:ascii="Arial" w:hAnsi="Arial" w:cs="Arial"/>
                <w:sz w:val="16"/>
                <w:szCs w:val="18"/>
              </w:rPr>
              <w:t>0</w:t>
            </w:r>
            <w:r>
              <w:rPr>
                <w:rFonts w:ascii="Arial" w:hAnsi="Arial" w:cs="Arial"/>
                <w:sz w:val="16"/>
                <w:szCs w:val="18"/>
              </w:rPr>
              <w:t>；</w:t>
            </w:r>
          </w:p>
        </w:tc>
      </w:tr>
      <w:tr w14:paraId="5417DA2A">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6111058C">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50EBA27">
            <w:pPr>
              <w:widowControl/>
              <w:adjustRightInd/>
              <w:spacing w:line="240" w:lineRule="auto"/>
              <w:jc w:val="center"/>
              <w:textAlignment w:val="auto"/>
              <w:rPr>
                <w:rFonts w:ascii="宋体" w:hAnsi="宋体" w:cs="Arial"/>
                <w:sz w:val="16"/>
                <w:szCs w:val="18"/>
              </w:rPr>
            </w:pPr>
            <w:r>
              <w:rPr>
                <w:rFonts w:ascii="宋体" w:hAnsi="宋体" w:cs="Arial"/>
                <w:sz w:val="16"/>
                <w:szCs w:val="18"/>
              </w:rPr>
              <w:t>户型结构</w:t>
            </w:r>
          </w:p>
        </w:tc>
        <w:tc>
          <w:tcPr>
            <w:tcW w:w="531" w:type="pct"/>
            <w:tcBorders>
              <w:top w:val="nil"/>
              <w:left w:val="nil"/>
              <w:bottom w:val="single" w:color="auto" w:sz="4" w:space="0"/>
              <w:right w:val="single" w:color="auto" w:sz="4" w:space="0"/>
            </w:tcBorders>
            <w:noWrap/>
            <w:vAlign w:val="center"/>
          </w:tcPr>
          <w:p w14:paraId="0108526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74DB992">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3BD4D774">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F5A5208">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7709F563">
            <w:pPr>
              <w:snapToGrid w:val="0"/>
              <w:spacing w:line="240" w:lineRule="exact"/>
              <w:jc w:val="both"/>
              <w:rPr>
                <w:rFonts w:ascii="Arial" w:hAnsi="Arial" w:cs="Arial"/>
                <w:sz w:val="16"/>
                <w:szCs w:val="18"/>
              </w:rPr>
            </w:pPr>
            <w:r>
              <w:rPr>
                <w:rFonts w:ascii="Arial" w:hAnsi="Arial" w:cs="Arial"/>
                <w:sz w:val="16"/>
                <w:szCs w:val="18"/>
              </w:rPr>
              <w:t>估价对象与案例均为</w:t>
            </w:r>
            <w:r>
              <w:rPr>
                <w:rFonts w:hint="eastAsia" w:ascii="Arial" w:hAnsi="Arial" w:cs="Arial"/>
                <w:sz w:val="16"/>
                <w:szCs w:val="18"/>
              </w:rPr>
              <w:t>平层，</w:t>
            </w:r>
            <w:r>
              <w:rPr>
                <w:rFonts w:ascii="Arial" w:hAnsi="Arial" w:cs="Arial"/>
                <w:sz w:val="16"/>
                <w:szCs w:val="18"/>
              </w:rPr>
              <w:t>确定可比实例1、2、3该因素指数分别为100、100、100；</w:t>
            </w:r>
          </w:p>
        </w:tc>
      </w:tr>
      <w:tr w14:paraId="79625D31">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32195932">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117FA823">
            <w:pPr>
              <w:widowControl/>
              <w:adjustRightInd/>
              <w:spacing w:line="240" w:lineRule="auto"/>
              <w:jc w:val="center"/>
              <w:textAlignment w:val="auto"/>
              <w:rPr>
                <w:rFonts w:ascii="宋体" w:hAnsi="宋体" w:cs="Arial"/>
                <w:sz w:val="16"/>
                <w:szCs w:val="18"/>
              </w:rPr>
            </w:pPr>
            <w:r>
              <w:rPr>
                <w:rFonts w:ascii="宋体" w:hAnsi="宋体" w:cs="Arial"/>
                <w:sz w:val="16"/>
                <w:szCs w:val="18"/>
              </w:rPr>
              <w:t>建筑面积</w:t>
            </w:r>
          </w:p>
        </w:tc>
        <w:tc>
          <w:tcPr>
            <w:tcW w:w="531" w:type="pct"/>
            <w:tcBorders>
              <w:top w:val="nil"/>
              <w:left w:val="nil"/>
              <w:bottom w:val="single" w:color="auto" w:sz="4" w:space="0"/>
              <w:right w:val="single" w:color="auto" w:sz="4" w:space="0"/>
            </w:tcBorders>
            <w:noWrap/>
            <w:vAlign w:val="center"/>
          </w:tcPr>
          <w:p w14:paraId="6961F970">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EAB3CC3">
            <w:pPr>
              <w:snapToGrid w:val="0"/>
              <w:spacing w:line="240" w:lineRule="exact"/>
              <w:jc w:val="both"/>
              <w:rPr>
                <w:rFonts w:ascii="Arial" w:hAnsi="Arial" w:cs="Arial"/>
                <w:sz w:val="16"/>
                <w:szCs w:val="18"/>
              </w:rPr>
            </w:pPr>
            <w:r>
              <w:rPr>
                <w:rFonts w:hint="eastAsia" w:ascii="Arial" w:hAnsi="Arial" w:cs="Arial"/>
                <w:sz w:val="16"/>
                <w:szCs w:val="18"/>
              </w:rPr>
              <w:t>96</w:t>
            </w:r>
          </w:p>
        </w:tc>
        <w:tc>
          <w:tcPr>
            <w:tcW w:w="531" w:type="pct"/>
            <w:tcBorders>
              <w:top w:val="nil"/>
              <w:left w:val="nil"/>
              <w:bottom w:val="single" w:color="auto" w:sz="4" w:space="0"/>
              <w:right w:val="single" w:color="auto" w:sz="4" w:space="0"/>
            </w:tcBorders>
            <w:noWrap/>
            <w:vAlign w:val="center"/>
          </w:tcPr>
          <w:p w14:paraId="3A470771">
            <w:pPr>
              <w:snapToGrid w:val="0"/>
              <w:spacing w:line="240" w:lineRule="exact"/>
              <w:jc w:val="both"/>
              <w:rPr>
                <w:rFonts w:ascii="Arial" w:hAnsi="Arial" w:cs="Arial"/>
                <w:sz w:val="16"/>
                <w:szCs w:val="18"/>
              </w:rPr>
            </w:pPr>
            <w:r>
              <w:rPr>
                <w:rFonts w:hint="eastAsia" w:ascii="Arial" w:hAnsi="Arial" w:cs="Arial"/>
                <w:sz w:val="16"/>
                <w:szCs w:val="18"/>
              </w:rPr>
              <w:t>102</w:t>
            </w:r>
          </w:p>
        </w:tc>
        <w:tc>
          <w:tcPr>
            <w:tcW w:w="531" w:type="pct"/>
            <w:tcBorders>
              <w:top w:val="nil"/>
              <w:left w:val="nil"/>
              <w:bottom w:val="single" w:color="auto" w:sz="4" w:space="0"/>
              <w:right w:val="single" w:color="auto" w:sz="4" w:space="0"/>
            </w:tcBorders>
            <w:noWrap/>
            <w:vAlign w:val="center"/>
          </w:tcPr>
          <w:p w14:paraId="51F5449B">
            <w:pPr>
              <w:snapToGrid w:val="0"/>
              <w:spacing w:line="240" w:lineRule="exact"/>
              <w:jc w:val="both"/>
              <w:rPr>
                <w:rFonts w:ascii="Arial" w:hAnsi="Arial" w:cs="Arial"/>
                <w:sz w:val="16"/>
                <w:szCs w:val="18"/>
              </w:rPr>
            </w:pPr>
            <w:r>
              <w:rPr>
                <w:rFonts w:hint="eastAsia" w:ascii="Arial" w:hAnsi="Arial" w:cs="Arial"/>
                <w:sz w:val="16"/>
                <w:szCs w:val="18"/>
              </w:rPr>
              <w:t>98</w:t>
            </w:r>
          </w:p>
        </w:tc>
        <w:tc>
          <w:tcPr>
            <w:tcW w:w="2032" w:type="pct"/>
            <w:tcBorders>
              <w:top w:val="nil"/>
              <w:left w:val="nil"/>
              <w:bottom w:val="single" w:color="auto" w:sz="4" w:space="0"/>
              <w:right w:val="single" w:color="auto" w:sz="4" w:space="0"/>
            </w:tcBorders>
            <w:vAlign w:val="center"/>
          </w:tcPr>
          <w:p w14:paraId="4955BDE2">
            <w:pPr>
              <w:snapToGrid w:val="0"/>
              <w:spacing w:line="240" w:lineRule="exact"/>
              <w:jc w:val="both"/>
              <w:rPr>
                <w:rFonts w:ascii="Arial" w:hAnsi="Arial"/>
              </w:rPr>
            </w:pPr>
            <w:r>
              <w:rPr>
                <w:rFonts w:ascii="Arial" w:hAnsi="Arial" w:cs="Arial"/>
                <w:sz w:val="16"/>
                <w:szCs w:val="18"/>
              </w:rPr>
              <w:t>根据建筑面积对其价值的影响，从好到差划分为</w:t>
            </w:r>
            <w:r>
              <w:rPr>
                <w:rFonts w:hint="eastAsia" w:ascii="Arial" w:hAnsi="Arial" w:cs="Arial"/>
                <w:sz w:val="16"/>
                <w:szCs w:val="18"/>
              </w:rPr>
              <w:t>60</w:t>
            </w:r>
            <w:r>
              <w:rPr>
                <w:rFonts w:ascii="Arial" w:hAnsi="Arial" w:cs="Arial"/>
                <w:sz w:val="16"/>
                <w:szCs w:val="18"/>
              </w:rPr>
              <w:t>（含）平方米及以下、</w:t>
            </w:r>
            <w:r>
              <w:rPr>
                <w:rFonts w:hint="eastAsia" w:ascii="Arial" w:hAnsi="Arial" w:cs="Arial"/>
                <w:sz w:val="16"/>
                <w:szCs w:val="18"/>
              </w:rPr>
              <w:t>60</w:t>
            </w:r>
            <w:r>
              <w:rPr>
                <w:rFonts w:ascii="Arial" w:hAnsi="Arial" w:cs="Arial"/>
                <w:sz w:val="16"/>
                <w:szCs w:val="18"/>
              </w:rPr>
              <w:t>-</w:t>
            </w:r>
            <w:r>
              <w:rPr>
                <w:rFonts w:hint="eastAsia" w:ascii="Arial" w:hAnsi="Arial" w:cs="Arial"/>
                <w:sz w:val="16"/>
                <w:szCs w:val="18"/>
              </w:rPr>
              <w:t>7</w:t>
            </w:r>
            <w:r>
              <w:rPr>
                <w:rFonts w:ascii="Arial" w:hAnsi="Arial" w:cs="Arial"/>
                <w:sz w:val="16"/>
                <w:szCs w:val="18"/>
              </w:rPr>
              <w:t>0（含）平方米、</w:t>
            </w:r>
            <w:r>
              <w:rPr>
                <w:rFonts w:hint="eastAsia" w:ascii="Arial" w:hAnsi="Arial" w:cs="Arial"/>
                <w:sz w:val="16"/>
                <w:szCs w:val="18"/>
              </w:rPr>
              <w:t>7</w:t>
            </w:r>
            <w:r>
              <w:rPr>
                <w:rFonts w:ascii="Arial" w:hAnsi="Arial" w:cs="Arial"/>
                <w:sz w:val="16"/>
                <w:szCs w:val="18"/>
              </w:rPr>
              <w:t>0-</w:t>
            </w:r>
            <w:r>
              <w:rPr>
                <w:rFonts w:hint="eastAsia" w:ascii="Arial" w:hAnsi="Arial" w:cs="Arial"/>
                <w:sz w:val="16"/>
                <w:szCs w:val="18"/>
              </w:rPr>
              <w:t>8</w:t>
            </w:r>
            <w:r>
              <w:rPr>
                <w:rFonts w:ascii="Arial" w:hAnsi="Arial" w:cs="Arial"/>
                <w:sz w:val="16"/>
                <w:szCs w:val="18"/>
              </w:rPr>
              <w:t>0（含）</w:t>
            </w:r>
            <w:r>
              <w:rPr>
                <w:rFonts w:hint="eastAsia" w:ascii="Arial" w:hAnsi="Arial" w:cs="Arial"/>
                <w:sz w:val="16"/>
                <w:szCs w:val="18"/>
              </w:rPr>
              <w:t>、8</w:t>
            </w:r>
            <w:r>
              <w:rPr>
                <w:rFonts w:ascii="Arial" w:hAnsi="Arial" w:cs="Arial"/>
                <w:sz w:val="16"/>
                <w:szCs w:val="18"/>
              </w:rPr>
              <w:t>0-</w:t>
            </w:r>
            <w:r>
              <w:rPr>
                <w:rFonts w:hint="eastAsia" w:ascii="Arial" w:hAnsi="Arial" w:cs="Arial"/>
                <w:sz w:val="16"/>
                <w:szCs w:val="18"/>
              </w:rPr>
              <w:t>9</w:t>
            </w:r>
            <w:r>
              <w:rPr>
                <w:rFonts w:ascii="Arial" w:hAnsi="Arial" w:cs="Arial"/>
                <w:sz w:val="16"/>
                <w:szCs w:val="18"/>
              </w:rPr>
              <w:t>0（含）</w:t>
            </w:r>
            <w:r>
              <w:rPr>
                <w:rFonts w:hint="eastAsia" w:ascii="Arial" w:hAnsi="Arial" w:cs="Arial"/>
                <w:sz w:val="16"/>
                <w:szCs w:val="18"/>
              </w:rPr>
              <w:t>、90</w:t>
            </w:r>
            <w:r>
              <w:rPr>
                <w:rFonts w:ascii="Arial" w:hAnsi="Arial" w:cs="Arial"/>
                <w:sz w:val="16"/>
                <w:szCs w:val="18"/>
              </w:rPr>
              <w:t>-</w:t>
            </w:r>
            <w:r>
              <w:rPr>
                <w:rFonts w:hint="eastAsia" w:ascii="Arial" w:hAnsi="Arial" w:cs="Arial"/>
                <w:sz w:val="16"/>
                <w:szCs w:val="18"/>
              </w:rPr>
              <w:t>10</w:t>
            </w:r>
            <w:r>
              <w:rPr>
                <w:rFonts w:ascii="Arial" w:hAnsi="Arial" w:cs="Arial"/>
                <w:sz w:val="16"/>
                <w:szCs w:val="18"/>
              </w:rPr>
              <w:t>0（含）</w:t>
            </w:r>
            <w:r>
              <w:rPr>
                <w:rFonts w:hint="eastAsia" w:ascii="Arial" w:hAnsi="Arial" w:cs="Arial"/>
                <w:sz w:val="16"/>
                <w:szCs w:val="18"/>
              </w:rPr>
              <w:t>、100</w:t>
            </w:r>
            <w:r>
              <w:rPr>
                <w:rFonts w:ascii="Arial" w:hAnsi="Arial" w:cs="Arial"/>
                <w:sz w:val="16"/>
                <w:szCs w:val="18"/>
              </w:rPr>
              <w:t>-</w:t>
            </w:r>
            <w:r>
              <w:rPr>
                <w:rFonts w:hint="eastAsia" w:ascii="Arial" w:hAnsi="Arial" w:cs="Arial"/>
                <w:sz w:val="16"/>
                <w:szCs w:val="18"/>
              </w:rPr>
              <w:t>11</w:t>
            </w:r>
            <w:r>
              <w:rPr>
                <w:rFonts w:ascii="Arial" w:hAnsi="Arial" w:cs="Arial"/>
                <w:sz w:val="16"/>
                <w:szCs w:val="18"/>
              </w:rPr>
              <w:t>0（含）</w:t>
            </w:r>
            <w:r>
              <w:rPr>
                <w:rFonts w:hint="eastAsia" w:ascii="Arial" w:hAnsi="Arial" w:cs="Arial"/>
                <w:sz w:val="16"/>
                <w:szCs w:val="18"/>
              </w:rPr>
              <w:t>、110</w:t>
            </w:r>
            <w:r>
              <w:rPr>
                <w:rFonts w:ascii="Arial" w:hAnsi="Arial" w:cs="Arial"/>
                <w:sz w:val="16"/>
                <w:szCs w:val="18"/>
              </w:rPr>
              <w:t>-</w:t>
            </w:r>
            <w:r>
              <w:rPr>
                <w:rFonts w:hint="eastAsia" w:ascii="Arial" w:hAnsi="Arial" w:cs="Arial"/>
                <w:sz w:val="16"/>
                <w:szCs w:val="18"/>
              </w:rPr>
              <w:t>12</w:t>
            </w:r>
            <w:r>
              <w:rPr>
                <w:rFonts w:ascii="Arial" w:hAnsi="Arial" w:cs="Arial"/>
                <w:sz w:val="16"/>
                <w:szCs w:val="18"/>
              </w:rPr>
              <w:t>0（含）</w:t>
            </w:r>
            <w:r>
              <w:rPr>
                <w:rFonts w:hint="eastAsia" w:ascii="Arial" w:hAnsi="Arial" w:cs="Arial"/>
                <w:sz w:val="16"/>
                <w:szCs w:val="18"/>
              </w:rPr>
              <w:t>、120</w:t>
            </w:r>
            <w:r>
              <w:rPr>
                <w:rFonts w:ascii="Arial" w:hAnsi="Arial" w:cs="Arial"/>
                <w:sz w:val="16"/>
                <w:szCs w:val="18"/>
              </w:rPr>
              <w:t>-</w:t>
            </w:r>
            <w:r>
              <w:rPr>
                <w:rFonts w:hint="eastAsia" w:ascii="Arial" w:hAnsi="Arial" w:cs="Arial"/>
                <w:sz w:val="16"/>
                <w:szCs w:val="18"/>
              </w:rPr>
              <w:t>13</w:t>
            </w:r>
            <w:r>
              <w:rPr>
                <w:rFonts w:ascii="Arial" w:hAnsi="Arial" w:cs="Arial"/>
                <w:sz w:val="16"/>
                <w:szCs w:val="18"/>
              </w:rPr>
              <w:t>0（含）</w:t>
            </w:r>
            <w:r>
              <w:rPr>
                <w:rFonts w:hint="eastAsia" w:ascii="Arial" w:hAnsi="Arial" w:cs="Arial"/>
                <w:sz w:val="16"/>
                <w:szCs w:val="18"/>
              </w:rPr>
              <w:t>、130</w:t>
            </w:r>
            <w:r>
              <w:rPr>
                <w:rFonts w:ascii="Arial" w:hAnsi="Arial" w:cs="Arial"/>
                <w:sz w:val="16"/>
                <w:szCs w:val="18"/>
              </w:rPr>
              <w:t>-</w:t>
            </w:r>
            <w:r>
              <w:rPr>
                <w:rFonts w:hint="eastAsia" w:ascii="Arial" w:hAnsi="Arial" w:cs="Arial"/>
                <w:sz w:val="16"/>
                <w:szCs w:val="18"/>
              </w:rPr>
              <w:t>14</w:t>
            </w:r>
            <w:r>
              <w:rPr>
                <w:rFonts w:ascii="Arial" w:hAnsi="Arial" w:cs="Arial"/>
                <w:sz w:val="16"/>
                <w:szCs w:val="18"/>
              </w:rPr>
              <w:t>0（含）平方米及以上。以估价对象该因素指数为100，各可比实例与之相比，确定可比实例1、2、3该因素指数分别为</w:t>
            </w:r>
            <w:r>
              <w:rPr>
                <w:rFonts w:hint="eastAsia" w:ascii="Arial" w:hAnsi="Arial" w:cs="Arial"/>
                <w:sz w:val="16"/>
                <w:szCs w:val="18"/>
              </w:rPr>
              <w:t>96、102、98</w:t>
            </w:r>
            <w:r>
              <w:rPr>
                <w:rFonts w:ascii="Arial" w:hAnsi="Arial" w:cs="Arial"/>
                <w:sz w:val="16"/>
                <w:szCs w:val="18"/>
              </w:rPr>
              <w:t>；</w:t>
            </w:r>
          </w:p>
        </w:tc>
      </w:tr>
      <w:tr w14:paraId="675C11F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D9E15B0">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44B2E890">
            <w:pPr>
              <w:widowControl/>
              <w:adjustRightInd/>
              <w:spacing w:line="240" w:lineRule="auto"/>
              <w:jc w:val="center"/>
              <w:textAlignment w:val="auto"/>
              <w:rPr>
                <w:rFonts w:ascii="宋体" w:hAnsi="宋体" w:cs="Arial"/>
                <w:sz w:val="16"/>
                <w:szCs w:val="18"/>
              </w:rPr>
            </w:pPr>
            <w:r>
              <w:rPr>
                <w:rFonts w:ascii="宋体" w:hAnsi="宋体" w:cs="Arial"/>
                <w:sz w:val="16"/>
                <w:szCs w:val="18"/>
              </w:rPr>
              <w:t>家具家电</w:t>
            </w:r>
          </w:p>
        </w:tc>
        <w:tc>
          <w:tcPr>
            <w:tcW w:w="988" w:type="dxa"/>
            <w:tcBorders>
              <w:top w:val="nil"/>
              <w:left w:val="nil"/>
              <w:bottom w:val="single" w:color="auto" w:sz="4" w:space="0"/>
              <w:right w:val="single" w:color="auto" w:sz="4" w:space="0"/>
            </w:tcBorders>
            <w:noWrap/>
            <w:vAlign w:val="center"/>
          </w:tcPr>
          <w:p w14:paraId="1E90BE2C">
            <w:pPr>
              <w:snapToGrid w:val="0"/>
              <w:spacing w:line="240" w:lineRule="exact"/>
              <w:jc w:val="both"/>
              <w:rPr>
                <w:rFonts w:ascii="Arial" w:hAnsi="Arial" w:cs="Arial"/>
                <w:sz w:val="16"/>
                <w:szCs w:val="18"/>
              </w:rPr>
            </w:pPr>
            <w:r>
              <w:rPr>
                <w:rFonts w:ascii="Arial" w:hAnsi="Arial" w:cs="Arial"/>
                <w:sz w:val="16"/>
                <w:szCs w:val="18"/>
              </w:rPr>
              <w:t>100</w:t>
            </w:r>
          </w:p>
        </w:tc>
        <w:tc>
          <w:tcPr>
            <w:tcW w:w="988" w:type="dxa"/>
            <w:tcBorders>
              <w:top w:val="nil"/>
              <w:left w:val="nil"/>
              <w:bottom w:val="single" w:color="auto" w:sz="4" w:space="0"/>
              <w:right w:val="single" w:color="auto" w:sz="4" w:space="0"/>
            </w:tcBorders>
            <w:noWrap/>
            <w:vAlign w:val="center"/>
          </w:tcPr>
          <w:p w14:paraId="31DC5A01">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6D759ECB">
            <w:pPr>
              <w:snapToGrid w:val="0"/>
              <w:spacing w:line="240" w:lineRule="exact"/>
              <w:jc w:val="both"/>
              <w:rPr>
                <w:rFonts w:ascii="Arial" w:hAnsi="Arial" w:cs="Arial"/>
                <w:sz w:val="16"/>
                <w:szCs w:val="18"/>
              </w:rPr>
            </w:pPr>
            <w:r>
              <w:rPr>
                <w:rFonts w:hint="eastAsia" w:ascii="Arial" w:hAnsi="Arial" w:cs="Arial"/>
                <w:sz w:val="16"/>
                <w:szCs w:val="18"/>
              </w:rPr>
              <w:t>91</w:t>
            </w:r>
          </w:p>
        </w:tc>
        <w:tc>
          <w:tcPr>
            <w:tcW w:w="988" w:type="dxa"/>
            <w:tcBorders>
              <w:top w:val="nil"/>
              <w:left w:val="nil"/>
              <w:bottom w:val="single" w:color="auto" w:sz="4" w:space="0"/>
              <w:right w:val="single" w:color="auto" w:sz="4" w:space="0"/>
            </w:tcBorders>
            <w:noWrap/>
            <w:vAlign w:val="center"/>
          </w:tcPr>
          <w:p w14:paraId="5459C80F">
            <w:pPr>
              <w:snapToGrid w:val="0"/>
              <w:spacing w:line="240" w:lineRule="exact"/>
              <w:jc w:val="both"/>
              <w:rPr>
                <w:rFonts w:ascii="Arial" w:hAnsi="Arial" w:cs="Arial"/>
                <w:sz w:val="16"/>
                <w:szCs w:val="18"/>
              </w:rPr>
            </w:pPr>
            <w:r>
              <w:rPr>
                <w:rFonts w:hint="eastAsia" w:ascii="Arial" w:hAnsi="Arial" w:cs="Arial"/>
                <w:sz w:val="16"/>
                <w:szCs w:val="18"/>
              </w:rPr>
              <w:t>91</w:t>
            </w:r>
          </w:p>
        </w:tc>
        <w:tc>
          <w:tcPr>
            <w:tcW w:w="3779" w:type="dxa"/>
            <w:tcBorders>
              <w:top w:val="nil"/>
              <w:left w:val="nil"/>
              <w:bottom w:val="single" w:color="auto" w:sz="4" w:space="0"/>
              <w:right w:val="single" w:color="auto" w:sz="4" w:space="0"/>
            </w:tcBorders>
            <w:vAlign w:val="center"/>
          </w:tcPr>
          <w:p w14:paraId="135CBA19">
            <w:pPr>
              <w:widowControl/>
              <w:adjustRightInd/>
              <w:spacing w:line="240" w:lineRule="auto"/>
              <w:textAlignment w:val="auto"/>
              <w:rPr>
                <w:rFonts w:ascii="Arial" w:hAnsi="Arial"/>
              </w:rPr>
            </w:pPr>
            <w:r>
              <w:rPr>
                <w:rFonts w:ascii="Arial" w:hAnsi="Arial" w:cs="Arial"/>
                <w:sz w:val="16"/>
                <w:szCs w:val="18"/>
              </w:rPr>
              <w:t>根据家具家电配备齐全程度，以估价对象该因素指数为100，各可比实例与之相比，确定可比实例1、2、3该因素指数分别为</w:t>
            </w:r>
            <w:r>
              <w:rPr>
                <w:rFonts w:hint="eastAsia" w:ascii="Arial" w:hAnsi="Arial" w:cs="Arial"/>
                <w:sz w:val="16"/>
                <w:szCs w:val="18"/>
              </w:rPr>
              <w:t>91、91、91</w:t>
            </w:r>
          </w:p>
        </w:tc>
      </w:tr>
      <w:tr w14:paraId="40DEF49A">
        <w:tblPrEx>
          <w:tblCellMar>
            <w:top w:w="57" w:type="dxa"/>
            <w:left w:w="57" w:type="dxa"/>
            <w:bottom w:w="57" w:type="dxa"/>
            <w:right w:w="57" w:type="dxa"/>
          </w:tblCellMar>
        </w:tblPrEx>
        <w:trPr>
          <w:trHeight w:val="20" w:hRule="atLeast"/>
          <w:jc w:val="center"/>
        </w:trPr>
        <w:tc>
          <w:tcPr>
            <w:tcW w:w="305" w:type="pct"/>
            <w:vMerge w:val="restart"/>
            <w:tcBorders>
              <w:top w:val="single" w:color="auto" w:sz="4" w:space="0"/>
              <w:left w:val="single" w:color="auto" w:sz="4" w:space="0"/>
              <w:bottom w:val="single" w:color="auto" w:sz="4" w:space="0"/>
              <w:right w:val="single" w:color="auto" w:sz="4" w:space="0"/>
            </w:tcBorders>
            <w:vAlign w:val="center"/>
          </w:tcPr>
          <w:p w14:paraId="522A3C79">
            <w:pPr>
              <w:snapToGrid w:val="0"/>
              <w:spacing w:line="240" w:lineRule="exact"/>
              <w:jc w:val="both"/>
              <w:rPr>
                <w:rFonts w:ascii="宋体" w:hAnsi="宋体" w:cs="Arial"/>
                <w:sz w:val="16"/>
                <w:szCs w:val="18"/>
              </w:rPr>
            </w:pPr>
            <w:r>
              <w:rPr>
                <w:rFonts w:ascii="宋体" w:hAnsi="宋体" w:cs="Arial"/>
                <w:sz w:val="16"/>
                <w:szCs w:val="18"/>
              </w:rPr>
              <w:t>权益状况</w:t>
            </w:r>
          </w:p>
        </w:tc>
        <w:tc>
          <w:tcPr>
            <w:tcW w:w="535" w:type="pct"/>
            <w:tcBorders>
              <w:top w:val="single" w:color="auto" w:sz="4" w:space="0"/>
              <w:left w:val="nil"/>
              <w:bottom w:val="single" w:color="auto" w:sz="4" w:space="0"/>
              <w:right w:val="single" w:color="auto" w:sz="4" w:space="0"/>
            </w:tcBorders>
            <w:vAlign w:val="center"/>
          </w:tcPr>
          <w:p w14:paraId="395EBE95">
            <w:pPr>
              <w:snapToGrid w:val="0"/>
              <w:spacing w:line="240" w:lineRule="exact"/>
              <w:jc w:val="both"/>
              <w:rPr>
                <w:rFonts w:ascii="宋体" w:hAnsi="宋体" w:cs="Arial"/>
                <w:sz w:val="16"/>
                <w:szCs w:val="18"/>
              </w:rPr>
            </w:pPr>
            <w:r>
              <w:rPr>
                <w:rFonts w:ascii="宋体" w:hAnsi="宋体" w:cs="Arial"/>
                <w:sz w:val="16"/>
                <w:szCs w:val="18"/>
              </w:rPr>
              <w:t>服务及管理水平</w:t>
            </w:r>
          </w:p>
        </w:tc>
        <w:tc>
          <w:tcPr>
            <w:tcW w:w="531" w:type="pct"/>
            <w:tcBorders>
              <w:top w:val="nil"/>
              <w:left w:val="nil"/>
              <w:bottom w:val="single" w:color="auto" w:sz="4" w:space="0"/>
              <w:right w:val="single" w:color="auto" w:sz="4" w:space="0"/>
            </w:tcBorders>
            <w:noWrap/>
            <w:vAlign w:val="center"/>
          </w:tcPr>
          <w:p w14:paraId="02C21EB1">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C20277E">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2897F9A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69511CDC">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67CD0FAB">
            <w:pPr>
              <w:widowControl/>
              <w:adjustRightInd/>
              <w:spacing w:line="240" w:lineRule="auto"/>
              <w:textAlignment w:val="auto"/>
              <w:rPr>
                <w:rFonts w:ascii="Arial" w:hAnsi="Arial" w:cs="Arial"/>
                <w:sz w:val="16"/>
                <w:szCs w:val="18"/>
              </w:rPr>
            </w:pPr>
            <w:r>
              <w:rPr>
                <w:rFonts w:ascii="Arial" w:hAnsi="Arial" w:cs="Arial"/>
                <w:sz w:val="16"/>
                <w:szCs w:val="18"/>
              </w:rPr>
              <w:t>根据是否配置服务管家、是否封闭式管理，以估价对象该因素指数为100，各可比实例与之相比，确定可比实例1、2、3该因素指数分别为</w:t>
            </w:r>
            <w:r>
              <w:rPr>
                <w:rFonts w:hint="eastAsia" w:ascii="Arial" w:hAnsi="Arial" w:cs="Arial"/>
                <w:sz w:val="16"/>
                <w:szCs w:val="18"/>
              </w:rPr>
              <w:t>100、100、100</w:t>
            </w:r>
            <w:r>
              <w:rPr>
                <w:rFonts w:ascii="Arial" w:hAnsi="Arial" w:cs="Arial"/>
                <w:sz w:val="16"/>
                <w:szCs w:val="18"/>
              </w:rPr>
              <w:t>。</w:t>
            </w:r>
          </w:p>
        </w:tc>
      </w:tr>
      <w:tr w14:paraId="36033AB8">
        <w:tblPrEx>
          <w:tblCellMar>
            <w:top w:w="57" w:type="dxa"/>
            <w:left w:w="57" w:type="dxa"/>
            <w:bottom w:w="57" w:type="dxa"/>
            <w:right w:w="57" w:type="dxa"/>
          </w:tblCellMar>
        </w:tblPrEx>
        <w:trPr>
          <w:trHeight w:val="20" w:hRule="atLeast"/>
          <w:jc w:val="center"/>
        </w:trPr>
        <w:tc>
          <w:tcPr>
            <w:tcW w:w="305" w:type="pct"/>
            <w:vMerge w:val="continue"/>
            <w:tcBorders>
              <w:top w:val="nil"/>
              <w:left w:val="single" w:color="auto" w:sz="4" w:space="0"/>
              <w:bottom w:val="single" w:color="auto" w:sz="4" w:space="0"/>
              <w:right w:val="single" w:color="auto" w:sz="4" w:space="0"/>
            </w:tcBorders>
            <w:vAlign w:val="center"/>
          </w:tcPr>
          <w:p w14:paraId="445A9DD9">
            <w:pPr>
              <w:snapToGrid w:val="0"/>
              <w:spacing w:line="240" w:lineRule="exact"/>
              <w:jc w:val="both"/>
              <w:rPr>
                <w:rFonts w:ascii="宋体" w:hAnsi="宋体" w:cs="Arial"/>
                <w:sz w:val="16"/>
                <w:szCs w:val="18"/>
              </w:rPr>
            </w:pPr>
          </w:p>
        </w:tc>
        <w:tc>
          <w:tcPr>
            <w:tcW w:w="535" w:type="pct"/>
            <w:tcBorders>
              <w:top w:val="nil"/>
              <w:left w:val="nil"/>
              <w:bottom w:val="single" w:color="auto" w:sz="4" w:space="0"/>
              <w:right w:val="single" w:color="auto" w:sz="4" w:space="0"/>
            </w:tcBorders>
            <w:vAlign w:val="center"/>
          </w:tcPr>
          <w:p w14:paraId="636668DE">
            <w:pPr>
              <w:snapToGrid w:val="0"/>
              <w:spacing w:line="240" w:lineRule="exact"/>
              <w:jc w:val="both"/>
              <w:rPr>
                <w:rFonts w:ascii="宋体" w:hAnsi="宋体" w:cs="Arial"/>
                <w:sz w:val="16"/>
                <w:szCs w:val="18"/>
              </w:rPr>
            </w:pPr>
            <w:r>
              <w:rPr>
                <w:rFonts w:ascii="宋体" w:hAnsi="宋体" w:cs="Arial"/>
                <w:sz w:val="16"/>
                <w:szCs w:val="18"/>
              </w:rPr>
              <w:t>水电气费执行标准</w:t>
            </w:r>
          </w:p>
        </w:tc>
        <w:tc>
          <w:tcPr>
            <w:tcW w:w="531" w:type="pct"/>
            <w:tcBorders>
              <w:top w:val="nil"/>
              <w:left w:val="nil"/>
              <w:bottom w:val="single" w:color="auto" w:sz="4" w:space="0"/>
              <w:right w:val="single" w:color="auto" w:sz="4" w:space="0"/>
            </w:tcBorders>
            <w:noWrap/>
            <w:vAlign w:val="center"/>
          </w:tcPr>
          <w:p w14:paraId="6AD2011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15808D2D">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7FB4A546">
            <w:pPr>
              <w:snapToGrid w:val="0"/>
              <w:spacing w:line="240" w:lineRule="exact"/>
              <w:jc w:val="both"/>
              <w:rPr>
                <w:rFonts w:ascii="Arial" w:hAnsi="Arial" w:cs="Arial"/>
                <w:sz w:val="16"/>
                <w:szCs w:val="18"/>
              </w:rPr>
            </w:pPr>
            <w:r>
              <w:rPr>
                <w:rFonts w:ascii="Arial" w:hAnsi="Arial" w:cs="Arial"/>
                <w:sz w:val="16"/>
                <w:szCs w:val="18"/>
              </w:rPr>
              <w:t>100</w:t>
            </w:r>
          </w:p>
        </w:tc>
        <w:tc>
          <w:tcPr>
            <w:tcW w:w="531" w:type="pct"/>
            <w:tcBorders>
              <w:top w:val="nil"/>
              <w:left w:val="nil"/>
              <w:bottom w:val="single" w:color="auto" w:sz="4" w:space="0"/>
              <w:right w:val="single" w:color="auto" w:sz="4" w:space="0"/>
            </w:tcBorders>
            <w:noWrap/>
            <w:vAlign w:val="center"/>
          </w:tcPr>
          <w:p w14:paraId="50357BE5">
            <w:pPr>
              <w:snapToGrid w:val="0"/>
              <w:spacing w:line="240" w:lineRule="exact"/>
              <w:jc w:val="both"/>
              <w:rPr>
                <w:rFonts w:ascii="Arial" w:hAnsi="Arial" w:cs="Arial"/>
                <w:sz w:val="16"/>
                <w:szCs w:val="18"/>
              </w:rPr>
            </w:pPr>
            <w:r>
              <w:rPr>
                <w:rFonts w:ascii="Arial" w:hAnsi="Arial" w:cs="Arial"/>
                <w:sz w:val="16"/>
                <w:szCs w:val="18"/>
              </w:rPr>
              <w:t>100</w:t>
            </w:r>
          </w:p>
        </w:tc>
        <w:tc>
          <w:tcPr>
            <w:tcW w:w="2032" w:type="pct"/>
            <w:tcBorders>
              <w:top w:val="nil"/>
              <w:left w:val="nil"/>
              <w:bottom w:val="single" w:color="auto" w:sz="4" w:space="0"/>
              <w:right w:val="single" w:color="auto" w:sz="4" w:space="0"/>
            </w:tcBorders>
            <w:vAlign w:val="center"/>
          </w:tcPr>
          <w:p w14:paraId="2EDED7A2">
            <w:pPr>
              <w:widowControl/>
              <w:adjustRightInd/>
              <w:spacing w:line="240" w:lineRule="auto"/>
              <w:textAlignment w:val="auto"/>
              <w:rPr>
                <w:rFonts w:ascii="Arial" w:hAnsi="Arial" w:cs="Arial"/>
                <w:sz w:val="16"/>
                <w:szCs w:val="18"/>
              </w:rPr>
            </w:pPr>
            <w:r>
              <w:rPr>
                <w:rFonts w:ascii="Arial" w:hAnsi="Arial" w:cs="Arial"/>
                <w:sz w:val="16"/>
                <w:szCs w:val="18"/>
              </w:rPr>
              <w:t>估价对象与案例均采用民水民电，确定可比实例1、2、3该因素指数分别为100、100、100。</w:t>
            </w:r>
          </w:p>
        </w:tc>
      </w:tr>
    </w:tbl>
    <w:p w14:paraId="34F068A8">
      <w:pPr>
        <w:wordWrap w:val="0"/>
        <w:overflowPunct w:val="0"/>
        <w:spacing w:line="480" w:lineRule="auto"/>
        <w:rPr>
          <w:rFonts w:ascii="Arial" w:hAnsi="Arial"/>
          <w:sz w:val="21"/>
          <w:szCs w:val="21"/>
        </w:rPr>
      </w:pPr>
    </w:p>
    <w:p w14:paraId="05EBB746">
      <w:pPr>
        <w:wordWrap w:val="0"/>
        <w:overflowPunct w:val="0"/>
        <w:spacing w:line="480" w:lineRule="auto"/>
        <w:rPr>
          <w:rFonts w:ascii="Arial" w:hAnsi="Arial"/>
          <w:sz w:val="21"/>
          <w:szCs w:val="21"/>
        </w:rPr>
      </w:pPr>
    </w:p>
    <w:p w14:paraId="3EE29B6C">
      <w:pPr>
        <w:rPr>
          <w:rFonts w:ascii="Arial" w:hAnsi="Arial"/>
          <w:sz w:val="21"/>
          <w:szCs w:val="21"/>
        </w:rPr>
      </w:pPr>
      <w:r>
        <w:rPr>
          <w:rFonts w:hint="eastAsia" w:ascii="Arial" w:hAnsi="Arial"/>
          <w:sz w:val="21"/>
          <w:szCs w:val="21"/>
        </w:rPr>
        <w:br w:type="page"/>
      </w:r>
    </w:p>
    <w:p w14:paraId="16715168">
      <w:pPr>
        <w:wordWrap w:val="0"/>
        <w:overflowPunct w:val="0"/>
        <w:spacing w:line="480" w:lineRule="auto"/>
        <w:ind w:firstLine="420" w:firstLineChars="200"/>
        <w:rPr>
          <w:rFonts w:ascii="Arial" w:hAnsi="Arial"/>
          <w:sz w:val="21"/>
          <w:szCs w:val="21"/>
        </w:rPr>
      </w:pPr>
      <w:r>
        <w:rPr>
          <w:rFonts w:hint="eastAsia" w:ascii="Arial" w:hAnsi="Arial"/>
          <w:sz w:val="21"/>
          <w:szCs w:val="21"/>
        </w:rPr>
        <w:t>（3）编制因素比较修正系数表</w:t>
      </w:r>
      <w:r>
        <w:rPr>
          <w:rFonts w:ascii="Arial" w:hAnsi="Arial"/>
          <w:sz w:val="21"/>
          <w:szCs w:val="21"/>
        </w:rPr>
        <w:t xml:space="preserve"> </w:t>
      </w:r>
    </w:p>
    <w:p w14:paraId="144CCE16">
      <w:pPr>
        <w:wordWrap w:val="0"/>
        <w:overflowPunct w:val="0"/>
        <w:spacing w:line="480" w:lineRule="auto"/>
        <w:ind w:firstLine="420" w:firstLineChars="200"/>
        <w:rPr>
          <w:rFonts w:ascii="Arial" w:hAnsi="Arial"/>
          <w:sz w:val="21"/>
          <w:szCs w:val="21"/>
        </w:rPr>
      </w:pPr>
      <w:r>
        <w:rPr>
          <w:rFonts w:hint="eastAsia" w:ascii="Arial" w:hAnsi="Arial"/>
          <w:sz w:val="21"/>
          <w:szCs w:val="21"/>
        </w:rPr>
        <w:t>根据比较因素条件指数表，编制因素各项目比较修正系数表，详见下表：</w:t>
      </w:r>
    </w:p>
    <w:p w14:paraId="618AEA85">
      <w:pPr>
        <w:overflowPunct w:val="0"/>
        <w:spacing w:line="480" w:lineRule="auto"/>
        <w:ind w:firstLine="420" w:firstLineChars="200"/>
        <w:jc w:val="center"/>
        <w:rPr>
          <w:rFonts w:ascii="Arial" w:hAnsi="Arial"/>
          <w:sz w:val="21"/>
          <w:szCs w:val="21"/>
        </w:rPr>
      </w:pPr>
      <w:r>
        <w:rPr>
          <w:rFonts w:hint="eastAsia" w:ascii="Arial" w:hAnsi="Arial"/>
          <w:sz w:val="21"/>
          <w:szCs w:val="21"/>
        </w:rPr>
        <w:t>因素比较修正系数表</w:t>
      </w:r>
    </w:p>
    <w:tbl>
      <w:tblPr>
        <w:tblStyle w:val="33"/>
        <w:tblW w:w="5000" w:type="pct"/>
        <w:tblInd w:w="0" w:type="dxa"/>
        <w:tblLayout w:type="autofit"/>
        <w:tblCellMar>
          <w:top w:w="0" w:type="dxa"/>
          <w:left w:w="108" w:type="dxa"/>
          <w:bottom w:w="0" w:type="dxa"/>
          <w:right w:w="108" w:type="dxa"/>
        </w:tblCellMar>
      </w:tblPr>
      <w:tblGrid>
        <w:gridCol w:w="1506"/>
        <w:gridCol w:w="2887"/>
        <w:gridCol w:w="1707"/>
        <w:gridCol w:w="1707"/>
        <w:gridCol w:w="1708"/>
      </w:tblGrid>
      <w:tr w14:paraId="277725CF">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953E9ED">
            <w:pPr>
              <w:widowControl/>
              <w:adjustRightInd/>
              <w:spacing w:line="240" w:lineRule="auto"/>
              <w:jc w:val="center"/>
              <w:textAlignment w:val="auto"/>
              <w:rPr>
                <w:rFonts w:ascii="Arial" w:hAnsi="Arial" w:cs="Arial"/>
                <w:sz w:val="16"/>
                <w:szCs w:val="18"/>
              </w:rPr>
            </w:pPr>
            <w:r>
              <w:rPr>
                <w:rFonts w:ascii="Arial" w:hAnsi="Arial" w:cs="Arial"/>
                <w:sz w:val="16"/>
                <w:szCs w:val="18"/>
              </w:rPr>
              <w:t>项目</w:t>
            </w:r>
          </w:p>
        </w:tc>
        <w:tc>
          <w:tcPr>
            <w:tcW w:w="897" w:type="pct"/>
            <w:tcBorders>
              <w:top w:val="single" w:color="auto" w:sz="4" w:space="0"/>
              <w:left w:val="nil"/>
              <w:bottom w:val="single" w:color="auto" w:sz="4" w:space="0"/>
              <w:right w:val="single" w:color="auto" w:sz="4" w:space="0"/>
            </w:tcBorders>
            <w:vAlign w:val="center"/>
          </w:tcPr>
          <w:p w14:paraId="1341FB5F">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7</w:t>
            </w:r>
          </w:p>
        </w:tc>
        <w:tc>
          <w:tcPr>
            <w:tcW w:w="897" w:type="pct"/>
            <w:tcBorders>
              <w:top w:val="single" w:color="auto" w:sz="4" w:space="0"/>
              <w:left w:val="nil"/>
              <w:bottom w:val="single" w:color="auto" w:sz="4" w:space="0"/>
              <w:right w:val="single" w:color="auto" w:sz="4" w:space="0"/>
            </w:tcBorders>
            <w:vAlign w:val="center"/>
          </w:tcPr>
          <w:p w14:paraId="65552FEB">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8</w:t>
            </w:r>
          </w:p>
        </w:tc>
        <w:tc>
          <w:tcPr>
            <w:tcW w:w="897" w:type="pct"/>
            <w:tcBorders>
              <w:top w:val="single" w:color="auto" w:sz="4" w:space="0"/>
              <w:left w:val="nil"/>
              <w:bottom w:val="single" w:color="auto" w:sz="4" w:space="0"/>
              <w:right w:val="single" w:color="auto" w:sz="4" w:space="0"/>
            </w:tcBorders>
            <w:vAlign w:val="center"/>
          </w:tcPr>
          <w:p w14:paraId="101C445C">
            <w:pPr>
              <w:widowControl/>
              <w:adjustRightInd/>
              <w:spacing w:line="240" w:lineRule="auto"/>
              <w:jc w:val="center"/>
              <w:textAlignment w:val="auto"/>
              <w:rPr>
                <w:rFonts w:ascii="Arial" w:hAnsi="Arial" w:cs="Arial"/>
                <w:sz w:val="16"/>
                <w:szCs w:val="18"/>
              </w:rPr>
            </w:pPr>
            <w:r>
              <w:rPr>
                <w:rFonts w:ascii="Arial" w:hAnsi="Arial" w:cs="Arial"/>
                <w:sz w:val="16"/>
                <w:szCs w:val="18"/>
              </w:rPr>
              <w:t>可比实例</w:t>
            </w:r>
            <w:r>
              <w:rPr>
                <w:rFonts w:hint="eastAsia" w:ascii="Arial" w:hAnsi="Arial" w:cs="Arial"/>
                <w:sz w:val="16"/>
                <w:szCs w:val="18"/>
              </w:rPr>
              <w:t>9</w:t>
            </w:r>
          </w:p>
        </w:tc>
      </w:tr>
      <w:tr w14:paraId="35D273C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0F24C5E">
            <w:pPr>
              <w:widowControl/>
              <w:adjustRightInd/>
              <w:spacing w:line="240" w:lineRule="auto"/>
              <w:jc w:val="center"/>
              <w:textAlignment w:val="auto"/>
              <w:rPr>
                <w:rFonts w:ascii="Arial" w:hAnsi="Arial" w:cs="Arial"/>
                <w:sz w:val="16"/>
                <w:szCs w:val="18"/>
              </w:rPr>
            </w:pPr>
            <w:r>
              <w:rPr>
                <w:rFonts w:ascii="Arial" w:hAnsi="Arial" w:cs="Arial"/>
                <w:sz w:val="16"/>
                <w:szCs w:val="18"/>
              </w:rPr>
              <w:t>小区名称</w:t>
            </w:r>
          </w:p>
        </w:tc>
        <w:tc>
          <w:tcPr>
            <w:tcW w:w="1707" w:type="dxa"/>
            <w:tcBorders>
              <w:top w:val="nil"/>
              <w:left w:val="nil"/>
              <w:bottom w:val="single" w:color="auto" w:sz="4" w:space="0"/>
              <w:right w:val="single" w:color="auto" w:sz="4" w:space="0"/>
            </w:tcBorders>
            <w:vAlign w:val="center"/>
          </w:tcPr>
          <w:p w14:paraId="0A6887A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兴水家园</w:t>
            </w:r>
          </w:p>
        </w:tc>
        <w:tc>
          <w:tcPr>
            <w:tcW w:w="1707" w:type="dxa"/>
            <w:tcBorders>
              <w:top w:val="nil"/>
              <w:left w:val="nil"/>
              <w:bottom w:val="single" w:color="auto" w:sz="4" w:space="0"/>
              <w:right w:val="single" w:color="auto" w:sz="4" w:space="0"/>
            </w:tcBorders>
            <w:vAlign w:val="center"/>
          </w:tcPr>
          <w:p w14:paraId="67288215">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漪景园</w:t>
            </w:r>
          </w:p>
        </w:tc>
        <w:tc>
          <w:tcPr>
            <w:tcW w:w="1708" w:type="dxa"/>
            <w:tcBorders>
              <w:top w:val="nil"/>
              <w:left w:val="nil"/>
              <w:bottom w:val="single" w:color="auto" w:sz="4" w:space="0"/>
              <w:right w:val="single" w:color="auto" w:sz="4" w:space="0"/>
            </w:tcBorders>
            <w:vAlign w:val="center"/>
          </w:tcPr>
          <w:p w14:paraId="181341DD">
            <w:pPr>
              <w:widowControl/>
              <w:snapToGrid w:val="0"/>
              <w:spacing w:line="240" w:lineRule="exact"/>
              <w:jc w:val="center"/>
              <w:textAlignment w:val="center"/>
              <w:rPr>
                <w:rFonts w:ascii="Arial" w:hAnsi="Arial" w:cs="Arial"/>
                <w:sz w:val="16"/>
                <w:szCs w:val="18"/>
              </w:rPr>
            </w:pPr>
            <w:r>
              <w:rPr>
                <w:rFonts w:hint="eastAsia" w:ascii="Arial" w:hAnsi="Arial" w:cs="Arial"/>
                <w:sz w:val="16"/>
                <w:szCs w:val="18"/>
              </w:rPr>
              <w:t>义和庄东里</w:t>
            </w:r>
          </w:p>
        </w:tc>
      </w:tr>
      <w:tr w14:paraId="78D13643">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65B097D8">
            <w:pPr>
              <w:widowControl/>
              <w:adjustRightInd/>
              <w:spacing w:line="240" w:lineRule="auto"/>
              <w:textAlignment w:val="auto"/>
              <w:rPr>
                <w:rFonts w:ascii="Arial" w:hAnsi="Arial" w:cs="Arial"/>
                <w:sz w:val="16"/>
                <w:szCs w:val="18"/>
              </w:rPr>
            </w:pPr>
            <w:r>
              <w:rPr>
                <w:rFonts w:ascii="Arial" w:hAnsi="Arial" w:cs="Arial"/>
                <w:sz w:val="16"/>
                <w:szCs w:val="18"/>
              </w:rPr>
              <w:t>平均租金（元/平方米·月）</w:t>
            </w:r>
          </w:p>
        </w:tc>
        <w:tc>
          <w:tcPr>
            <w:tcW w:w="1707" w:type="dxa"/>
            <w:tcBorders>
              <w:top w:val="nil"/>
              <w:left w:val="nil"/>
              <w:bottom w:val="single" w:color="auto" w:sz="4" w:space="0"/>
              <w:right w:val="single" w:color="auto" w:sz="4" w:space="0"/>
            </w:tcBorders>
            <w:vAlign w:val="center"/>
          </w:tcPr>
          <w:p w14:paraId="42BE31A7">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33.16</w:t>
            </w:r>
          </w:p>
        </w:tc>
        <w:tc>
          <w:tcPr>
            <w:tcW w:w="1707" w:type="dxa"/>
            <w:tcBorders>
              <w:top w:val="nil"/>
              <w:left w:val="nil"/>
              <w:bottom w:val="single" w:color="auto" w:sz="4" w:space="0"/>
              <w:right w:val="single" w:color="auto" w:sz="4" w:space="0"/>
            </w:tcBorders>
            <w:vAlign w:val="center"/>
          </w:tcPr>
          <w:p w14:paraId="1583BAFF">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34.56</w:t>
            </w:r>
          </w:p>
        </w:tc>
        <w:tc>
          <w:tcPr>
            <w:tcW w:w="1708" w:type="dxa"/>
            <w:tcBorders>
              <w:top w:val="nil"/>
              <w:left w:val="nil"/>
              <w:bottom w:val="single" w:color="auto" w:sz="4" w:space="0"/>
              <w:right w:val="single" w:color="auto" w:sz="4" w:space="0"/>
            </w:tcBorders>
            <w:vAlign w:val="center"/>
          </w:tcPr>
          <w:p w14:paraId="79A98E9E">
            <w:pPr>
              <w:autoSpaceDE w:val="0"/>
              <w:autoSpaceDN w:val="0"/>
              <w:spacing w:line="240" w:lineRule="exact"/>
              <w:jc w:val="center"/>
              <w:textAlignment w:val="bottom"/>
              <w:rPr>
                <w:rFonts w:ascii="Arial" w:hAnsi="Arial" w:cs="Arial"/>
                <w:sz w:val="16"/>
                <w:szCs w:val="18"/>
              </w:rPr>
            </w:pPr>
            <w:r>
              <w:rPr>
                <w:rFonts w:hint="eastAsia" w:ascii="Arial" w:hAnsi="Arial" w:cs="Arial"/>
                <w:sz w:val="16"/>
                <w:szCs w:val="18"/>
              </w:rPr>
              <w:t>30.85</w:t>
            </w:r>
          </w:p>
        </w:tc>
      </w:tr>
      <w:tr w14:paraId="243B44C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D1B93B7">
            <w:pPr>
              <w:widowControl/>
              <w:adjustRightInd/>
              <w:spacing w:line="240" w:lineRule="auto"/>
              <w:textAlignment w:val="auto"/>
              <w:rPr>
                <w:rFonts w:ascii="Arial" w:hAnsi="Arial" w:cs="Arial"/>
                <w:sz w:val="16"/>
                <w:szCs w:val="18"/>
              </w:rPr>
            </w:pPr>
            <w:r>
              <w:rPr>
                <w:rFonts w:ascii="Arial" w:hAnsi="Arial" w:cs="Arial"/>
                <w:sz w:val="16"/>
                <w:szCs w:val="18"/>
              </w:rPr>
              <w:t>交易时间</w:t>
            </w:r>
          </w:p>
        </w:tc>
        <w:tc>
          <w:tcPr>
            <w:tcW w:w="897" w:type="pct"/>
            <w:tcBorders>
              <w:top w:val="nil"/>
              <w:left w:val="nil"/>
              <w:bottom w:val="single" w:color="auto" w:sz="4" w:space="0"/>
              <w:right w:val="single" w:color="auto" w:sz="4" w:space="0"/>
            </w:tcBorders>
            <w:vAlign w:val="center"/>
          </w:tcPr>
          <w:p w14:paraId="75FE923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23B634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B5C6FD5">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ED9B0E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0CB4138">
            <w:pPr>
              <w:widowControl/>
              <w:adjustRightInd/>
              <w:spacing w:line="240" w:lineRule="auto"/>
              <w:textAlignment w:val="auto"/>
              <w:rPr>
                <w:rFonts w:ascii="Arial" w:hAnsi="Arial" w:cs="Arial"/>
                <w:sz w:val="16"/>
                <w:szCs w:val="18"/>
              </w:rPr>
            </w:pPr>
            <w:r>
              <w:rPr>
                <w:rFonts w:ascii="Arial" w:hAnsi="Arial" w:cs="Arial"/>
                <w:sz w:val="16"/>
                <w:szCs w:val="18"/>
              </w:rPr>
              <w:t>交易情况</w:t>
            </w:r>
          </w:p>
        </w:tc>
        <w:tc>
          <w:tcPr>
            <w:tcW w:w="897" w:type="pct"/>
            <w:tcBorders>
              <w:top w:val="nil"/>
              <w:left w:val="nil"/>
              <w:bottom w:val="single" w:color="auto" w:sz="4" w:space="0"/>
              <w:right w:val="single" w:color="auto" w:sz="4" w:space="0"/>
            </w:tcBorders>
            <w:vAlign w:val="center"/>
          </w:tcPr>
          <w:p w14:paraId="6091C58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5353B11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4CBECD6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E2CD97D">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1065076F">
            <w:pPr>
              <w:widowControl/>
              <w:adjustRightInd/>
              <w:spacing w:line="240" w:lineRule="auto"/>
              <w:textAlignment w:val="auto"/>
              <w:rPr>
                <w:rFonts w:ascii="Arial" w:hAnsi="Arial" w:cs="Arial"/>
                <w:sz w:val="16"/>
                <w:szCs w:val="18"/>
              </w:rPr>
            </w:pPr>
            <w:r>
              <w:rPr>
                <w:rFonts w:ascii="Arial" w:hAnsi="Arial" w:cs="Arial"/>
                <w:sz w:val="16"/>
                <w:szCs w:val="18"/>
              </w:rPr>
              <w:t>项目类型</w:t>
            </w:r>
          </w:p>
        </w:tc>
        <w:tc>
          <w:tcPr>
            <w:tcW w:w="1707" w:type="dxa"/>
            <w:tcBorders>
              <w:top w:val="nil"/>
              <w:left w:val="nil"/>
              <w:bottom w:val="single" w:color="auto" w:sz="4" w:space="0"/>
              <w:right w:val="single" w:color="auto" w:sz="4" w:space="0"/>
            </w:tcBorders>
            <w:vAlign w:val="center"/>
          </w:tcPr>
          <w:p w14:paraId="0EDADB8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D25B33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A58727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9048784">
        <w:tblPrEx>
          <w:tblCellMar>
            <w:top w:w="0" w:type="dxa"/>
            <w:left w:w="108" w:type="dxa"/>
            <w:bottom w:w="0" w:type="dxa"/>
            <w:right w:w="108" w:type="dxa"/>
          </w:tblCellMar>
        </w:tblPrEx>
        <w:trPr>
          <w:trHeight w:val="227" w:hRule="atLeast"/>
        </w:trPr>
        <w:tc>
          <w:tcPr>
            <w:tcW w:w="791" w:type="pct"/>
            <w:vMerge w:val="restart"/>
            <w:tcBorders>
              <w:top w:val="nil"/>
              <w:left w:val="single" w:color="auto" w:sz="4" w:space="0"/>
              <w:bottom w:val="single" w:color="auto" w:sz="4" w:space="0"/>
              <w:right w:val="single" w:color="auto" w:sz="4" w:space="0"/>
            </w:tcBorders>
            <w:vAlign w:val="center"/>
          </w:tcPr>
          <w:p w14:paraId="39A04D1A">
            <w:pPr>
              <w:widowControl/>
              <w:adjustRightInd/>
              <w:spacing w:line="240" w:lineRule="auto"/>
              <w:jc w:val="center"/>
              <w:textAlignment w:val="auto"/>
              <w:rPr>
                <w:rFonts w:ascii="Arial" w:hAnsi="Arial" w:cs="Arial"/>
                <w:sz w:val="16"/>
                <w:szCs w:val="18"/>
              </w:rPr>
            </w:pPr>
            <w:r>
              <w:rPr>
                <w:rFonts w:ascii="Arial" w:hAnsi="Arial" w:cs="Arial"/>
                <w:sz w:val="16"/>
                <w:szCs w:val="18"/>
              </w:rPr>
              <w:t>区域状况</w:t>
            </w:r>
          </w:p>
        </w:tc>
        <w:tc>
          <w:tcPr>
            <w:tcW w:w="1517" w:type="pct"/>
            <w:tcBorders>
              <w:top w:val="nil"/>
              <w:left w:val="nil"/>
              <w:bottom w:val="single" w:color="auto" w:sz="4" w:space="0"/>
              <w:right w:val="single" w:color="auto" w:sz="4" w:space="0"/>
            </w:tcBorders>
            <w:vAlign w:val="center"/>
          </w:tcPr>
          <w:p w14:paraId="55BABD3B">
            <w:pPr>
              <w:widowControl/>
              <w:adjustRightInd/>
              <w:spacing w:line="240" w:lineRule="auto"/>
              <w:textAlignment w:val="auto"/>
              <w:rPr>
                <w:rFonts w:ascii="Arial" w:hAnsi="Arial" w:cs="Arial"/>
                <w:sz w:val="16"/>
                <w:szCs w:val="18"/>
              </w:rPr>
            </w:pPr>
            <w:r>
              <w:rPr>
                <w:rFonts w:ascii="Arial" w:hAnsi="Arial" w:cs="Arial"/>
                <w:sz w:val="16"/>
                <w:szCs w:val="18"/>
              </w:rPr>
              <w:t>居住区成熟度</w:t>
            </w:r>
          </w:p>
        </w:tc>
        <w:tc>
          <w:tcPr>
            <w:tcW w:w="1707" w:type="dxa"/>
            <w:tcBorders>
              <w:top w:val="nil"/>
              <w:left w:val="nil"/>
              <w:bottom w:val="single" w:color="auto" w:sz="4" w:space="0"/>
              <w:right w:val="single" w:color="auto" w:sz="4" w:space="0"/>
            </w:tcBorders>
            <w:vAlign w:val="center"/>
          </w:tcPr>
          <w:p w14:paraId="77FA51A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91B6F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CA38A7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A6BA27A">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DCFD64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95D31D8">
            <w:pPr>
              <w:widowControl/>
              <w:adjustRightInd/>
              <w:spacing w:line="240" w:lineRule="auto"/>
              <w:textAlignment w:val="auto"/>
              <w:rPr>
                <w:rFonts w:ascii="Arial" w:hAnsi="Arial" w:cs="Arial"/>
                <w:sz w:val="16"/>
                <w:szCs w:val="18"/>
              </w:rPr>
            </w:pPr>
            <w:r>
              <w:rPr>
                <w:rFonts w:ascii="Arial" w:hAnsi="Arial" w:cs="Arial"/>
                <w:sz w:val="16"/>
                <w:szCs w:val="18"/>
              </w:rPr>
              <w:t>道路通达度</w:t>
            </w:r>
          </w:p>
        </w:tc>
        <w:tc>
          <w:tcPr>
            <w:tcW w:w="1707" w:type="dxa"/>
            <w:tcBorders>
              <w:top w:val="nil"/>
              <w:left w:val="nil"/>
              <w:bottom w:val="single" w:color="auto" w:sz="4" w:space="0"/>
              <w:right w:val="single" w:color="auto" w:sz="4" w:space="0"/>
            </w:tcBorders>
            <w:vAlign w:val="center"/>
          </w:tcPr>
          <w:p w14:paraId="374E1E8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AF72DC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7A4700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35B007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E44F08C">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5CCF69C">
            <w:pPr>
              <w:widowControl/>
              <w:adjustRightInd/>
              <w:spacing w:line="240" w:lineRule="auto"/>
              <w:textAlignment w:val="auto"/>
              <w:rPr>
                <w:rFonts w:ascii="Arial" w:hAnsi="Arial" w:cs="Arial"/>
                <w:sz w:val="16"/>
                <w:szCs w:val="18"/>
              </w:rPr>
            </w:pPr>
            <w:r>
              <w:rPr>
                <w:rFonts w:ascii="Arial" w:hAnsi="Arial" w:cs="Arial"/>
                <w:sz w:val="16"/>
                <w:szCs w:val="18"/>
              </w:rPr>
              <w:t>距离轨道交通站点距离</w:t>
            </w:r>
          </w:p>
        </w:tc>
        <w:tc>
          <w:tcPr>
            <w:tcW w:w="1707" w:type="dxa"/>
            <w:tcBorders>
              <w:top w:val="nil"/>
              <w:left w:val="nil"/>
              <w:bottom w:val="single" w:color="auto" w:sz="4" w:space="0"/>
              <w:right w:val="single" w:color="auto" w:sz="4" w:space="0"/>
            </w:tcBorders>
            <w:vAlign w:val="center"/>
          </w:tcPr>
          <w:p w14:paraId="331DB10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151CA0F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65844F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1EC2C41A">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52DA04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26BD0B0">
            <w:pPr>
              <w:widowControl/>
              <w:adjustRightInd/>
              <w:spacing w:line="240" w:lineRule="auto"/>
              <w:textAlignment w:val="auto"/>
              <w:rPr>
                <w:rFonts w:ascii="Arial" w:hAnsi="Arial" w:cs="Arial"/>
                <w:sz w:val="16"/>
                <w:szCs w:val="18"/>
              </w:rPr>
            </w:pPr>
            <w:r>
              <w:rPr>
                <w:rFonts w:ascii="Arial" w:hAnsi="Arial" w:cs="Arial"/>
                <w:sz w:val="16"/>
                <w:szCs w:val="18"/>
              </w:rPr>
              <w:t>距离公交站点距离</w:t>
            </w:r>
          </w:p>
        </w:tc>
        <w:tc>
          <w:tcPr>
            <w:tcW w:w="1707" w:type="dxa"/>
            <w:tcBorders>
              <w:top w:val="nil"/>
              <w:left w:val="nil"/>
              <w:bottom w:val="single" w:color="auto" w:sz="4" w:space="0"/>
              <w:right w:val="single" w:color="auto" w:sz="4" w:space="0"/>
            </w:tcBorders>
            <w:vAlign w:val="center"/>
          </w:tcPr>
          <w:p w14:paraId="0D31CF8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AF3FF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0D8ABE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825837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0E9E29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7A60609">
            <w:pPr>
              <w:widowControl/>
              <w:adjustRightInd/>
              <w:spacing w:line="240" w:lineRule="auto"/>
              <w:textAlignment w:val="auto"/>
              <w:rPr>
                <w:rFonts w:ascii="Arial" w:hAnsi="Arial" w:cs="Arial"/>
                <w:sz w:val="16"/>
                <w:szCs w:val="18"/>
              </w:rPr>
            </w:pPr>
            <w:r>
              <w:rPr>
                <w:rFonts w:hint="eastAsia" w:ascii="Arial" w:hAnsi="Arial" w:cs="Arial"/>
                <w:sz w:val="16"/>
                <w:szCs w:val="18"/>
              </w:rPr>
              <w:t>环境质量优劣度</w:t>
            </w:r>
          </w:p>
        </w:tc>
        <w:tc>
          <w:tcPr>
            <w:tcW w:w="1707" w:type="dxa"/>
            <w:tcBorders>
              <w:top w:val="nil"/>
              <w:left w:val="nil"/>
              <w:bottom w:val="single" w:color="auto" w:sz="4" w:space="0"/>
              <w:right w:val="single" w:color="auto" w:sz="4" w:space="0"/>
            </w:tcBorders>
            <w:vAlign w:val="center"/>
          </w:tcPr>
          <w:p w14:paraId="5742389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228126D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4FBAB102">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2C57BA73">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6230B7E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20D078C">
            <w:pPr>
              <w:widowControl/>
              <w:adjustRightInd/>
              <w:spacing w:line="240" w:lineRule="auto"/>
              <w:textAlignment w:val="auto"/>
              <w:rPr>
                <w:rFonts w:ascii="Arial" w:hAnsi="Arial" w:cs="Arial"/>
                <w:sz w:val="16"/>
                <w:szCs w:val="18"/>
              </w:rPr>
            </w:pPr>
            <w:r>
              <w:rPr>
                <w:rFonts w:ascii="Arial" w:hAnsi="Arial" w:cs="Arial"/>
                <w:sz w:val="16"/>
                <w:szCs w:val="18"/>
              </w:rPr>
              <w:t>自然环境</w:t>
            </w:r>
          </w:p>
        </w:tc>
        <w:tc>
          <w:tcPr>
            <w:tcW w:w="1707" w:type="dxa"/>
            <w:tcBorders>
              <w:top w:val="nil"/>
              <w:left w:val="nil"/>
              <w:bottom w:val="single" w:color="auto" w:sz="4" w:space="0"/>
              <w:right w:val="single" w:color="auto" w:sz="4" w:space="0"/>
            </w:tcBorders>
            <w:vAlign w:val="center"/>
          </w:tcPr>
          <w:p w14:paraId="48E7306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839594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B23ED6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6E2B67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3C98976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4F64601">
            <w:pPr>
              <w:widowControl/>
              <w:adjustRightInd/>
              <w:spacing w:line="240" w:lineRule="auto"/>
              <w:textAlignment w:val="auto"/>
              <w:rPr>
                <w:rFonts w:ascii="Arial" w:hAnsi="Arial" w:cs="Arial"/>
                <w:sz w:val="16"/>
                <w:szCs w:val="18"/>
              </w:rPr>
            </w:pPr>
            <w:r>
              <w:rPr>
                <w:rFonts w:hint="eastAsia" w:ascii="Arial" w:hAnsi="Arial" w:cs="Arial"/>
                <w:sz w:val="16"/>
                <w:szCs w:val="18"/>
              </w:rPr>
              <w:t>小区环境</w:t>
            </w:r>
          </w:p>
        </w:tc>
        <w:tc>
          <w:tcPr>
            <w:tcW w:w="1707" w:type="dxa"/>
            <w:tcBorders>
              <w:top w:val="nil"/>
              <w:left w:val="nil"/>
              <w:bottom w:val="single" w:color="auto" w:sz="4" w:space="0"/>
              <w:right w:val="single" w:color="auto" w:sz="4" w:space="0"/>
            </w:tcBorders>
            <w:vAlign w:val="center"/>
          </w:tcPr>
          <w:p w14:paraId="36E8758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EF245E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F7000F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137D07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427FA576">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5FB87B8">
            <w:pPr>
              <w:widowControl/>
              <w:adjustRightInd/>
              <w:spacing w:line="240" w:lineRule="auto"/>
              <w:textAlignment w:val="auto"/>
              <w:rPr>
                <w:rFonts w:ascii="Arial" w:hAnsi="Arial" w:cs="Arial"/>
                <w:sz w:val="16"/>
                <w:szCs w:val="18"/>
              </w:rPr>
            </w:pPr>
            <w:r>
              <w:rPr>
                <w:rFonts w:hint="eastAsia" w:ascii="Arial" w:hAnsi="Arial" w:cs="Arial"/>
                <w:sz w:val="16"/>
                <w:szCs w:val="18"/>
              </w:rPr>
              <w:t>公共服务设施状况</w:t>
            </w:r>
          </w:p>
        </w:tc>
        <w:tc>
          <w:tcPr>
            <w:tcW w:w="1707" w:type="dxa"/>
            <w:tcBorders>
              <w:top w:val="nil"/>
              <w:left w:val="nil"/>
              <w:bottom w:val="single" w:color="auto" w:sz="4" w:space="0"/>
              <w:right w:val="single" w:color="auto" w:sz="4" w:space="0"/>
            </w:tcBorders>
            <w:vAlign w:val="center"/>
          </w:tcPr>
          <w:p w14:paraId="0D926E3F">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459C168B">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0199A0E">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E490938">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5456D14">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37657CF">
            <w:pPr>
              <w:widowControl/>
              <w:adjustRightInd/>
              <w:spacing w:line="240" w:lineRule="auto"/>
              <w:textAlignment w:val="auto"/>
              <w:rPr>
                <w:rFonts w:ascii="Arial" w:hAnsi="Arial" w:cs="Arial"/>
                <w:sz w:val="16"/>
                <w:szCs w:val="18"/>
              </w:rPr>
            </w:pPr>
            <w:r>
              <w:rPr>
                <w:rFonts w:hint="eastAsia" w:ascii="Arial" w:hAnsi="Arial" w:cs="Arial"/>
                <w:sz w:val="16"/>
                <w:szCs w:val="18"/>
              </w:rPr>
              <w:t>建筑类型</w:t>
            </w:r>
          </w:p>
        </w:tc>
        <w:tc>
          <w:tcPr>
            <w:tcW w:w="1707" w:type="dxa"/>
            <w:tcBorders>
              <w:top w:val="nil"/>
              <w:left w:val="nil"/>
              <w:bottom w:val="single" w:color="auto" w:sz="4" w:space="0"/>
              <w:right w:val="single" w:color="auto" w:sz="4" w:space="0"/>
            </w:tcBorders>
            <w:vAlign w:val="center"/>
          </w:tcPr>
          <w:p w14:paraId="0E1354E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104</w:t>
            </w:r>
          </w:p>
        </w:tc>
        <w:tc>
          <w:tcPr>
            <w:tcW w:w="1707" w:type="dxa"/>
            <w:tcBorders>
              <w:top w:val="nil"/>
              <w:left w:val="nil"/>
              <w:bottom w:val="single" w:color="auto" w:sz="4" w:space="0"/>
              <w:right w:val="single" w:color="auto" w:sz="4" w:space="0"/>
            </w:tcBorders>
            <w:vAlign w:val="center"/>
          </w:tcPr>
          <w:p w14:paraId="16ABE37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c>
          <w:tcPr>
            <w:tcW w:w="1708" w:type="dxa"/>
            <w:tcBorders>
              <w:top w:val="nil"/>
              <w:left w:val="nil"/>
              <w:bottom w:val="single" w:color="auto" w:sz="4" w:space="0"/>
              <w:right w:val="single" w:color="auto" w:sz="4" w:space="0"/>
            </w:tcBorders>
            <w:vAlign w:val="center"/>
          </w:tcPr>
          <w:p w14:paraId="5B4196F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4</w:t>
            </w:r>
          </w:p>
        </w:tc>
      </w:tr>
      <w:tr w14:paraId="2AC98720">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52F3AFD7">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9ADA6BE">
            <w:pPr>
              <w:widowControl/>
              <w:adjustRightInd/>
              <w:spacing w:line="240" w:lineRule="auto"/>
              <w:textAlignment w:val="auto"/>
              <w:rPr>
                <w:rFonts w:ascii="Arial" w:hAnsi="Arial" w:cs="Arial"/>
                <w:sz w:val="16"/>
                <w:szCs w:val="18"/>
              </w:rPr>
            </w:pPr>
            <w:r>
              <w:rPr>
                <w:rFonts w:ascii="Arial" w:hAnsi="Arial" w:cs="Arial"/>
                <w:sz w:val="16"/>
                <w:szCs w:val="18"/>
              </w:rPr>
              <w:t>楼层</w:t>
            </w:r>
          </w:p>
        </w:tc>
        <w:tc>
          <w:tcPr>
            <w:tcW w:w="1707" w:type="dxa"/>
            <w:tcBorders>
              <w:top w:val="nil"/>
              <w:left w:val="nil"/>
              <w:bottom w:val="single" w:color="auto" w:sz="4" w:space="0"/>
              <w:right w:val="single" w:color="auto" w:sz="4" w:space="0"/>
            </w:tcBorders>
            <w:vAlign w:val="center"/>
          </w:tcPr>
          <w:p w14:paraId="45E2A67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2319A64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2A0C0932">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22EE003E">
        <w:tblPrEx>
          <w:tblCellMar>
            <w:top w:w="0" w:type="dxa"/>
            <w:left w:w="108" w:type="dxa"/>
            <w:bottom w:w="0" w:type="dxa"/>
            <w:right w:w="108" w:type="dxa"/>
          </w:tblCellMar>
        </w:tblPrEx>
        <w:trPr>
          <w:trHeight w:val="227" w:hRule="atLeast"/>
        </w:trPr>
        <w:tc>
          <w:tcPr>
            <w:tcW w:w="791" w:type="pct"/>
            <w:vMerge w:val="continue"/>
            <w:tcBorders>
              <w:top w:val="nil"/>
              <w:left w:val="single" w:color="auto" w:sz="4" w:space="0"/>
              <w:bottom w:val="single" w:color="auto" w:sz="4" w:space="0"/>
              <w:right w:val="single" w:color="auto" w:sz="4" w:space="0"/>
            </w:tcBorders>
            <w:vAlign w:val="center"/>
          </w:tcPr>
          <w:p w14:paraId="1051A6C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2778C796">
            <w:pPr>
              <w:widowControl/>
              <w:adjustRightInd/>
              <w:spacing w:line="240" w:lineRule="auto"/>
              <w:textAlignment w:val="auto"/>
              <w:rPr>
                <w:rFonts w:ascii="Arial" w:hAnsi="Arial" w:cs="Arial"/>
                <w:sz w:val="16"/>
                <w:szCs w:val="18"/>
              </w:rPr>
            </w:pPr>
            <w:r>
              <w:rPr>
                <w:rFonts w:ascii="Arial" w:hAnsi="Arial" w:cs="Arial"/>
                <w:sz w:val="16"/>
                <w:szCs w:val="18"/>
              </w:rPr>
              <w:t>朝向</w:t>
            </w:r>
          </w:p>
        </w:tc>
        <w:tc>
          <w:tcPr>
            <w:tcW w:w="1707" w:type="dxa"/>
            <w:tcBorders>
              <w:top w:val="nil"/>
              <w:left w:val="nil"/>
              <w:bottom w:val="single" w:color="auto" w:sz="4" w:space="0"/>
              <w:right w:val="single" w:color="auto" w:sz="4" w:space="0"/>
            </w:tcBorders>
            <w:vAlign w:val="center"/>
          </w:tcPr>
          <w:p w14:paraId="5F8D996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c>
          <w:tcPr>
            <w:tcW w:w="1707" w:type="dxa"/>
            <w:tcBorders>
              <w:top w:val="nil"/>
              <w:left w:val="nil"/>
              <w:bottom w:val="single" w:color="auto" w:sz="4" w:space="0"/>
              <w:right w:val="single" w:color="auto" w:sz="4" w:space="0"/>
            </w:tcBorders>
            <w:vAlign w:val="center"/>
          </w:tcPr>
          <w:p w14:paraId="56433BC4">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6C58BA3F">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100</w:t>
            </w:r>
          </w:p>
        </w:tc>
      </w:tr>
      <w:tr w14:paraId="69D8C287">
        <w:tblPrEx>
          <w:tblCellMar>
            <w:top w:w="0" w:type="dxa"/>
            <w:left w:w="108" w:type="dxa"/>
            <w:bottom w:w="0" w:type="dxa"/>
            <w:right w:w="108" w:type="dxa"/>
          </w:tblCellMar>
        </w:tblPrEx>
        <w:trPr>
          <w:trHeight w:val="227" w:hRule="atLeast"/>
        </w:trPr>
        <w:tc>
          <w:tcPr>
            <w:tcW w:w="791" w:type="pct"/>
            <w:vMerge w:val="restart"/>
            <w:tcBorders>
              <w:top w:val="single" w:color="auto" w:sz="4" w:space="0"/>
              <w:left w:val="single" w:color="auto" w:sz="4" w:space="0"/>
              <w:bottom w:val="single" w:color="auto" w:sz="4" w:space="0"/>
              <w:right w:val="single" w:color="auto" w:sz="4" w:space="0"/>
            </w:tcBorders>
            <w:vAlign w:val="center"/>
          </w:tcPr>
          <w:p w14:paraId="1F8C2005">
            <w:pPr>
              <w:widowControl/>
              <w:adjustRightInd/>
              <w:spacing w:line="240" w:lineRule="auto"/>
              <w:jc w:val="center"/>
              <w:textAlignment w:val="auto"/>
              <w:rPr>
                <w:rFonts w:ascii="Arial" w:hAnsi="Arial" w:cs="Arial"/>
                <w:sz w:val="16"/>
                <w:szCs w:val="18"/>
              </w:rPr>
            </w:pPr>
            <w:r>
              <w:rPr>
                <w:rFonts w:ascii="Arial" w:hAnsi="Arial" w:cs="Arial"/>
                <w:sz w:val="16"/>
                <w:szCs w:val="18"/>
              </w:rPr>
              <w:t>实物状况</w:t>
            </w:r>
          </w:p>
        </w:tc>
        <w:tc>
          <w:tcPr>
            <w:tcW w:w="1517" w:type="pct"/>
            <w:tcBorders>
              <w:top w:val="nil"/>
              <w:left w:val="nil"/>
              <w:bottom w:val="single" w:color="auto" w:sz="4" w:space="0"/>
              <w:right w:val="single" w:color="auto" w:sz="4" w:space="0"/>
            </w:tcBorders>
            <w:vAlign w:val="center"/>
          </w:tcPr>
          <w:p w14:paraId="5DB51CF5">
            <w:pPr>
              <w:widowControl/>
              <w:adjustRightInd/>
              <w:spacing w:line="240" w:lineRule="auto"/>
              <w:textAlignment w:val="auto"/>
              <w:rPr>
                <w:rFonts w:ascii="Arial" w:hAnsi="Arial" w:cs="Arial"/>
                <w:sz w:val="16"/>
                <w:szCs w:val="18"/>
              </w:rPr>
            </w:pPr>
            <w:r>
              <w:rPr>
                <w:rFonts w:ascii="Arial" w:hAnsi="Arial" w:cs="Arial"/>
                <w:sz w:val="16"/>
                <w:szCs w:val="18"/>
              </w:rPr>
              <w:t>成新度</w:t>
            </w:r>
          </w:p>
        </w:tc>
        <w:tc>
          <w:tcPr>
            <w:tcW w:w="1707" w:type="dxa"/>
            <w:tcBorders>
              <w:top w:val="nil"/>
              <w:left w:val="nil"/>
              <w:bottom w:val="single" w:color="auto" w:sz="4" w:space="0"/>
              <w:right w:val="single" w:color="auto" w:sz="4" w:space="0"/>
            </w:tcBorders>
            <w:vAlign w:val="center"/>
          </w:tcPr>
          <w:p w14:paraId="0824C53D">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7" w:type="dxa"/>
            <w:tcBorders>
              <w:top w:val="nil"/>
              <w:left w:val="nil"/>
              <w:bottom w:val="single" w:color="auto" w:sz="4" w:space="0"/>
              <w:right w:val="single" w:color="auto" w:sz="4" w:space="0"/>
            </w:tcBorders>
            <w:vAlign w:val="center"/>
          </w:tcPr>
          <w:p w14:paraId="05AF6DA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c>
          <w:tcPr>
            <w:tcW w:w="1708" w:type="dxa"/>
            <w:tcBorders>
              <w:top w:val="nil"/>
              <w:left w:val="nil"/>
              <w:bottom w:val="single" w:color="auto" w:sz="4" w:space="0"/>
              <w:right w:val="single" w:color="auto" w:sz="4" w:space="0"/>
            </w:tcBorders>
            <w:vAlign w:val="center"/>
          </w:tcPr>
          <w:p w14:paraId="360E9E3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94</w:t>
            </w:r>
          </w:p>
        </w:tc>
      </w:tr>
      <w:tr w14:paraId="7FA03F6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3BAB9C5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19AAE7F">
            <w:pPr>
              <w:widowControl/>
              <w:adjustRightInd/>
              <w:spacing w:line="240" w:lineRule="auto"/>
              <w:textAlignment w:val="auto"/>
              <w:rPr>
                <w:rFonts w:ascii="Arial" w:hAnsi="Arial" w:cs="Arial"/>
                <w:sz w:val="16"/>
                <w:szCs w:val="18"/>
              </w:rPr>
            </w:pPr>
            <w:r>
              <w:rPr>
                <w:rFonts w:ascii="Arial" w:hAnsi="Arial" w:cs="Arial"/>
                <w:sz w:val="16"/>
                <w:szCs w:val="18"/>
              </w:rPr>
              <w:t>公共区域装修</w:t>
            </w:r>
          </w:p>
        </w:tc>
        <w:tc>
          <w:tcPr>
            <w:tcW w:w="1707" w:type="dxa"/>
            <w:tcBorders>
              <w:top w:val="nil"/>
              <w:left w:val="nil"/>
              <w:bottom w:val="single" w:color="auto" w:sz="4" w:space="0"/>
              <w:right w:val="single" w:color="auto" w:sz="4" w:space="0"/>
            </w:tcBorders>
            <w:vAlign w:val="center"/>
          </w:tcPr>
          <w:p w14:paraId="66250AA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7" w:type="dxa"/>
            <w:tcBorders>
              <w:top w:val="nil"/>
              <w:left w:val="nil"/>
              <w:bottom w:val="single" w:color="auto" w:sz="4" w:space="0"/>
              <w:right w:val="single" w:color="auto" w:sz="4" w:space="0"/>
            </w:tcBorders>
            <w:vAlign w:val="center"/>
          </w:tcPr>
          <w:p w14:paraId="3615FA83">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c>
          <w:tcPr>
            <w:tcW w:w="1708" w:type="dxa"/>
            <w:tcBorders>
              <w:top w:val="nil"/>
              <w:left w:val="nil"/>
              <w:bottom w:val="single" w:color="auto" w:sz="4" w:space="0"/>
              <w:right w:val="single" w:color="auto" w:sz="4" w:space="0"/>
            </w:tcBorders>
            <w:vAlign w:val="center"/>
          </w:tcPr>
          <w:p w14:paraId="043851A1">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598224A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1ACB81E">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1A203A2E">
            <w:pPr>
              <w:widowControl/>
              <w:adjustRightInd/>
              <w:spacing w:line="240" w:lineRule="auto"/>
              <w:textAlignment w:val="auto"/>
              <w:rPr>
                <w:rFonts w:ascii="Arial" w:hAnsi="Arial" w:cs="Arial"/>
                <w:sz w:val="16"/>
                <w:szCs w:val="18"/>
              </w:rPr>
            </w:pPr>
            <w:r>
              <w:rPr>
                <w:rFonts w:ascii="Arial" w:hAnsi="Arial" w:cs="Arial"/>
                <w:sz w:val="16"/>
                <w:szCs w:val="18"/>
              </w:rPr>
              <w:t>室内装饰装修</w:t>
            </w:r>
          </w:p>
        </w:tc>
        <w:tc>
          <w:tcPr>
            <w:tcW w:w="1707" w:type="dxa"/>
            <w:tcBorders>
              <w:top w:val="nil"/>
              <w:left w:val="nil"/>
              <w:bottom w:val="single" w:color="auto" w:sz="4" w:space="0"/>
              <w:right w:val="single" w:color="auto" w:sz="4" w:space="0"/>
            </w:tcBorders>
            <w:vAlign w:val="center"/>
          </w:tcPr>
          <w:p w14:paraId="6164C40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71C1787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263850D8">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720E4EA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0C48DE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3F85C1F2">
            <w:pPr>
              <w:widowControl/>
              <w:adjustRightInd/>
              <w:spacing w:line="240" w:lineRule="auto"/>
              <w:textAlignment w:val="auto"/>
              <w:rPr>
                <w:rFonts w:ascii="Arial" w:hAnsi="Arial" w:cs="Arial"/>
                <w:sz w:val="16"/>
                <w:szCs w:val="18"/>
              </w:rPr>
            </w:pPr>
            <w:r>
              <w:rPr>
                <w:rFonts w:ascii="Arial" w:hAnsi="Arial" w:cs="Arial"/>
                <w:sz w:val="16"/>
                <w:szCs w:val="18"/>
              </w:rPr>
              <w:t>设施设备</w:t>
            </w:r>
          </w:p>
        </w:tc>
        <w:tc>
          <w:tcPr>
            <w:tcW w:w="1707" w:type="dxa"/>
            <w:tcBorders>
              <w:top w:val="nil"/>
              <w:left w:val="nil"/>
              <w:bottom w:val="single" w:color="auto" w:sz="4" w:space="0"/>
              <w:right w:val="single" w:color="auto" w:sz="4" w:space="0"/>
            </w:tcBorders>
            <w:vAlign w:val="center"/>
          </w:tcPr>
          <w:p w14:paraId="096E3CB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651B8C6C">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6CE6EC9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79EBE7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29EBCD0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5624A110">
            <w:pPr>
              <w:widowControl/>
              <w:adjustRightInd/>
              <w:spacing w:line="240" w:lineRule="auto"/>
              <w:textAlignment w:val="auto"/>
              <w:rPr>
                <w:rFonts w:ascii="Arial" w:hAnsi="Arial" w:cs="Arial"/>
                <w:sz w:val="16"/>
                <w:szCs w:val="18"/>
              </w:rPr>
            </w:pPr>
            <w:r>
              <w:rPr>
                <w:rFonts w:ascii="Arial" w:hAnsi="Arial" w:cs="Arial"/>
                <w:sz w:val="16"/>
                <w:szCs w:val="18"/>
              </w:rPr>
              <w:t>综合管理服务设施</w:t>
            </w:r>
          </w:p>
        </w:tc>
        <w:tc>
          <w:tcPr>
            <w:tcW w:w="1707" w:type="dxa"/>
            <w:tcBorders>
              <w:top w:val="nil"/>
              <w:left w:val="nil"/>
              <w:bottom w:val="single" w:color="auto" w:sz="4" w:space="0"/>
              <w:right w:val="single" w:color="auto" w:sz="4" w:space="0"/>
            </w:tcBorders>
            <w:vAlign w:val="center"/>
          </w:tcPr>
          <w:p w14:paraId="5643CCC3">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0213288A">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3406E57D">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CDC90B6">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6FFD7B5F">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A72E8CA">
            <w:pPr>
              <w:widowControl/>
              <w:adjustRightInd/>
              <w:spacing w:line="240" w:lineRule="auto"/>
              <w:textAlignment w:val="auto"/>
              <w:rPr>
                <w:rFonts w:ascii="Arial" w:hAnsi="Arial" w:cs="Arial"/>
                <w:sz w:val="16"/>
                <w:szCs w:val="18"/>
              </w:rPr>
            </w:pPr>
            <w:r>
              <w:rPr>
                <w:rFonts w:ascii="Arial" w:hAnsi="Arial" w:cs="Arial"/>
                <w:sz w:val="16"/>
                <w:szCs w:val="18"/>
              </w:rPr>
              <w:t>户型布局</w:t>
            </w:r>
          </w:p>
        </w:tc>
        <w:tc>
          <w:tcPr>
            <w:tcW w:w="1707" w:type="dxa"/>
            <w:tcBorders>
              <w:top w:val="nil"/>
              <w:left w:val="nil"/>
              <w:bottom w:val="single" w:color="auto" w:sz="4" w:space="0"/>
              <w:right w:val="single" w:color="auto" w:sz="4" w:space="0"/>
            </w:tcBorders>
            <w:vAlign w:val="center"/>
          </w:tcPr>
          <w:p w14:paraId="5559823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7" w:type="dxa"/>
            <w:tcBorders>
              <w:top w:val="nil"/>
              <w:left w:val="nil"/>
              <w:bottom w:val="single" w:color="auto" w:sz="4" w:space="0"/>
              <w:right w:val="single" w:color="auto" w:sz="4" w:space="0"/>
            </w:tcBorders>
            <w:vAlign w:val="center"/>
          </w:tcPr>
          <w:p w14:paraId="65E498D2">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c>
          <w:tcPr>
            <w:tcW w:w="1708" w:type="dxa"/>
            <w:tcBorders>
              <w:top w:val="nil"/>
              <w:left w:val="nil"/>
              <w:bottom w:val="single" w:color="auto" w:sz="4" w:space="0"/>
              <w:right w:val="single" w:color="auto" w:sz="4" w:space="0"/>
            </w:tcBorders>
            <w:vAlign w:val="center"/>
          </w:tcPr>
          <w:p w14:paraId="0DC79645">
            <w:pPr>
              <w:widowControl/>
              <w:adjustRightInd/>
              <w:spacing w:line="240" w:lineRule="auto"/>
              <w:jc w:val="center"/>
              <w:textAlignment w:val="auto"/>
              <w:rPr>
                <w:rFonts w:ascii="Arial" w:hAnsi="Arial" w:cs="Arial"/>
                <w:sz w:val="16"/>
                <w:szCs w:val="18"/>
              </w:rPr>
            </w:pPr>
            <w:r>
              <w:rPr>
                <w:rFonts w:ascii="Arial" w:hAnsi="Arial" w:cs="Arial"/>
                <w:sz w:val="16"/>
                <w:szCs w:val="18"/>
              </w:rPr>
              <w:t>100/10</w:t>
            </w:r>
            <w:r>
              <w:rPr>
                <w:rFonts w:hint="eastAsia" w:ascii="Arial" w:hAnsi="Arial" w:cs="Arial"/>
                <w:sz w:val="16"/>
                <w:szCs w:val="18"/>
              </w:rPr>
              <w:t>0</w:t>
            </w:r>
          </w:p>
        </w:tc>
      </w:tr>
      <w:tr w14:paraId="5D3928F3">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4A86012">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7A7A7717">
            <w:pPr>
              <w:widowControl/>
              <w:adjustRightInd/>
              <w:spacing w:line="240" w:lineRule="auto"/>
              <w:textAlignment w:val="auto"/>
              <w:rPr>
                <w:rFonts w:ascii="Arial" w:hAnsi="Arial" w:cs="Arial"/>
                <w:sz w:val="16"/>
                <w:szCs w:val="18"/>
              </w:rPr>
            </w:pPr>
            <w:r>
              <w:rPr>
                <w:rFonts w:ascii="Arial" w:hAnsi="Arial" w:cs="Arial"/>
                <w:sz w:val="16"/>
                <w:szCs w:val="18"/>
              </w:rPr>
              <w:t>户型结构</w:t>
            </w:r>
          </w:p>
        </w:tc>
        <w:tc>
          <w:tcPr>
            <w:tcW w:w="1707" w:type="dxa"/>
            <w:tcBorders>
              <w:top w:val="nil"/>
              <w:left w:val="nil"/>
              <w:bottom w:val="single" w:color="auto" w:sz="4" w:space="0"/>
              <w:right w:val="single" w:color="auto" w:sz="4" w:space="0"/>
            </w:tcBorders>
            <w:vAlign w:val="center"/>
          </w:tcPr>
          <w:p w14:paraId="4737A49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3CB12837">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7360A224">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0C7B569F">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4E4E570">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0C4300DD">
            <w:pPr>
              <w:widowControl/>
              <w:adjustRightInd/>
              <w:spacing w:line="240" w:lineRule="auto"/>
              <w:textAlignment w:val="auto"/>
              <w:rPr>
                <w:rFonts w:ascii="Arial" w:hAnsi="Arial" w:cs="Arial"/>
                <w:sz w:val="16"/>
                <w:szCs w:val="18"/>
              </w:rPr>
            </w:pPr>
            <w:r>
              <w:rPr>
                <w:rFonts w:ascii="Arial" w:hAnsi="Arial" w:cs="Arial"/>
                <w:sz w:val="16"/>
                <w:szCs w:val="18"/>
              </w:rPr>
              <w:t>建筑面积</w:t>
            </w:r>
          </w:p>
        </w:tc>
        <w:tc>
          <w:tcPr>
            <w:tcW w:w="1707" w:type="dxa"/>
            <w:tcBorders>
              <w:top w:val="nil"/>
              <w:left w:val="nil"/>
              <w:bottom w:val="single" w:color="auto" w:sz="4" w:space="0"/>
              <w:right w:val="single" w:color="auto" w:sz="4" w:space="0"/>
            </w:tcBorders>
            <w:vAlign w:val="center"/>
          </w:tcPr>
          <w:p w14:paraId="0184C57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96</w:t>
            </w:r>
          </w:p>
        </w:tc>
        <w:tc>
          <w:tcPr>
            <w:tcW w:w="1707" w:type="dxa"/>
            <w:tcBorders>
              <w:top w:val="nil"/>
              <w:left w:val="nil"/>
              <w:bottom w:val="single" w:color="auto" w:sz="4" w:space="0"/>
              <w:right w:val="single" w:color="auto" w:sz="4" w:space="0"/>
            </w:tcBorders>
            <w:vAlign w:val="center"/>
          </w:tcPr>
          <w:p w14:paraId="5D988CB8">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102</w:t>
            </w:r>
          </w:p>
        </w:tc>
        <w:tc>
          <w:tcPr>
            <w:tcW w:w="1708" w:type="dxa"/>
            <w:tcBorders>
              <w:top w:val="nil"/>
              <w:left w:val="nil"/>
              <w:bottom w:val="single" w:color="auto" w:sz="4" w:space="0"/>
              <w:right w:val="single" w:color="auto" w:sz="4" w:space="0"/>
            </w:tcBorders>
            <w:vAlign w:val="center"/>
          </w:tcPr>
          <w:p w14:paraId="405B5FE9">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98</w:t>
            </w:r>
          </w:p>
        </w:tc>
      </w:tr>
      <w:tr w14:paraId="11501CCD">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72B6D798">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6B79C725">
            <w:pPr>
              <w:widowControl/>
              <w:adjustRightInd/>
              <w:spacing w:line="240" w:lineRule="auto"/>
              <w:textAlignment w:val="auto"/>
              <w:rPr>
                <w:rFonts w:ascii="Arial" w:hAnsi="Arial" w:cs="Arial"/>
                <w:sz w:val="16"/>
                <w:szCs w:val="18"/>
              </w:rPr>
            </w:pPr>
            <w:r>
              <w:rPr>
                <w:rFonts w:ascii="Arial" w:hAnsi="Arial" w:cs="Arial"/>
                <w:sz w:val="16"/>
                <w:szCs w:val="18"/>
              </w:rPr>
              <w:t>家具家电</w:t>
            </w:r>
          </w:p>
        </w:tc>
        <w:tc>
          <w:tcPr>
            <w:tcW w:w="1707" w:type="dxa"/>
            <w:tcBorders>
              <w:top w:val="nil"/>
              <w:left w:val="nil"/>
              <w:bottom w:val="single" w:color="auto" w:sz="4" w:space="0"/>
              <w:right w:val="single" w:color="auto" w:sz="4" w:space="0"/>
            </w:tcBorders>
            <w:vAlign w:val="center"/>
          </w:tcPr>
          <w:p w14:paraId="39D9CA0E">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7" w:type="dxa"/>
            <w:tcBorders>
              <w:top w:val="nil"/>
              <w:left w:val="nil"/>
              <w:bottom w:val="single" w:color="auto" w:sz="4" w:space="0"/>
              <w:right w:val="single" w:color="auto" w:sz="4" w:space="0"/>
            </w:tcBorders>
            <w:vAlign w:val="center"/>
          </w:tcPr>
          <w:p w14:paraId="73295F6A">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c>
          <w:tcPr>
            <w:tcW w:w="1708" w:type="dxa"/>
            <w:tcBorders>
              <w:top w:val="nil"/>
              <w:left w:val="nil"/>
              <w:bottom w:val="single" w:color="auto" w:sz="4" w:space="0"/>
              <w:right w:val="single" w:color="auto" w:sz="4" w:space="0"/>
            </w:tcBorders>
            <w:vAlign w:val="center"/>
          </w:tcPr>
          <w:p w14:paraId="153E47AB">
            <w:pPr>
              <w:widowControl/>
              <w:adjustRightInd/>
              <w:spacing w:line="240" w:lineRule="auto"/>
              <w:jc w:val="center"/>
              <w:textAlignment w:val="auto"/>
              <w:rPr>
                <w:rFonts w:ascii="Arial" w:hAnsi="Arial" w:cs="Arial"/>
                <w:sz w:val="16"/>
                <w:szCs w:val="18"/>
              </w:rPr>
            </w:pPr>
            <w:r>
              <w:rPr>
                <w:rFonts w:ascii="Arial" w:hAnsi="Arial" w:cs="Arial"/>
                <w:sz w:val="16"/>
                <w:szCs w:val="18"/>
              </w:rPr>
              <w:t>100/</w:t>
            </w:r>
            <w:r>
              <w:rPr>
                <w:rFonts w:hint="eastAsia" w:ascii="Arial" w:hAnsi="Arial" w:cs="Arial"/>
                <w:sz w:val="16"/>
                <w:szCs w:val="18"/>
              </w:rPr>
              <w:t>91</w:t>
            </w:r>
          </w:p>
        </w:tc>
      </w:tr>
      <w:tr w14:paraId="3D0D517B">
        <w:tblPrEx>
          <w:tblCellMar>
            <w:top w:w="0" w:type="dxa"/>
            <w:left w:w="108" w:type="dxa"/>
            <w:bottom w:w="0" w:type="dxa"/>
            <w:right w:w="108" w:type="dxa"/>
          </w:tblCellMar>
        </w:tblPrEx>
        <w:trPr>
          <w:trHeight w:val="217" w:hRule="atLeast"/>
        </w:trPr>
        <w:tc>
          <w:tcPr>
            <w:tcW w:w="791" w:type="pct"/>
            <w:vMerge w:val="restart"/>
            <w:tcBorders>
              <w:left w:val="single" w:color="auto" w:sz="4" w:space="0"/>
              <w:bottom w:val="single" w:color="auto" w:sz="4" w:space="0"/>
              <w:right w:val="single" w:color="auto" w:sz="4" w:space="0"/>
            </w:tcBorders>
            <w:vAlign w:val="center"/>
          </w:tcPr>
          <w:p w14:paraId="496DA85C">
            <w:pPr>
              <w:widowControl/>
              <w:adjustRightInd/>
              <w:spacing w:line="240" w:lineRule="auto"/>
              <w:textAlignment w:val="auto"/>
              <w:rPr>
                <w:rFonts w:ascii="Arial" w:hAnsi="Arial" w:cs="Arial"/>
                <w:sz w:val="16"/>
                <w:szCs w:val="18"/>
              </w:rPr>
            </w:pPr>
            <w:r>
              <w:rPr>
                <w:rFonts w:ascii="Arial" w:hAnsi="Arial" w:cs="Arial"/>
                <w:sz w:val="16"/>
                <w:szCs w:val="18"/>
              </w:rPr>
              <w:t>权益状况</w:t>
            </w:r>
          </w:p>
        </w:tc>
        <w:tc>
          <w:tcPr>
            <w:tcW w:w="1517" w:type="pct"/>
            <w:tcBorders>
              <w:top w:val="nil"/>
              <w:left w:val="nil"/>
              <w:bottom w:val="single" w:color="auto" w:sz="4" w:space="0"/>
              <w:right w:val="single" w:color="auto" w:sz="4" w:space="0"/>
            </w:tcBorders>
            <w:vAlign w:val="center"/>
          </w:tcPr>
          <w:p w14:paraId="0EE09AA1">
            <w:pPr>
              <w:widowControl/>
              <w:adjustRightInd/>
              <w:spacing w:line="240" w:lineRule="auto"/>
              <w:textAlignment w:val="auto"/>
              <w:rPr>
                <w:rFonts w:ascii="Arial" w:hAnsi="Arial" w:cs="Arial"/>
                <w:sz w:val="16"/>
                <w:szCs w:val="18"/>
              </w:rPr>
            </w:pPr>
            <w:r>
              <w:rPr>
                <w:rFonts w:ascii="Arial" w:hAnsi="Arial" w:cs="Arial"/>
                <w:sz w:val="16"/>
                <w:szCs w:val="18"/>
              </w:rPr>
              <w:t>服务及管理水平</w:t>
            </w:r>
          </w:p>
        </w:tc>
        <w:tc>
          <w:tcPr>
            <w:tcW w:w="1707" w:type="dxa"/>
            <w:tcBorders>
              <w:top w:val="nil"/>
              <w:left w:val="nil"/>
              <w:bottom w:val="single" w:color="auto" w:sz="4" w:space="0"/>
              <w:right w:val="single" w:color="auto" w:sz="4" w:space="0"/>
            </w:tcBorders>
            <w:vAlign w:val="center"/>
          </w:tcPr>
          <w:p w14:paraId="5998D7B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7" w:type="dxa"/>
            <w:tcBorders>
              <w:top w:val="nil"/>
              <w:left w:val="nil"/>
              <w:bottom w:val="single" w:color="auto" w:sz="4" w:space="0"/>
              <w:right w:val="single" w:color="auto" w:sz="4" w:space="0"/>
            </w:tcBorders>
            <w:vAlign w:val="center"/>
          </w:tcPr>
          <w:p w14:paraId="5798A7C0">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1708" w:type="dxa"/>
            <w:tcBorders>
              <w:top w:val="nil"/>
              <w:left w:val="nil"/>
              <w:bottom w:val="single" w:color="auto" w:sz="4" w:space="0"/>
              <w:right w:val="single" w:color="auto" w:sz="4" w:space="0"/>
            </w:tcBorders>
            <w:vAlign w:val="center"/>
          </w:tcPr>
          <w:p w14:paraId="16685EE6">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4F9AF2F4">
        <w:tblPrEx>
          <w:tblCellMar>
            <w:top w:w="0" w:type="dxa"/>
            <w:left w:w="108" w:type="dxa"/>
            <w:bottom w:w="0" w:type="dxa"/>
            <w:right w:w="108" w:type="dxa"/>
          </w:tblCellMar>
        </w:tblPrEx>
        <w:trPr>
          <w:trHeight w:val="227" w:hRule="atLeast"/>
        </w:trPr>
        <w:tc>
          <w:tcPr>
            <w:tcW w:w="791" w:type="pct"/>
            <w:vMerge w:val="continue"/>
            <w:tcBorders>
              <w:left w:val="single" w:color="auto" w:sz="4" w:space="0"/>
              <w:bottom w:val="single" w:color="auto" w:sz="4" w:space="0"/>
              <w:right w:val="single" w:color="auto" w:sz="4" w:space="0"/>
            </w:tcBorders>
            <w:vAlign w:val="center"/>
          </w:tcPr>
          <w:p w14:paraId="42FBB0CD">
            <w:pPr>
              <w:widowControl/>
              <w:adjustRightInd/>
              <w:spacing w:line="240" w:lineRule="auto"/>
              <w:textAlignment w:val="auto"/>
              <w:rPr>
                <w:rFonts w:ascii="Arial" w:hAnsi="Arial" w:cs="Arial"/>
                <w:sz w:val="16"/>
                <w:szCs w:val="18"/>
              </w:rPr>
            </w:pPr>
          </w:p>
        </w:tc>
        <w:tc>
          <w:tcPr>
            <w:tcW w:w="1517" w:type="pct"/>
            <w:tcBorders>
              <w:top w:val="nil"/>
              <w:left w:val="nil"/>
              <w:bottom w:val="single" w:color="auto" w:sz="4" w:space="0"/>
              <w:right w:val="single" w:color="auto" w:sz="4" w:space="0"/>
            </w:tcBorders>
            <w:vAlign w:val="center"/>
          </w:tcPr>
          <w:p w14:paraId="4CBA8F80">
            <w:pPr>
              <w:widowControl/>
              <w:adjustRightInd/>
              <w:spacing w:line="240" w:lineRule="auto"/>
              <w:textAlignment w:val="auto"/>
              <w:rPr>
                <w:rFonts w:ascii="Arial" w:hAnsi="Arial" w:cs="Arial"/>
                <w:sz w:val="16"/>
                <w:szCs w:val="18"/>
              </w:rPr>
            </w:pPr>
            <w:r>
              <w:rPr>
                <w:rFonts w:ascii="Arial" w:hAnsi="Arial" w:cs="Arial"/>
                <w:sz w:val="16"/>
                <w:szCs w:val="18"/>
              </w:rPr>
              <w:t>水电气费执行标准</w:t>
            </w:r>
          </w:p>
        </w:tc>
        <w:tc>
          <w:tcPr>
            <w:tcW w:w="897" w:type="pct"/>
            <w:tcBorders>
              <w:top w:val="nil"/>
              <w:left w:val="nil"/>
              <w:bottom w:val="single" w:color="auto" w:sz="4" w:space="0"/>
              <w:right w:val="single" w:color="auto" w:sz="4" w:space="0"/>
            </w:tcBorders>
            <w:vAlign w:val="center"/>
          </w:tcPr>
          <w:p w14:paraId="2C1FF1F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6092BA71">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c>
          <w:tcPr>
            <w:tcW w:w="897" w:type="pct"/>
            <w:tcBorders>
              <w:top w:val="nil"/>
              <w:left w:val="nil"/>
              <w:bottom w:val="single" w:color="auto" w:sz="4" w:space="0"/>
              <w:right w:val="single" w:color="auto" w:sz="4" w:space="0"/>
            </w:tcBorders>
            <w:vAlign w:val="center"/>
          </w:tcPr>
          <w:p w14:paraId="78076AD9">
            <w:pPr>
              <w:widowControl/>
              <w:adjustRightInd/>
              <w:spacing w:line="240" w:lineRule="auto"/>
              <w:jc w:val="center"/>
              <w:textAlignment w:val="auto"/>
              <w:rPr>
                <w:rFonts w:ascii="Arial" w:hAnsi="Arial" w:cs="Arial"/>
                <w:sz w:val="16"/>
                <w:szCs w:val="18"/>
              </w:rPr>
            </w:pPr>
            <w:r>
              <w:rPr>
                <w:rFonts w:ascii="Arial" w:hAnsi="Arial" w:cs="Arial"/>
                <w:sz w:val="16"/>
                <w:szCs w:val="18"/>
              </w:rPr>
              <w:t>100/100</w:t>
            </w:r>
          </w:p>
        </w:tc>
      </w:tr>
      <w:tr w14:paraId="35BCE0C8">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066758AE">
            <w:pPr>
              <w:widowControl/>
              <w:adjustRightInd/>
              <w:spacing w:line="240" w:lineRule="auto"/>
              <w:textAlignment w:val="auto"/>
              <w:rPr>
                <w:rFonts w:ascii="Arial" w:hAnsi="Arial" w:cs="Arial"/>
                <w:sz w:val="16"/>
                <w:szCs w:val="18"/>
              </w:rPr>
            </w:pPr>
            <w:r>
              <w:rPr>
                <w:rFonts w:ascii="Arial" w:hAnsi="Arial" w:cs="Arial"/>
                <w:sz w:val="16"/>
                <w:szCs w:val="18"/>
              </w:rPr>
              <w:t>修正系数</w:t>
            </w:r>
          </w:p>
        </w:tc>
        <w:tc>
          <w:tcPr>
            <w:tcW w:w="897" w:type="pct"/>
            <w:tcBorders>
              <w:top w:val="single" w:color="auto" w:sz="4" w:space="0"/>
              <w:left w:val="nil"/>
              <w:bottom w:val="single" w:color="auto" w:sz="4" w:space="0"/>
              <w:right w:val="single" w:color="auto" w:sz="4" w:space="0"/>
            </w:tcBorders>
            <w:vAlign w:val="center"/>
          </w:tcPr>
          <w:p w14:paraId="45C1BD1D">
            <w:pPr>
              <w:spacing w:line="240" w:lineRule="auto"/>
              <w:jc w:val="center"/>
              <w:rPr>
                <w:rFonts w:ascii="Arial" w:hAnsi="Arial" w:cs="Arial"/>
                <w:sz w:val="16"/>
                <w:szCs w:val="18"/>
              </w:rPr>
            </w:pPr>
            <w:r>
              <w:rPr>
                <w:rFonts w:hint="eastAsia" w:ascii="Arial" w:hAnsi="Arial" w:cs="Arial"/>
                <w:sz w:val="16"/>
                <w:szCs w:val="18"/>
              </w:rPr>
              <w:t>1.1948</w:t>
            </w:r>
          </w:p>
        </w:tc>
        <w:tc>
          <w:tcPr>
            <w:tcW w:w="897" w:type="pct"/>
            <w:tcBorders>
              <w:top w:val="single" w:color="auto" w:sz="4" w:space="0"/>
              <w:left w:val="nil"/>
              <w:bottom w:val="single" w:color="auto" w:sz="4" w:space="0"/>
              <w:right w:val="single" w:color="auto" w:sz="4" w:space="0"/>
            </w:tcBorders>
            <w:vAlign w:val="center"/>
          </w:tcPr>
          <w:p w14:paraId="3480DA54">
            <w:pPr>
              <w:spacing w:line="240" w:lineRule="auto"/>
              <w:jc w:val="center"/>
              <w:rPr>
                <w:rFonts w:ascii="Arial" w:hAnsi="Arial" w:cs="Arial"/>
                <w:sz w:val="16"/>
                <w:szCs w:val="18"/>
              </w:rPr>
            </w:pPr>
            <w:r>
              <w:rPr>
                <w:rFonts w:hint="eastAsia" w:ascii="Arial" w:hAnsi="Arial" w:cs="Arial"/>
                <w:sz w:val="16"/>
                <w:szCs w:val="18"/>
              </w:rPr>
              <w:t>1.1475</w:t>
            </w:r>
          </w:p>
        </w:tc>
        <w:tc>
          <w:tcPr>
            <w:tcW w:w="897" w:type="pct"/>
            <w:tcBorders>
              <w:top w:val="single" w:color="auto" w:sz="4" w:space="0"/>
              <w:left w:val="nil"/>
              <w:bottom w:val="single" w:color="auto" w:sz="4" w:space="0"/>
              <w:right w:val="single" w:color="auto" w:sz="4" w:space="0"/>
            </w:tcBorders>
            <w:vAlign w:val="center"/>
          </w:tcPr>
          <w:p w14:paraId="4E44855B">
            <w:pPr>
              <w:spacing w:line="240" w:lineRule="auto"/>
              <w:jc w:val="center"/>
              <w:rPr>
                <w:rFonts w:ascii="Arial" w:hAnsi="Arial" w:cs="Arial"/>
                <w:sz w:val="16"/>
                <w:szCs w:val="18"/>
              </w:rPr>
            </w:pPr>
            <w:r>
              <w:rPr>
                <w:rFonts w:hint="eastAsia" w:ascii="Arial" w:hAnsi="Arial" w:cs="Arial"/>
                <w:sz w:val="16"/>
                <w:szCs w:val="18"/>
              </w:rPr>
              <w:t>1.1704</w:t>
            </w:r>
          </w:p>
        </w:tc>
      </w:tr>
      <w:tr w14:paraId="6159575B">
        <w:tblPrEx>
          <w:tblCellMar>
            <w:top w:w="0" w:type="dxa"/>
            <w:left w:w="108" w:type="dxa"/>
            <w:bottom w:w="0" w:type="dxa"/>
            <w:right w:w="108" w:type="dxa"/>
          </w:tblCellMar>
        </w:tblPrEx>
        <w:trPr>
          <w:trHeight w:val="227" w:hRule="atLeast"/>
        </w:trPr>
        <w:tc>
          <w:tcPr>
            <w:tcW w:w="2308" w:type="pct"/>
            <w:gridSpan w:val="2"/>
            <w:tcBorders>
              <w:top w:val="single" w:color="auto" w:sz="4" w:space="0"/>
              <w:left w:val="single" w:color="auto" w:sz="4" w:space="0"/>
              <w:bottom w:val="single" w:color="auto" w:sz="4" w:space="0"/>
              <w:right w:val="single" w:color="auto" w:sz="4" w:space="0"/>
            </w:tcBorders>
            <w:vAlign w:val="center"/>
          </w:tcPr>
          <w:p w14:paraId="2A0821A3">
            <w:pPr>
              <w:widowControl/>
              <w:adjustRightInd/>
              <w:spacing w:line="240" w:lineRule="auto"/>
              <w:textAlignment w:val="auto"/>
              <w:rPr>
                <w:rFonts w:ascii="Arial" w:hAnsi="Arial" w:cs="Arial"/>
                <w:sz w:val="16"/>
                <w:szCs w:val="18"/>
              </w:rPr>
            </w:pPr>
            <w:r>
              <w:rPr>
                <w:rFonts w:ascii="Arial" w:hAnsi="Arial" w:cs="Arial"/>
                <w:sz w:val="16"/>
                <w:szCs w:val="18"/>
              </w:rPr>
              <w:t>比准价格（元/平方米·月）</w:t>
            </w:r>
          </w:p>
        </w:tc>
        <w:tc>
          <w:tcPr>
            <w:tcW w:w="897" w:type="pct"/>
            <w:tcBorders>
              <w:top w:val="single" w:color="auto" w:sz="4" w:space="0"/>
              <w:left w:val="nil"/>
              <w:bottom w:val="single" w:color="auto" w:sz="4" w:space="0"/>
              <w:right w:val="single" w:color="auto" w:sz="4" w:space="0"/>
            </w:tcBorders>
            <w:vAlign w:val="center"/>
          </w:tcPr>
          <w:p w14:paraId="14FF40E9">
            <w:pPr>
              <w:spacing w:line="240" w:lineRule="auto"/>
              <w:jc w:val="center"/>
              <w:rPr>
                <w:rFonts w:ascii="Arial" w:hAnsi="Arial" w:cs="Arial"/>
                <w:sz w:val="16"/>
                <w:szCs w:val="18"/>
              </w:rPr>
            </w:pPr>
            <w:r>
              <w:rPr>
                <w:rFonts w:hint="eastAsia" w:ascii="Arial" w:hAnsi="Arial" w:cs="Arial"/>
                <w:sz w:val="16"/>
                <w:szCs w:val="18"/>
              </w:rPr>
              <w:t>39.62</w:t>
            </w:r>
          </w:p>
        </w:tc>
        <w:tc>
          <w:tcPr>
            <w:tcW w:w="897" w:type="pct"/>
            <w:tcBorders>
              <w:top w:val="single" w:color="auto" w:sz="4" w:space="0"/>
              <w:left w:val="nil"/>
              <w:bottom w:val="single" w:color="auto" w:sz="4" w:space="0"/>
              <w:right w:val="single" w:color="auto" w:sz="4" w:space="0"/>
            </w:tcBorders>
            <w:vAlign w:val="center"/>
          </w:tcPr>
          <w:p w14:paraId="1F69E431">
            <w:pPr>
              <w:spacing w:line="240" w:lineRule="auto"/>
              <w:jc w:val="center"/>
              <w:rPr>
                <w:rFonts w:ascii="Arial" w:hAnsi="Arial" w:cs="Arial"/>
                <w:sz w:val="16"/>
                <w:szCs w:val="18"/>
              </w:rPr>
            </w:pPr>
            <w:r>
              <w:rPr>
                <w:rFonts w:hint="eastAsia" w:ascii="Arial" w:hAnsi="Arial" w:cs="Arial"/>
                <w:sz w:val="16"/>
                <w:szCs w:val="18"/>
              </w:rPr>
              <w:t>39.66</w:t>
            </w:r>
          </w:p>
        </w:tc>
        <w:tc>
          <w:tcPr>
            <w:tcW w:w="897" w:type="pct"/>
            <w:tcBorders>
              <w:top w:val="single" w:color="auto" w:sz="4" w:space="0"/>
              <w:left w:val="nil"/>
              <w:bottom w:val="single" w:color="auto" w:sz="4" w:space="0"/>
              <w:right w:val="single" w:color="auto" w:sz="4" w:space="0"/>
            </w:tcBorders>
            <w:vAlign w:val="center"/>
          </w:tcPr>
          <w:p w14:paraId="3C63F275">
            <w:pPr>
              <w:spacing w:line="240" w:lineRule="auto"/>
              <w:jc w:val="center"/>
              <w:rPr>
                <w:rFonts w:ascii="Arial" w:hAnsi="Arial" w:cs="Arial"/>
                <w:sz w:val="16"/>
                <w:szCs w:val="18"/>
              </w:rPr>
            </w:pPr>
            <w:r>
              <w:rPr>
                <w:rFonts w:hint="eastAsia" w:ascii="Arial" w:hAnsi="Arial" w:cs="Arial"/>
                <w:sz w:val="16"/>
                <w:szCs w:val="18"/>
              </w:rPr>
              <w:t>36.11</w:t>
            </w:r>
          </w:p>
        </w:tc>
      </w:tr>
    </w:tbl>
    <w:p w14:paraId="3B792AA1">
      <w:pPr>
        <w:wordWrap w:val="0"/>
        <w:overflowPunct w:val="0"/>
        <w:spacing w:before="240" w:beforeLines="100" w:line="480" w:lineRule="auto"/>
        <w:ind w:firstLine="420" w:firstLineChars="200"/>
        <w:rPr>
          <w:rFonts w:ascii="Arial" w:hAnsi="Arial"/>
          <w:sz w:val="21"/>
          <w:szCs w:val="21"/>
        </w:rPr>
      </w:pPr>
      <w:r>
        <w:rPr>
          <w:rFonts w:hint="eastAsia" w:ascii="Arial" w:hAnsi="Arial"/>
          <w:sz w:val="21"/>
          <w:szCs w:val="21"/>
        </w:rPr>
        <w:t>注：</w:t>
      </w:r>
      <w:r>
        <w:rPr>
          <w:rFonts w:ascii="Arial" w:hAnsi="Arial"/>
          <w:sz w:val="21"/>
          <w:szCs w:val="21"/>
        </w:rPr>
        <w:t>比准价格＝比较</w:t>
      </w:r>
      <w:r>
        <w:rPr>
          <w:rFonts w:hint="eastAsia" w:ascii="Arial" w:hAnsi="Arial"/>
          <w:sz w:val="21"/>
          <w:szCs w:val="21"/>
        </w:rPr>
        <w:t>实例</w:t>
      </w:r>
      <w:r>
        <w:rPr>
          <w:rFonts w:ascii="Arial" w:hAnsi="Arial"/>
          <w:sz w:val="21"/>
          <w:szCs w:val="21"/>
        </w:rPr>
        <w:t>平均租金×（待估房地产</w:t>
      </w:r>
      <w:r>
        <w:rPr>
          <w:rFonts w:hint="eastAsia" w:ascii="Arial" w:hAnsi="Arial"/>
          <w:sz w:val="21"/>
          <w:szCs w:val="21"/>
        </w:rPr>
        <w:t>交易时间</w:t>
      </w:r>
      <w:r>
        <w:rPr>
          <w:rFonts w:ascii="Arial" w:hAnsi="Arial"/>
          <w:sz w:val="21"/>
          <w:szCs w:val="21"/>
        </w:rPr>
        <w:t>房地产价租赁格指数/可比实例交易</w:t>
      </w:r>
      <w:r>
        <w:rPr>
          <w:rFonts w:hint="eastAsia" w:ascii="Arial" w:hAnsi="Arial"/>
          <w:sz w:val="21"/>
          <w:szCs w:val="21"/>
        </w:rPr>
        <w:t>时间</w:t>
      </w:r>
      <w:r>
        <w:rPr>
          <w:rFonts w:ascii="Arial" w:hAnsi="Arial"/>
          <w:sz w:val="21"/>
          <w:szCs w:val="21"/>
        </w:rPr>
        <w:t>房地产租赁价格指数）×（待估房地产交易情况指数/可比实例</w:t>
      </w:r>
      <w:r>
        <w:rPr>
          <w:rFonts w:hint="eastAsia" w:ascii="Arial" w:hAnsi="Arial"/>
          <w:sz w:val="21"/>
          <w:szCs w:val="21"/>
        </w:rPr>
        <w:t>交易情况</w:t>
      </w:r>
      <w:r>
        <w:rPr>
          <w:rFonts w:ascii="Arial" w:hAnsi="Arial"/>
          <w:sz w:val="21"/>
          <w:szCs w:val="21"/>
        </w:rPr>
        <w:t>指数）×（待估房地产</w:t>
      </w:r>
      <w:r>
        <w:rPr>
          <w:rFonts w:hint="eastAsia" w:ascii="Arial" w:hAnsi="Arial"/>
          <w:sz w:val="21"/>
          <w:szCs w:val="21"/>
        </w:rPr>
        <w:t>项目类型</w:t>
      </w:r>
      <w:r>
        <w:rPr>
          <w:rFonts w:ascii="Arial" w:hAnsi="Arial"/>
          <w:sz w:val="21"/>
          <w:szCs w:val="21"/>
        </w:rPr>
        <w:t>指数/可比实例</w:t>
      </w:r>
      <w:r>
        <w:rPr>
          <w:rFonts w:hint="eastAsia" w:ascii="Arial" w:hAnsi="Arial"/>
          <w:sz w:val="21"/>
          <w:szCs w:val="21"/>
        </w:rPr>
        <w:t>项目类型</w:t>
      </w:r>
      <w:r>
        <w:rPr>
          <w:rFonts w:ascii="Arial" w:hAnsi="Arial"/>
          <w:sz w:val="21"/>
          <w:szCs w:val="21"/>
        </w:rPr>
        <w:t>指数）×（待估房地产区域状况条件指数/可比实例房地产区域状况条件指数）×（待估房地产实物状况条件指数/可比实例房地产实物状况条件指数）×（待估房地产</w:t>
      </w:r>
      <w:r>
        <w:rPr>
          <w:rFonts w:hint="eastAsia" w:ascii="Arial" w:hAnsi="Arial"/>
          <w:sz w:val="21"/>
          <w:szCs w:val="21"/>
        </w:rPr>
        <w:t>权益</w:t>
      </w:r>
      <w:r>
        <w:rPr>
          <w:rFonts w:ascii="Arial" w:hAnsi="Arial"/>
          <w:sz w:val="21"/>
          <w:szCs w:val="21"/>
        </w:rPr>
        <w:t>状况条件指数/可比实例房地产</w:t>
      </w:r>
      <w:r>
        <w:rPr>
          <w:rFonts w:hint="eastAsia" w:ascii="Arial" w:hAnsi="Arial"/>
          <w:sz w:val="21"/>
          <w:szCs w:val="21"/>
        </w:rPr>
        <w:t>权益</w:t>
      </w:r>
      <w:r>
        <w:rPr>
          <w:rFonts w:ascii="Arial" w:hAnsi="Arial"/>
          <w:sz w:val="21"/>
          <w:szCs w:val="21"/>
        </w:rPr>
        <w:t>状况条件指数）</w:t>
      </w:r>
    </w:p>
    <w:p w14:paraId="326543E5">
      <w:pPr>
        <w:wordWrap w:val="0"/>
        <w:overflowPunct w:val="0"/>
        <w:spacing w:line="480" w:lineRule="auto"/>
        <w:ind w:firstLine="420" w:firstLineChars="200"/>
        <w:rPr>
          <w:rFonts w:ascii="Arial" w:hAnsi="Arial"/>
          <w:sz w:val="21"/>
          <w:szCs w:val="21"/>
        </w:rPr>
      </w:pPr>
      <w:r>
        <w:rPr>
          <w:rFonts w:hint="eastAsia" w:ascii="Arial" w:hAnsi="Arial"/>
          <w:sz w:val="21"/>
          <w:szCs w:val="21"/>
        </w:rPr>
        <w:t>（4）影响因素选择实例修正后的价值计算</w:t>
      </w:r>
      <w:r>
        <w:rPr>
          <w:rFonts w:ascii="Arial" w:hAnsi="Arial"/>
          <w:sz w:val="21"/>
          <w:szCs w:val="21"/>
        </w:rPr>
        <w:t xml:space="preserve"> </w:t>
      </w:r>
    </w:p>
    <w:p w14:paraId="71EA871F">
      <w:pPr>
        <w:overflowPunct w:val="0"/>
        <w:spacing w:line="480" w:lineRule="auto"/>
        <w:ind w:firstLine="420" w:firstLineChars="200"/>
        <w:jc w:val="both"/>
        <w:rPr>
          <w:rFonts w:ascii="Arial" w:hAnsi="Arial"/>
          <w:sz w:val="21"/>
          <w:szCs w:val="21"/>
        </w:rPr>
      </w:pPr>
      <w:r>
        <w:rPr>
          <w:rFonts w:ascii="Arial" w:hAnsi="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hint="eastAsia" w:ascii="Arial" w:hAnsi="Arial"/>
          <w:sz w:val="21"/>
          <w:szCs w:val="21"/>
        </w:rPr>
        <w:t>3</w:t>
      </w:r>
      <w:r>
        <w:rPr>
          <w:rFonts w:ascii="Arial" w:hAnsi="Arial"/>
          <w:sz w:val="21"/>
          <w:szCs w:val="21"/>
        </w:rPr>
        <w:t>个可比案例的比准价格的简单算术平均值作为项目</w:t>
      </w:r>
      <w:r>
        <w:rPr>
          <w:rFonts w:hint="eastAsia" w:ascii="Arial" w:hAnsi="Arial"/>
          <w:sz w:val="21"/>
          <w:szCs w:val="21"/>
        </w:rPr>
        <w:t>典型户型</w:t>
      </w:r>
      <w:r>
        <w:rPr>
          <w:rFonts w:ascii="Arial" w:hAnsi="Arial"/>
          <w:sz w:val="21"/>
          <w:szCs w:val="21"/>
        </w:rPr>
        <w:t>的评估价格</w:t>
      </w:r>
      <w:r>
        <w:rPr>
          <w:rFonts w:hint="eastAsia" w:ascii="Arial" w:hAnsi="Arial"/>
          <w:sz w:val="21"/>
          <w:szCs w:val="21"/>
        </w:rPr>
        <w:t>。</w:t>
      </w:r>
    </w:p>
    <w:p w14:paraId="4D4EB5C9">
      <w:pPr>
        <w:wordWrap w:val="0"/>
        <w:overflowPunct w:val="0"/>
        <w:spacing w:line="480" w:lineRule="auto"/>
        <w:ind w:firstLine="420" w:firstLineChars="200"/>
        <w:rPr>
          <w:rFonts w:ascii="Arial" w:hAnsi="Arial"/>
          <w:sz w:val="21"/>
          <w:szCs w:val="21"/>
        </w:rPr>
      </w:pPr>
      <w:r>
        <w:rPr>
          <w:rFonts w:hint="eastAsia" w:ascii="Arial" w:hAnsi="Arial"/>
          <w:sz w:val="21"/>
          <w:szCs w:val="21"/>
        </w:rPr>
        <w:t>即：标准房3</w:t>
      </w:r>
      <w:r>
        <w:rPr>
          <w:rFonts w:hint="eastAsia" w:ascii="Arial" w:hAnsi="Arial"/>
          <w:bCs/>
          <w:sz w:val="21"/>
        </w:rPr>
        <w:t>市场租赁住房租金</w:t>
      </w:r>
      <w:r>
        <w:rPr>
          <w:rFonts w:hint="eastAsia" w:ascii="Arial" w:hAnsi="Arial"/>
          <w:sz w:val="21"/>
          <w:szCs w:val="21"/>
        </w:rPr>
        <w:t>＝（39.62+39.66+36.11）÷</w:t>
      </w:r>
      <w:r>
        <w:rPr>
          <w:rFonts w:ascii="Arial" w:hAnsi="Arial"/>
          <w:sz w:val="21"/>
          <w:szCs w:val="21"/>
        </w:rPr>
        <w:t>3</w:t>
      </w:r>
      <w:r>
        <w:rPr>
          <w:rFonts w:hint="eastAsia" w:ascii="Arial" w:hAnsi="Arial"/>
          <w:sz w:val="21"/>
          <w:szCs w:val="21"/>
        </w:rPr>
        <w:t>+2.3</w:t>
      </w:r>
    </w:p>
    <w:p w14:paraId="5FA0ADDE">
      <w:pPr>
        <w:wordWrap w:val="0"/>
        <w:overflowPunct w:val="0"/>
        <w:spacing w:line="480" w:lineRule="auto"/>
        <w:ind w:firstLine="3360" w:firstLineChars="1600"/>
        <w:rPr>
          <w:rFonts w:ascii="Arial" w:hAnsi="Arial"/>
          <w:sz w:val="21"/>
          <w:szCs w:val="21"/>
        </w:rPr>
      </w:pPr>
      <w:r>
        <w:rPr>
          <w:rFonts w:hint="eastAsia" w:ascii="Arial" w:hAnsi="Arial"/>
          <w:sz w:val="21"/>
          <w:szCs w:val="21"/>
        </w:rPr>
        <w:t>＝38.46+2.3</w:t>
      </w:r>
    </w:p>
    <w:p w14:paraId="323B1349">
      <w:pPr>
        <w:wordWrap w:val="0"/>
        <w:overflowPunct w:val="0"/>
        <w:spacing w:line="480" w:lineRule="auto"/>
        <w:ind w:firstLine="420" w:firstLineChars="200"/>
        <w:rPr>
          <w:rFonts w:ascii="宋体" w:hAnsi="宋体"/>
          <w:sz w:val="21"/>
          <w:szCs w:val="21"/>
        </w:rPr>
      </w:pPr>
      <w:r>
        <w:rPr>
          <w:rFonts w:ascii="Arial" w:hAnsi="Arial"/>
          <w:sz w:val="21"/>
          <w:szCs w:val="21"/>
        </w:rPr>
        <w:t xml:space="preserve">                            </w:t>
      </w:r>
      <w:r>
        <w:rPr>
          <w:rFonts w:hint="eastAsia" w:ascii="Arial" w:hAnsi="Arial"/>
          <w:sz w:val="21"/>
          <w:szCs w:val="21"/>
        </w:rPr>
        <w:t>＝40.76（元/平方米·月）</w:t>
      </w:r>
      <w:r>
        <w:rPr>
          <w:rFonts w:hint="eastAsia" w:ascii="宋体" w:hAnsi="宋体"/>
          <w:sz w:val="21"/>
          <w:szCs w:val="21"/>
        </w:rPr>
        <w:t>（含物业费、不含取暖费）</w:t>
      </w:r>
      <w:bookmarkStart w:id="70" w:name="_Toc155267108"/>
      <w:bookmarkStart w:id="71" w:name="_Toc525655441"/>
    </w:p>
    <w:p w14:paraId="1F5FB81B">
      <w:pPr>
        <w:wordWrap w:val="0"/>
        <w:overflowPunct w:val="0"/>
        <w:spacing w:line="480" w:lineRule="auto"/>
        <w:ind w:firstLine="420" w:firstLineChars="200"/>
        <w:rPr>
          <w:rFonts w:ascii="Arial" w:hAnsi="Arial"/>
          <w:sz w:val="21"/>
          <w:szCs w:val="21"/>
        </w:rPr>
      </w:pPr>
      <w:r>
        <w:rPr>
          <w:rFonts w:hint="eastAsia" w:ascii="Arial" w:hAnsi="Arial"/>
          <w:sz w:val="21"/>
          <w:szCs w:val="21"/>
        </w:rPr>
        <w:t>综合租金=（1190.97×49.73+16655.18×41.74+7326.21×40.76）÷25172.36</w:t>
      </w:r>
    </w:p>
    <w:p w14:paraId="36269C75">
      <w:pPr>
        <w:wordWrap w:val="0"/>
        <w:overflowPunct w:val="0"/>
        <w:spacing w:line="480" w:lineRule="auto"/>
        <w:ind w:firstLine="1260" w:firstLineChars="600"/>
        <w:rPr>
          <w:rFonts w:ascii="Arial" w:hAnsi="Arial"/>
          <w:sz w:val="21"/>
          <w:szCs w:val="21"/>
        </w:rPr>
      </w:pPr>
      <w:r>
        <w:rPr>
          <w:rFonts w:hint="eastAsia" w:ascii="Arial" w:hAnsi="Arial"/>
          <w:sz w:val="21"/>
          <w:szCs w:val="21"/>
        </w:rPr>
        <w:t>=41.83（元/平方米·月）</w:t>
      </w:r>
      <w:r>
        <w:rPr>
          <w:rFonts w:hint="eastAsia" w:ascii="宋体" w:hAnsi="宋体"/>
          <w:sz w:val="21"/>
          <w:szCs w:val="21"/>
        </w:rPr>
        <w:t>（含物业费、不含取暖费）</w:t>
      </w:r>
    </w:p>
    <w:p w14:paraId="024CF446">
      <w:pPr>
        <w:wordWrap w:val="0"/>
        <w:overflowPunct w:val="0"/>
        <w:spacing w:line="480" w:lineRule="auto"/>
        <w:ind w:firstLine="420" w:firstLineChars="200"/>
        <w:rPr>
          <w:rFonts w:ascii="宋体" w:hAnsi="宋体"/>
          <w:sz w:val="21"/>
          <w:szCs w:val="21"/>
        </w:rPr>
      </w:pPr>
    </w:p>
    <w:p w14:paraId="5D43C4A5">
      <w:pPr>
        <w:pStyle w:val="3"/>
        <w:numPr>
          <w:ilvl w:val="0"/>
          <w:numId w:val="0"/>
        </w:numPr>
        <w:spacing w:line="480" w:lineRule="auto"/>
        <w:ind w:left="358" w:hanging="358" w:hangingChars="170"/>
        <w:jc w:val="both"/>
        <w:rPr>
          <w:rFonts w:eastAsia="宋体"/>
          <w:kern w:val="2"/>
          <w:sz w:val="21"/>
          <w:szCs w:val="21"/>
        </w:rPr>
      </w:pPr>
      <w:r>
        <w:rPr>
          <w:rFonts w:eastAsia="宋体"/>
          <w:kern w:val="2"/>
          <w:sz w:val="21"/>
          <w:szCs w:val="21"/>
        </w:rPr>
        <w:t>六、估价结果确定</w:t>
      </w:r>
      <w:bookmarkEnd w:id="70"/>
      <w:bookmarkEnd w:id="71"/>
    </w:p>
    <w:p w14:paraId="0BDBD606">
      <w:pPr>
        <w:overflowPunct w:val="0"/>
        <w:spacing w:line="480" w:lineRule="auto"/>
        <w:ind w:firstLine="420" w:firstLineChars="200"/>
        <w:jc w:val="both"/>
        <w:textAlignment w:val="auto"/>
        <w:rPr>
          <w:rFonts w:ascii="Arial" w:hAnsi="Arial" w:cs="Arial"/>
          <w:sz w:val="21"/>
          <w:szCs w:val="21"/>
        </w:rPr>
      </w:pPr>
      <w:r>
        <w:rPr>
          <w:rFonts w:ascii="Arial" w:hAnsi="Arial" w:cs="Arial"/>
          <w:sz w:val="21"/>
          <w:szCs w:val="21"/>
        </w:rPr>
        <w:t>评估专业人员根据估价的目的，</w:t>
      </w:r>
      <w:r>
        <w:rPr>
          <w:rFonts w:hint="eastAsia" w:ascii="Arial" w:hAnsi="Arial" w:cs="Arial"/>
          <w:sz w:val="21"/>
          <w:szCs w:val="21"/>
        </w:rPr>
        <w:t>遵循估价原则，</w:t>
      </w:r>
      <w:r>
        <w:rPr>
          <w:rFonts w:ascii="Arial" w:hAnsi="Arial" w:cs="Arial"/>
          <w:sz w:val="21"/>
          <w:szCs w:val="21"/>
        </w:rPr>
        <w:t>按照估价的程序，采用科学的估价方法，在认真分析现有资料的基础上，通过仔细测算和认真分析各种影响房地产</w:t>
      </w:r>
      <w:r>
        <w:rPr>
          <w:rFonts w:hint="eastAsia" w:ascii="Arial" w:hAnsi="Arial" w:cs="Arial"/>
          <w:sz w:val="21"/>
          <w:szCs w:val="21"/>
        </w:rPr>
        <w:t>租赁</w:t>
      </w:r>
      <w:r>
        <w:rPr>
          <w:rFonts w:ascii="Arial" w:hAnsi="Arial" w:cs="Arial"/>
          <w:sz w:val="21"/>
          <w:szCs w:val="21"/>
        </w:rPr>
        <w:t>价格的因素，</w:t>
      </w:r>
      <w:r>
        <w:rPr>
          <w:rFonts w:hint="eastAsia" w:ascii="Arial" w:hAnsi="Arial" w:cs="Arial"/>
          <w:sz w:val="21"/>
          <w:szCs w:val="21"/>
        </w:rPr>
        <w:t>最终</w:t>
      </w:r>
      <w:r>
        <w:rPr>
          <w:rFonts w:ascii="Arial" w:hAnsi="Arial" w:cs="Arial"/>
          <w:sz w:val="21"/>
          <w:szCs w:val="21"/>
        </w:rPr>
        <w:t>确定</w:t>
      </w:r>
      <w:r>
        <w:rPr>
          <w:rFonts w:hint="eastAsia" w:ascii="Arial" w:hAnsi="Arial" w:cs="Arial"/>
          <w:sz w:val="21"/>
          <w:szCs w:val="21"/>
        </w:rPr>
        <w:t>（埝坛华庭）保障性租赁住房（住宅型）项目于价值时点2026年4月7日同地段、同品质市场租赁住房租金为：</w:t>
      </w:r>
    </w:p>
    <w:p w14:paraId="0BAE53C3">
      <w:pPr>
        <w:tabs>
          <w:tab w:val="left" w:pos="3360"/>
        </w:tabs>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一居室（62.64-62.73</w:t>
      </w:r>
      <w:r>
        <w:rPr>
          <w:rFonts w:ascii="Arial" w:hAnsi="Arial" w:cs="Arial"/>
          <w:b/>
          <w:bCs/>
          <w:sz w:val="21"/>
          <w:szCs w:val="21"/>
        </w:rPr>
        <w:t>平方米）</w:t>
      </w:r>
      <w:r>
        <w:rPr>
          <w:rFonts w:hint="eastAsia" w:ascii="Arial" w:hAnsi="Arial" w:cs="Arial"/>
          <w:b/>
          <w:bCs/>
          <w:sz w:val="21"/>
          <w:szCs w:val="21"/>
        </w:rPr>
        <w:t>：49.73元/平方米·月</w:t>
      </w:r>
    </w:p>
    <w:p w14:paraId="39D0206E">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两居室（84.11-88.94</w:t>
      </w:r>
      <w:r>
        <w:rPr>
          <w:rFonts w:ascii="Arial" w:hAnsi="Arial" w:cs="Arial"/>
          <w:b/>
          <w:bCs/>
          <w:sz w:val="21"/>
          <w:szCs w:val="21"/>
        </w:rPr>
        <w:t>平方米）</w:t>
      </w:r>
      <w:r>
        <w:rPr>
          <w:rFonts w:hint="eastAsia" w:ascii="Arial" w:hAnsi="Arial" w:cs="Arial"/>
          <w:b/>
          <w:bCs/>
          <w:sz w:val="21"/>
          <w:szCs w:val="21"/>
        </w:rPr>
        <w:t>：41.74元/平方米·月</w:t>
      </w:r>
    </w:p>
    <w:p w14:paraId="0078E578">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三居室（115.8-116.74</w:t>
      </w:r>
      <w:r>
        <w:rPr>
          <w:rFonts w:ascii="Arial" w:hAnsi="Arial" w:cs="Arial"/>
          <w:b/>
          <w:bCs/>
          <w:sz w:val="21"/>
          <w:szCs w:val="21"/>
        </w:rPr>
        <w:t>平方米</w:t>
      </w:r>
      <w:r>
        <w:rPr>
          <w:rFonts w:hint="eastAsia" w:ascii="Arial" w:hAnsi="Arial" w:cs="Arial"/>
          <w:b/>
          <w:bCs/>
          <w:sz w:val="21"/>
          <w:szCs w:val="21"/>
        </w:rPr>
        <w:t>）：40.76元/平方米·月</w:t>
      </w:r>
    </w:p>
    <w:p w14:paraId="3907E757">
      <w:pPr>
        <w:overflowPunct w:val="0"/>
        <w:spacing w:line="480" w:lineRule="auto"/>
        <w:ind w:firstLine="422" w:firstLineChars="200"/>
        <w:jc w:val="both"/>
        <w:textAlignment w:val="auto"/>
        <w:rPr>
          <w:rFonts w:ascii="Arial" w:hAnsi="Arial" w:cs="Arial"/>
          <w:b/>
          <w:bCs/>
          <w:sz w:val="21"/>
          <w:szCs w:val="21"/>
        </w:rPr>
      </w:pPr>
      <w:r>
        <w:rPr>
          <w:rFonts w:hint="eastAsia" w:ascii="Arial" w:hAnsi="Arial" w:cs="Arial"/>
          <w:b/>
          <w:bCs/>
          <w:sz w:val="21"/>
          <w:szCs w:val="21"/>
        </w:rPr>
        <w:t>综合租金：41.83元/平方米·月</w:t>
      </w:r>
    </w:p>
    <w:p w14:paraId="7F42B7AA">
      <w:pPr>
        <w:overflowPunct w:val="0"/>
        <w:spacing w:line="480" w:lineRule="auto"/>
        <w:ind w:firstLine="360" w:firstLineChars="200"/>
        <w:jc w:val="both"/>
        <w:textAlignment w:val="auto"/>
        <w:rPr>
          <w:rFonts w:ascii="Arial" w:hAnsi="Arial" w:cs="Arial"/>
          <w:sz w:val="18"/>
          <w:szCs w:val="18"/>
        </w:rPr>
      </w:pPr>
      <w:r>
        <w:rPr>
          <w:rFonts w:ascii="Arial" w:hAnsi="Arial" w:cs="Arial"/>
          <w:sz w:val="18"/>
          <w:szCs w:val="18"/>
        </w:rPr>
        <w:t>注：1、</w:t>
      </w:r>
      <w:r>
        <w:rPr>
          <w:rFonts w:hint="eastAsia" w:ascii="Arial" w:hAnsi="Arial" w:cs="Arial"/>
          <w:sz w:val="18"/>
          <w:szCs w:val="18"/>
        </w:rPr>
        <w:t>评估的详细结果、过程及有关说明，详见《估价结果报告》、《估价技术报告》。</w:t>
      </w:r>
    </w:p>
    <w:p w14:paraId="3D8CEFDE">
      <w:pPr>
        <w:overflowPunct w:val="0"/>
        <w:spacing w:line="480" w:lineRule="auto"/>
        <w:ind w:left="720" w:leftChars="150" w:hanging="360" w:hangingChars="200"/>
        <w:jc w:val="both"/>
        <w:textAlignment w:val="auto"/>
        <w:rPr>
          <w:rFonts w:ascii="Arial" w:hAnsi="Arial" w:cs="Arial"/>
          <w:sz w:val="18"/>
          <w:szCs w:val="18"/>
        </w:rPr>
      </w:pPr>
      <w:r>
        <w:rPr>
          <w:rFonts w:ascii="Arial" w:hAnsi="Arial" w:cs="Arial"/>
          <w:sz w:val="18"/>
          <w:szCs w:val="18"/>
        </w:rPr>
        <w:t xml:space="preserve">    </w:t>
      </w:r>
      <w:r>
        <w:rPr>
          <w:rFonts w:hint="eastAsia" w:ascii="Arial" w:hAnsi="Arial" w:cs="Arial"/>
          <w:sz w:val="18"/>
          <w:szCs w:val="18"/>
        </w:rPr>
        <w:t>2</w:t>
      </w:r>
      <w:r>
        <w:rPr>
          <w:rFonts w:ascii="Arial" w:hAnsi="Arial" w:cs="Arial"/>
          <w:sz w:val="18"/>
          <w:szCs w:val="18"/>
        </w:rPr>
        <w:t>、</w:t>
      </w:r>
      <w:r>
        <w:rPr>
          <w:rFonts w:hint="eastAsia" w:ascii="Arial" w:hAnsi="Arial" w:cs="Arial"/>
          <w:sz w:val="18"/>
          <w:szCs w:val="18"/>
        </w:rPr>
        <w:t>市场租赁住房租金是指市场租赁住房于价值时点在公开市场上的平均租金，包含房屋、家具家电使用费、物业费及租赁税费等，不包含持有运营单位在住房租赁合同中明确约定由承租人承担的基础服务费（例如基础物业管理服务、公区保洁、公区维保、室内正常损耗维修等费用）、增值服务费（例如室内保洁、室内人为损坏维修、洗衣、送餐等费用）、能源费（包括公区能源费及室内能源费，例如水、电、气、暖、中央空调等费用）、车位使用费等费用。</w:t>
      </w:r>
    </w:p>
    <w:p w14:paraId="62DADBE8">
      <w:pPr>
        <w:overflowPunct w:val="0"/>
        <w:spacing w:line="480" w:lineRule="auto"/>
        <w:ind w:left="720" w:leftChars="150" w:hanging="360" w:hangingChars="200"/>
        <w:jc w:val="both"/>
        <w:textAlignment w:val="auto"/>
        <w:rPr>
          <w:rFonts w:ascii="Arial" w:hAnsi="Arial" w:cs="Arial"/>
          <w:sz w:val="18"/>
          <w:szCs w:val="18"/>
        </w:rPr>
        <w:sectPr>
          <w:headerReference r:id="rId26" w:type="first"/>
          <w:headerReference r:id="rId24" w:type="default"/>
          <w:headerReference r:id="rId25" w:type="even"/>
          <w:pgSz w:w="11907" w:h="16840"/>
          <w:pgMar w:top="1843" w:right="1134" w:bottom="1134" w:left="1134" w:header="1134" w:footer="907" w:gutter="340"/>
          <w:cols w:space="720" w:num="1"/>
          <w:docGrid w:linePitch="326" w:charSpace="0"/>
        </w:sectPr>
      </w:pPr>
    </w:p>
    <w:p w14:paraId="01333F55">
      <w:pPr>
        <w:overflowPunct w:val="0"/>
        <w:spacing w:line="480" w:lineRule="auto"/>
        <w:ind w:left="720" w:leftChars="150" w:hanging="360" w:hangingChars="200"/>
        <w:jc w:val="both"/>
        <w:textAlignment w:val="auto"/>
        <w:rPr>
          <w:rFonts w:ascii="Arial" w:hAnsi="Arial" w:cs="Arial"/>
          <w:sz w:val="18"/>
          <w:szCs w:val="18"/>
        </w:rPr>
      </w:pPr>
    </w:p>
    <w:p w14:paraId="26115082">
      <w:pPr>
        <w:pStyle w:val="2"/>
        <w:spacing w:line="480" w:lineRule="auto"/>
        <w:jc w:val="center"/>
        <w:rPr>
          <w:rFonts w:eastAsia="方正黑体简体"/>
          <w:b w:val="0"/>
          <w:kern w:val="2"/>
          <w:sz w:val="32"/>
          <w:szCs w:val="32"/>
        </w:rPr>
      </w:pPr>
      <w:bookmarkStart w:id="72" w:name="_Toc155267109"/>
      <w:r>
        <w:rPr>
          <w:rFonts w:hint="eastAsia" w:eastAsia="方正黑体简体"/>
          <w:b w:val="0"/>
          <w:kern w:val="2"/>
          <w:sz w:val="32"/>
          <w:szCs w:val="32"/>
        </w:rPr>
        <w:t>附   件</w:t>
      </w:r>
      <w:bookmarkEnd w:id="72"/>
    </w:p>
    <w:p w14:paraId="014A60A6">
      <w:pPr>
        <w:numPr>
          <w:ilvl w:val="0"/>
          <w:numId w:val="11"/>
        </w:numPr>
        <w:spacing w:line="360" w:lineRule="auto"/>
        <w:jc w:val="both"/>
        <w:rPr>
          <w:rFonts w:ascii="Arial" w:hAnsi="Arial" w:cs="Arial"/>
          <w:sz w:val="21"/>
          <w:szCs w:val="21"/>
        </w:rPr>
      </w:pPr>
      <w:r>
        <w:rPr>
          <w:rFonts w:hint="eastAsia" w:ascii="Arial" w:hAnsi="Arial" w:cs="Arial"/>
          <w:sz w:val="21"/>
          <w:szCs w:val="21"/>
        </w:rPr>
        <w:t>《估价委托书》复印件</w:t>
      </w:r>
    </w:p>
    <w:p w14:paraId="1D6A81FB">
      <w:pPr>
        <w:numPr>
          <w:ilvl w:val="0"/>
          <w:numId w:val="11"/>
        </w:numPr>
        <w:spacing w:line="360" w:lineRule="auto"/>
        <w:jc w:val="both"/>
        <w:rPr>
          <w:rFonts w:ascii="Arial" w:hAnsi="Arial" w:cs="Arial"/>
          <w:sz w:val="21"/>
          <w:szCs w:val="21"/>
        </w:rPr>
      </w:pPr>
      <w:r>
        <w:rPr>
          <w:rFonts w:ascii="Arial" w:hAnsi="Arial" w:cs="Arial"/>
          <w:sz w:val="21"/>
          <w:szCs w:val="21"/>
        </w:rPr>
        <w:t>估价对象所在位置示意图</w:t>
      </w:r>
    </w:p>
    <w:p w14:paraId="1A0948D3">
      <w:pPr>
        <w:numPr>
          <w:ilvl w:val="0"/>
          <w:numId w:val="11"/>
        </w:numPr>
        <w:spacing w:line="360" w:lineRule="auto"/>
        <w:jc w:val="both"/>
        <w:rPr>
          <w:rFonts w:ascii="Arial" w:hAnsi="Arial" w:cs="Arial"/>
          <w:sz w:val="21"/>
          <w:szCs w:val="21"/>
        </w:rPr>
      </w:pPr>
      <w:r>
        <w:rPr>
          <w:rFonts w:ascii="Arial" w:hAnsi="Arial" w:cs="Arial"/>
          <w:sz w:val="21"/>
          <w:szCs w:val="21"/>
        </w:rPr>
        <w:t>估价对象</w:t>
      </w:r>
      <w:r>
        <w:rPr>
          <w:rFonts w:hint="eastAsia" w:ascii="Arial" w:hAnsi="Arial" w:cs="Arial"/>
          <w:sz w:val="21"/>
          <w:szCs w:val="21"/>
        </w:rPr>
        <w:t>现状</w:t>
      </w:r>
      <w:r>
        <w:rPr>
          <w:rFonts w:ascii="Arial" w:hAnsi="Arial" w:cs="Arial"/>
          <w:sz w:val="21"/>
          <w:szCs w:val="21"/>
        </w:rPr>
        <w:t>照片</w:t>
      </w:r>
    </w:p>
    <w:p w14:paraId="713B8AAF">
      <w:pPr>
        <w:numPr>
          <w:ilvl w:val="0"/>
          <w:numId w:val="11"/>
        </w:numPr>
        <w:spacing w:line="360" w:lineRule="auto"/>
        <w:jc w:val="both"/>
        <w:rPr>
          <w:rFonts w:ascii="Arial" w:hAnsi="Arial" w:cs="Arial"/>
          <w:sz w:val="21"/>
          <w:szCs w:val="21"/>
        </w:rPr>
      </w:pPr>
      <w:r>
        <w:rPr>
          <w:rFonts w:hint="eastAsia" w:ascii="Arial" w:hAnsi="Arial" w:cs="Arial"/>
          <w:sz w:val="21"/>
          <w:szCs w:val="21"/>
        </w:rPr>
        <w:t>《北京市大兴区住房和城乡建设委员会 关于向燕兴公司出售我区安置房剩余房源资产的请示》[京兴建文（2026）20号]及其附件复印件</w:t>
      </w:r>
    </w:p>
    <w:p w14:paraId="14445915">
      <w:pPr>
        <w:numPr>
          <w:ilvl w:val="0"/>
          <w:numId w:val="11"/>
        </w:numPr>
        <w:spacing w:line="360" w:lineRule="auto"/>
        <w:jc w:val="both"/>
        <w:rPr>
          <w:rFonts w:ascii="Arial" w:hAnsi="Arial" w:cs="Arial"/>
          <w:sz w:val="21"/>
          <w:szCs w:val="21"/>
        </w:rPr>
      </w:pPr>
      <w:r>
        <w:rPr>
          <w:rFonts w:hint="eastAsia" w:ascii="Arial" w:hAnsi="Arial" w:cs="Arial"/>
          <w:sz w:val="21"/>
          <w:szCs w:val="21"/>
        </w:rPr>
        <w:t>《北京市规划和自然资源委员会 大兴分局关于燕兴保障房公司保留原房屋产权性质有关意见的报告》[京规自兴文（2026）91号]复印件</w:t>
      </w:r>
    </w:p>
    <w:p w14:paraId="1D1A37B3">
      <w:pPr>
        <w:numPr>
          <w:ilvl w:val="0"/>
          <w:numId w:val="11"/>
        </w:numPr>
        <w:spacing w:line="360" w:lineRule="auto"/>
        <w:jc w:val="both"/>
        <w:rPr>
          <w:rFonts w:ascii="Arial" w:hAnsi="Arial" w:cs="Arial"/>
          <w:sz w:val="21"/>
          <w:szCs w:val="21"/>
        </w:rPr>
      </w:pPr>
      <w:r>
        <w:rPr>
          <w:rFonts w:hint="eastAsia" w:ascii="Arial" w:hAnsi="Arial" w:cs="Arial"/>
          <w:sz w:val="21"/>
          <w:szCs w:val="21"/>
        </w:rPr>
        <w:t>《北京市燕兴保障性住房建设投资有限公司 关于保留原房屋产权性质的请示》[燕兴建投文（2026）08号]复印件</w:t>
      </w:r>
    </w:p>
    <w:p w14:paraId="11D782EE">
      <w:pPr>
        <w:numPr>
          <w:ilvl w:val="0"/>
          <w:numId w:val="11"/>
        </w:numPr>
        <w:spacing w:line="360" w:lineRule="auto"/>
        <w:jc w:val="both"/>
        <w:rPr>
          <w:rFonts w:ascii="Arial" w:hAnsi="Arial" w:cs="Arial"/>
          <w:sz w:val="21"/>
          <w:szCs w:val="21"/>
        </w:rPr>
      </w:pPr>
      <w:r>
        <w:rPr>
          <w:rFonts w:hint="eastAsia" w:ascii="Arial" w:hAnsi="Arial" w:cs="Arial"/>
          <w:sz w:val="21"/>
          <w:szCs w:val="21"/>
        </w:rPr>
        <w:t>《北京市保障性住房收购合同》及其附件复印件</w:t>
      </w:r>
    </w:p>
    <w:p w14:paraId="13C6A115">
      <w:pPr>
        <w:numPr>
          <w:ilvl w:val="0"/>
          <w:numId w:val="11"/>
        </w:numPr>
        <w:spacing w:line="360" w:lineRule="auto"/>
        <w:jc w:val="both"/>
        <w:rPr>
          <w:rFonts w:ascii="Arial" w:hAnsi="Arial" w:cs="Arial"/>
          <w:sz w:val="21"/>
          <w:szCs w:val="21"/>
        </w:rPr>
      </w:pPr>
      <w:r>
        <w:rPr>
          <w:rFonts w:hint="eastAsia" w:ascii="Arial" w:hAnsi="Arial" w:cs="Arial"/>
          <w:sz w:val="21"/>
          <w:szCs w:val="21"/>
        </w:rPr>
        <w:t>《不动产权证书》[京（2026）大不动产权第0006767、0006768、0006769、0003772、0006911、0006930号]部分复印件</w:t>
      </w:r>
    </w:p>
    <w:p w14:paraId="461E5415">
      <w:pPr>
        <w:numPr>
          <w:ilvl w:val="0"/>
          <w:numId w:val="11"/>
        </w:numPr>
        <w:spacing w:line="360" w:lineRule="auto"/>
        <w:jc w:val="both"/>
        <w:rPr>
          <w:rFonts w:ascii="Arial" w:hAnsi="Arial" w:cs="Arial"/>
          <w:sz w:val="21"/>
          <w:szCs w:val="21"/>
        </w:rPr>
      </w:pPr>
      <w:r>
        <w:rPr>
          <w:rFonts w:hint="eastAsia" w:ascii="Arial" w:hAnsi="Arial" w:cs="Arial"/>
          <w:sz w:val="21"/>
          <w:szCs w:val="21"/>
        </w:rPr>
        <w:t>估价委托人《营业执照（副本）》复印件</w:t>
      </w:r>
    </w:p>
    <w:p w14:paraId="148C7EFA">
      <w:pPr>
        <w:numPr>
          <w:ilvl w:val="0"/>
          <w:numId w:val="11"/>
        </w:numPr>
        <w:spacing w:line="360" w:lineRule="auto"/>
        <w:jc w:val="both"/>
        <w:rPr>
          <w:rFonts w:ascii="Arial" w:hAnsi="Arial" w:cs="Arial"/>
          <w:sz w:val="21"/>
          <w:szCs w:val="21"/>
        </w:rPr>
      </w:pPr>
      <w:r>
        <w:rPr>
          <w:rFonts w:ascii="Arial" w:hAnsi="Arial" w:cs="Arial"/>
          <w:sz w:val="21"/>
          <w:szCs w:val="21"/>
        </w:rPr>
        <w:t>房地产估价机构《营业执照（副本）》复印件</w:t>
      </w:r>
    </w:p>
    <w:p w14:paraId="6CEFEC06">
      <w:pPr>
        <w:numPr>
          <w:ilvl w:val="0"/>
          <w:numId w:val="11"/>
        </w:numPr>
        <w:spacing w:line="360" w:lineRule="auto"/>
        <w:jc w:val="both"/>
        <w:rPr>
          <w:rFonts w:ascii="Arial" w:hAnsi="Arial" w:cs="Arial"/>
          <w:sz w:val="21"/>
          <w:szCs w:val="21"/>
        </w:rPr>
      </w:pPr>
      <w:r>
        <w:rPr>
          <w:rFonts w:ascii="Arial" w:hAnsi="Arial" w:cs="Arial"/>
          <w:sz w:val="21"/>
          <w:szCs w:val="21"/>
        </w:rPr>
        <w:t>房地产估价机构资质证书复印件</w:t>
      </w:r>
    </w:p>
    <w:p w14:paraId="49A25987">
      <w:pPr>
        <w:numPr>
          <w:ilvl w:val="0"/>
          <w:numId w:val="11"/>
        </w:numPr>
        <w:spacing w:line="360" w:lineRule="auto"/>
        <w:jc w:val="both"/>
        <w:rPr>
          <w:rFonts w:ascii="Arial" w:hAnsi="Arial" w:cs="Arial"/>
          <w:sz w:val="21"/>
          <w:szCs w:val="21"/>
        </w:rPr>
      </w:pPr>
      <w:r>
        <w:rPr>
          <w:rFonts w:hint="eastAsia" w:ascii="Arial" w:hAnsi="Arial" w:cs="Arial"/>
          <w:sz w:val="21"/>
          <w:szCs w:val="21"/>
        </w:rPr>
        <w:t>评估专业人员</w:t>
      </w:r>
      <w:r>
        <w:rPr>
          <w:rFonts w:ascii="Arial" w:hAnsi="Arial" w:cs="Arial"/>
          <w:sz w:val="21"/>
          <w:szCs w:val="21"/>
        </w:rPr>
        <w:t>执业证书复印件</w:t>
      </w:r>
    </w:p>
    <w:sectPr>
      <w:pgSz w:w="11907" w:h="16840"/>
      <w:pgMar w:top="1843" w:right="1134" w:bottom="1134" w:left="1134" w:header="1134" w:footer="907" w:gutter="34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istrator" w:date="2026-04-16T09:34:00Z" w:initials="A">
    <w:p w14:paraId="7B2188BD">
      <w:pPr>
        <w:pStyle w:val="11"/>
      </w:pPr>
      <w:r>
        <w:rPr>
          <w:rFonts w:hint="eastAsia"/>
        </w:rPr>
        <w:t>例如泛指没问题。若据实则几个项目都没有中央空调</w:t>
      </w:r>
      <w:bookmarkStart w:id="75" w:name="_GoBack"/>
      <w:bookmarkEnd w:id="75"/>
    </w:p>
  </w:comment>
  <w:comment w:id="1" w:author="Administrator" w:date="2026-04-16T09:32:00Z" w:initials="A">
    <w:p w14:paraId="417B1897">
      <w:pPr>
        <w:pStyle w:val="11"/>
      </w:pPr>
      <w:r>
        <w:rPr>
          <w:rFonts w:hint="eastAsia"/>
        </w:rPr>
        <w:t>金鼎是中档装修。是否需统一，或是三个项目配租标准实有差异</w:t>
      </w:r>
    </w:p>
  </w:comment>
  <w:comment w:id="2" w:author="win10B" w:date="2026-04-16T10:48:00Z" w:initials="w">
    <w:p w14:paraId="292FB106">
      <w:pPr>
        <w:pStyle w:val="11"/>
      </w:pPr>
      <w:r>
        <w:t>看许老师的意见</w:t>
      </w:r>
    </w:p>
  </w:comment>
  <w:comment w:id="3" w:author="win10B" w:date="2026-04-16T10:49:00Z" w:initials="w">
    <w:p w14:paraId="4222A16E">
      <w:pPr>
        <w:pStyle w:val="11"/>
      </w:pPr>
      <w:r>
        <w:t>和第三段重复</w:t>
      </w:r>
    </w:p>
  </w:comment>
  <w:comment w:id="4" w:author="诗霖" w:date="2026-04-16T13:29:40Z" w:initials="">
    <w:p w14:paraId="016BD6C4">
      <w:pPr>
        <w:pStyle w:val="11"/>
        <w:rPr>
          <w:rFonts w:hint="default" w:eastAsia="宋体"/>
          <w:lang w:val="en-US" w:eastAsia="zh-CN"/>
        </w:rPr>
      </w:pPr>
      <w:r>
        <w:rPr>
          <w:rFonts w:hint="eastAsia"/>
          <w:lang w:val="en-US" w:eastAsia="zh-CN"/>
        </w:rPr>
        <w:t>一个项目分两个地块</w:t>
      </w:r>
    </w:p>
  </w:comment>
  <w:comment w:id="5" w:author="win10B" w:date="2026-04-16T10:51:00Z" w:initials="w">
    <w:p w14:paraId="38E0045E">
      <w:pPr>
        <w:pStyle w:val="11"/>
      </w:pPr>
      <w:r>
        <w:t>租赁管理办法</w:t>
      </w:r>
    </w:p>
  </w:comment>
  <w:comment w:id="6" w:author="win10B" w:date="2026-04-16T10:54:00Z" w:initials="w">
    <w:p w14:paraId="7F8407E7">
      <w:pPr>
        <w:pStyle w:val="11"/>
      </w:pPr>
      <w:r>
        <w:t>上下不一致</w:t>
      </w:r>
    </w:p>
  </w:comment>
  <w:comment w:id="7" w:author="诗霖" w:date="2026-04-16T13:14:38Z" w:initials="">
    <w:p w14:paraId="129CC317">
      <w:pPr>
        <w:pStyle w:val="11"/>
        <w:rPr>
          <w:rFonts w:hint="default" w:eastAsia="宋体"/>
          <w:lang w:val="en-US" w:eastAsia="zh-CN"/>
        </w:rPr>
      </w:pPr>
      <w:r>
        <w:rPr>
          <w:rFonts w:hint="eastAsia"/>
          <w:lang w:val="en-US" w:eastAsia="zh-CN"/>
        </w:rPr>
        <w:t>两块地分别的四至</w:t>
      </w:r>
    </w:p>
  </w:comment>
  <w:comment w:id="8" w:author="win10B" w:date="2026-04-16T10:54:00Z" w:initials="w">
    <w:p w14:paraId="6163F3BC">
      <w:pPr>
        <w:pStyle w:val="11"/>
      </w:pPr>
      <w:r>
        <w:annotationRef/>
      </w:r>
    </w:p>
  </w:comment>
  <w:comment w:id="9" w:author="Administrator" w:date="2026-04-16T09:44:00Z" w:initials="A">
    <w:p w14:paraId="20050AC0">
      <w:pPr>
        <w:pStyle w:val="11"/>
      </w:pPr>
      <w:r>
        <w:rPr>
          <w:rFonts w:hint="eastAsia"/>
        </w:rPr>
        <w:t>月</w:t>
      </w:r>
    </w:p>
  </w:comment>
  <w:comment w:id="10" w:author="win10B" w:date="2026-04-16T12:20:00Z" w:initials="w">
    <w:p w14:paraId="18F142BB">
      <w:pPr>
        <w:pStyle w:val="11"/>
      </w:pPr>
      <w:r>
        <w:t>排版</w:t>
      </w:r>
    </w:p>
  </w:comment>
  <w:comment w:id="11" w:author="win10B" w:date="2026-04-16T12:21:00Z" w:initials="w">
    <w:p w14:paraId="253E3D53">
      <w:pPr>
        <w:pStyle w:val="11"/>
      </w:pPr>
      <w:r>
        <w:t>建议修改</w:t>
      </w:r>
    </w:p>
  </w:comment>
  <w:comment w:id="12" w:author="win10B" w:date="2026-04-16T12:24:00Z" w:initials="w">
    <w:p w14:paraId="246A796C">
      <w:pPr>
        <w:pStyle w:val="11"/>
      </w:pPr>
      <w:r>
        <w:t>和后面修正</w:t>
      </w:r>
    </w:p>
  </w:comment>
  <w:comment w:id="13" w:author="Administrator" w:date="2026-04-16T09:45:00Z" w:initials="A">
    <w:p w14:paraId="44FDE9B6">
      <w:pPr>
        <w:pStyle w:val="11"/>
      </w:pPr>
      <w:r>
        <w:rPr>
          <w:rFonts w:hint="eastAsia"/>
        </w:rPr>
        <w:t>.</w:t>
      </w:r>
    </w:p>
  </w:comment>
  <w:comment w:id="14" w:author="win10B" w:date="2026-04-16T12:16:00Z" w:initials="w">
    <w:p w14:paraId="4E82C8E0">
      <w:pPr>
        <w:pStyle w:val="11"/>
      </w:pPr>
      <w:r>
        <w:t>和前面不一致</w:t>
      </w:r>
    </w:p>
  </w:comment>
  <w:comment w:id="15" w:author="win10B" w:date="2026-04-16T12:17:00Z" w:initials="w">
    <w:p w14:paraId="6C863FBB">
      <w:pPr>
        <w:pStyle w:val="11"/>
      </w:pPr>
      <w:r>
        <w:annotationRef/>
      </w:r>
    </w:p>
  </w:comment>
  <w:comment w:id="16" w:author="win10B" w:date="2026-04-16T12:18:00Z" w:initials="w">
    <w:p w14:paraId="5F49BD9B">
      <w:pPr>
        <w:pStyle w:val="11"/>
      </w:pPr>
      <w:r>
        <w:t>和前面不一致</w:t>
      </w:r>
    </w:p>
  </w:comment>
  <w:comment w:id="17" w:author="win10B" w:date="2026-04-16T12:26:00Z" w:initials="w">
    <w:p w14:paraId="4A510B9A">
      <w:pPr>
        <w:pStyle w:val="11"/>
      </w:pPr>
      <w:r>
        <w:annotationRef/>
      </w:r>
    </w:p>
  </w:comment>
  <w:comment w:id="18" w:author="Administrator" w:date="2026-04-16T09:46:00Z" w:initials="A">
    <w:p w14:paraId="48F76DBF">
      <w:pPr>
        <w:pStyle w:val="11"/>
      </w:pPr>
      <w:r>
        <w:rPr>
          <w:rFonts w:hint="eastAsia"/>
        </w:rPr>
        <w: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B2188BD" w15:done="0"/>
  <w15:commentEx w15:paraId="417B1897" w15:done="0"/>
  <w15:commentEx w15:paraId="292FB106" w15:done="0"/>
  <w15:commentEx w15:paraId="4222A16E" w15:done="0"/>
  <w15:commentEx w15:paraId="016BD6C4" w15:done="0" w15:paraIdParent="4222A16E"/>
  <w15:commentEx w15:paraId="38E0045E" w15:done="0"/>
  <w15:commentEx w15:paraId="7F8407E7" w15:done="0"/>
  <w15:commentEx w15:paraId="129CC317" w15:done="0" w15:paraIdParent="7F8407E7"/>
  <w15:commentEx w15:paraId="6163F3BC" w15:done="0"/>
  <w15:commentEx w15:paraId="20050AC0" w15:done="0"/>
  <w15:commentEx w15:paraId="18F142BB" w15:done="0"/>
  <w15:commentEx w15:paraId="253E3D53" w15:done="0"/>
  <w15:commentEx w15:paraId="246A796C" w15:done="0"/>
  <w15:commentEx w15:paraId="44FDE9B6" w15:done="0"/>
  <w15:commentEx w15:paraId="4E82C8E0" w15:done="0"/>
  <w15:commentEx w15:paraId="6C863FBB" w15:done="0"/>
  <w15:commentEx w15:paraId="5F49BD9B" w15:done="0"/>
  <w15:commentEx w15:paraId="4A510B9A" w15:done="0"/>
  <w15:commentEx w15:paraId="48F76DB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GungsuhChe">
    <w:altName w:val="Malgun Gothic"/>
    <w:panose1 w:val="00000000000000000000"/>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华文细黑">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 w:name="方正黑体简体">
    <w:altName w:val="微软雅黑"/>
    <w:panose1 w:val="00000000000000000000"/>
    <w:charset w:val="86"/>
    <w:family w:val="script"/>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汉仪中黑 197">
    <w:altName w:val="黑体"/>
    <w:panose1 w:val="00020600040101010101"/>
    <w:charset w:val="86"/>
    <w:family w:val="swiss"/>
    <w:pitch w:val="fixed"/>
    <w:sig w:usb0="00000000" w:usb1="00000000" w:usb2="00000000" w:usb3="00000000" w:csb0="00000000" w:csb1="00000000"/>
  </w:font>
  <w:font w:name="KSOFF9CC612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49ADAA">
    <w:pPr>
      <w:pStyle w:val="21"/>
      <w:pBdr>
        <w:top w:val="single" w:color="404040" w:sz="4" w:space="1"/>
      </w:pBdr>
      <w:jc w:val="center"/>
      <w:rPr>
        <w:rFonts w:ascii="Arial" w:hAnsi="Arial" w:cs="Arial"/>
      </w:rPr>
    </w:pPr>
    <w:r>
      <w:rPr>
        <w:rFonts w:ascii="Arial" w:hAnsi="Arial" w:cs="Arial"/>
      </w:rPr>
      <w:fldChar w:fldCharType="begin"/>
    </w:r>
    <w:r>
      <w:rPr>
        <w:rFonts w:ascii="Arial" w:hAnsi="Arial" w:cs="Arial"/>
      </w:rPr>
      <w:instrText xml:space="preserve">PAGE   \* MERGEFORMAT</w:instrText>
    </w:r>
    <w:r>
      <w:rPr>
        <w:rFonts w:ascii="Arial" w:hAnsi="Arial" w:cs="Arial"/>
      </w:rPr>
      <w:fldChar w:fldCharType="separate"/>
    </w:r>
    <w:r>
      <w:rPr>
        <w:rFonts w:ascii="Arial" w:hAnsi="Arial" w:cs="Arial"/>
        <w:lang w:val="zh-CN"/>
      </w:rPr>
      <w:t>10</w:t>
    </w:r>
    <w:r>
      <w:rPr>
        <w:rFonts w:ascii="Arial" w:hAnsi="Arial" w:cs="Aria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804252">
    <w:pPr>
      <w:pStyle w:val="21"/>
      <w:framePr w:wrap="around" w:vAnchor="text" w:hAnchor="margin" w:xAlign="center" w:y="1"/>
      <w:rPr>
        <w:rStyle w:val="37"/>
      </w:rPr>
    </w:pPr>
    <w:r>
      <w:fldChar w:fldCharType="begin"/>
    </w:r>
    <w:r>
      <w:rPr>
        <w:rStyle w:val="37"/>
      </w:rPr>
      <w:instrText xml:space="preserve">PAGE  </w:instrText>
    </w:r>
    <w:r>
      <w:fldChar w:fldCharType="end"/>
    </w:r>
  </w:p>
  <w:p w14:paraId="037D3336">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9CCC4">
    <w:pPr>
      <w:pStyle w:val="21"/>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515D1">
    <w:pPr>
      <w:pStyle w:val="21"/>
      <w:jc w:val="center"/>
    </w:pPr>
    <w:r>
      <w:fldChar w:fldCharType="begin"/>
    </w:r>
    <w:r>
      <w:instrText xml:space="preserve">PAGE   \* MERGEFORMAT</w:instrText>
    </w:r>
    <w:r>
      <w:fldChar w:fldCharType="separate"/>
    </w:r>
    <w:r>
      <w:rPr>
        <w:rFonts w:ascii="Arial" w:hAnsi="Arial"/>
        <w:lang w:val="zh-CN"/>
      </w:rPr>
      <w:t>12</w:t>
    </w:r>
    <w:r>
      <w:fldChar w:fldCharType="end"/>
    </w:r>
  </w:p>
  <w:p w14:paraId="2012D3A9">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4A2C1D">
    <w:pPr>
      <w:pStyle w:val="21"/>
      <w:pBdr>
        <w:top w:val="single" w:color="404040" w:sz="4" w:space="1"/>
      </w:pBdr>
      <w:tabs>
        <w:tab w:val="right" w:pos="9027"/>
        <w:tab w:val="clear" w:pos="4153"/>
        <w:tab w:val="clear" w:pos="8306"/>
      </w:tabs>
      <w:jc w:val="center"/>
    </w:pPr>
    <w:r>
      <w:rPr>
        <w:rFonts w:ascii="Calibri" w:hAnsi="Calibri"/>
      </w:rPr>
      <w:fldChar w:fldCharType="begin"/>
    </w:r>
    <w:r>
      <w:instrText xml:space="preserve">PAGE   \* MERGEFORMAT</w:instrText>
    </w:r>
    <w:r>
      <w:rPr>
        <w:rFonts w:ascii="Calibri" w:hAnsi="Calibri"/>
      </w:rPr>
      <w:fldChar w:fldCharType="separate"/>
    </w:r>
    <w:r>
      <w:rPr>
        <w:rFonts w:ascii="Arial" w:hAnsi="Arial"/>
        <w:lang w:val="zh-CN"/>
      </w:rPr>
      <w:t>85</w:t>
    </w:r>
    <w:r>
      <w:rPr>
        <w:rFonts w:ascii="Cambria" w:hAnsi="Cambri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15598">
    <w:pPr>
      <w:pStyle w:val="21"/>
      <w:framePr w:wrap="around" w:vAnchor="text" w:hAnchor="margin" w:xAlign="center" w:y="1"/>
      <w:rPr>
        <w:rStyle w:val="37"/>
      </w:rPr>
    </w:pPr>
    <w:r>
      <w:fldChar w:fldCharType="begin"/>
    </w:r>
    <w:r>
      <w:rPr>
        <w:rStyle w:val="37"/>
      </w:rPr>
      <w:instrText xml:space="preserve">PAGE  </w:instrText>
    </w:r>
    <w:r>
      <w:fldChar w:fldCharType="end"/>
    </w:r>
  </w:p>
  <w:p w14:paraId="084D9A6A">
    <w:pPr>
      <w:pStyle w:val="2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7A67D">
    <w:pPr>
      <w:pStyle w:val="22"/>
      <w:pBdr>
        <w:bottom w:val="none" w:color="auto" w:sz="0" w:space="0"/>
      </w:pBdr>
    </w:pPr>
    <w: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E14B5">
    <w:pPr>
      <w:pStyle w:val="22"/>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0F0DE">
    <w:pPr>
      <w:pStyle w:val="22"/>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CF428">
    <w:pPr>
      <w:pStyle w:val="22"/>
      <w:pBdr>
        <w:bottom w:val="none" w:color="auto" w:sz="0" w:space="0"/>
      </w:pBdr>
    </w:pPr>
    <w:bookmarkStart w:id="73" w:name="_Hlk154502003"/>
    <w:bookmarkStart w:id="74" w:name="_Hlk154502004"/>
    <w: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3"/>
    <w:bookmarkEnd w:id="74"/>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33DDE9">
    <w:pPr>
      <w:pStyle w:val="22"/>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F9DEFE">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9A05A">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6B8CF7">
    <w:pPr>
      <w:pStyle w:val="22"/>
      <w:pBdr>
        <w:bottom w:val="none" w:color="auto" w:sz="0" w:space="0"/>
      </w:pBdr>
    </w:pPr>
    <w: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1F730">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01645">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EBE2DA">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72274">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F4810">
    <w:pPr>
      <w:pStyle w:val="22"/>
    </w:pPr>
    <w: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BCAA">
    <w:pPr>
      <w:pStyle w:val="22"/>
      <w:pBdr>
        <w:bottom w:val="none" w:color="auto" w:sz="0" w:space="0"/>
      </w:pBdr>
      <w:jc w:val="both"/>
      <w:rPr>
        <w:rFonts w:ascii="楷体_GB2312" w:eastAsia="楷体_GB2312"/>
        <w:color w:val="FF0000"/>
        <w:spacing w:val="-20"/>
        <w:sz w:val="21"/>
      </w:rPr>
    </w:pPr>
    <w: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431F8F"/>
    <w:multiLevelType w:val="multilevel"/>
    <w:tmpl w:val="04431F8F"/>
    <w:lvl w:ilvl="0" w:tentative="0">
      <w:start w:val="4"/>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CEB4FF7"/>
    <w:multiLevelType w:val="multilevel"/>
    <w:tmpl w:val="0CEB4FF7"/>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1163656"/>
    <w:multiLevelType w:val="multilevel"/>
    <w:tmpl w:val="11163656"/>
    <w:lvl w:ilvl="0" w:tentative="0">
      <w:start w:val="3"/>
      <w:numFmt w:val="decimal"/>
      <w:lvlText w:val="（%1）"/>
      <w:lvlJc w:val="left"/>
      <w:pPr>
        <w:tabs>
          <w:tab w:val="left" w:pos="1320"/>
        </w:tabs>
        <w:ind w:left="1320" w:hanging="720"/>
      </w:pPr>
      <w:rPr>
        <w:rFonts w:hint="eastAsia"/>
      </w:rPr>
    </w:lvl>
    <w:lvl w:ilvl="1" w:tentative="0">
      <w:start w:val="1"/>
      <w:numFmt w:val="upperLetter"/>
      <w:pStyle w:val="4"/>
      <w:lvlText w:val="%2、"/>
      <w:lvlJc w:val="left"/>
      <w:pPr>
        <w:tabs>
          <w:tab w:val="left" w:pos="1740"/>
        </w:tabs>
        <w:ind w:left="1740" w:hanging="720"/>
      </w:pPr>
      <w:rPr>
        <w:rFonts w:hint="eastAsia"/>
      </w:rPr>
    </w:lvl>
    <w:lvl w:ilvl="2" w:tentative="0">
      <w:start w:val="1"/>
      <w:numFmt w:val="lowerRoman"/>
      <w:lvlText w:val="%3."/>
      <w:lvlJc w:val="right"/>
      <w:pPr>
        <w:tabs>
          <w:tab w:val="left" w:pos="1860"/>
        </w:tabs>
        <w:ind w:left="1860" w:hanging="420"/>
      </w:pPr>
    </w:lvl>
    <w:lvl w:ilvl="3" w:tentative="0">
      <w:start w:val="1"/>
      <w:numFmt w:val="decimal"/>
      <w:lvlText w:val="%4."/>
      <w:lvlJc w:val="left"/>
      <w:pPr>
        <w:tabs>
          <w:tab w:val="left" w:pos="2280"/>
        </w:tabs>
        <w:ind w:left="2280" w:hanging="420"/>
      </w:pPr>
    </w:lvl>
    <w:lvl w:ilvl="4" w:tentative="0">
      <w:start w:val="1"/>
      <w:numFmt w:val="lowerLetter"/>
      <w:lvlText w:val="%5)"/>
      <w:lvlJc w:val="left"/>
      <w:pPr>
        <w:tabs>
          <w:tab w:val="left" w:pos="2700"/>
        </w:tabs>
        <w:ind w:left="2700" w:hanging="420"/>
      </w:pPr>
    </w:lvl>
    <w:lvl w:ilvl="5" w:tentative="0">
      <w:start w:val="1"/>
      <w:numFmt w:val="lowerRoman"/>
      <w:lvlText w:val="%6."/>
      <w:lvlJc w:val="right"/>
      <w:pPr>
        <w:tabs>
          <w:tab w:val="left" w:pos="3120"/>
        </w:tabs>
        <w:ind w:left="3120" w:hanging="420"/>
      </w:pPr>
    </w:lvl>
    <w:lvl w:ilvl="6" w:tentative="0">
      <w:start w:val="1"/>
      <w:numFmt w:val="decimal"/>
      <w:lvlText w:val="%7."/>
      <w:lvlJc w:val="left"/>
      <w:pPr>
        <w:tabs>
          <w:tab w:val="left" w:pos="3540"/>
        </w:tabs>
        <w:ind w:left="3540" w:hanging="420"/>
      </w:pPr>
    </w:lvl>
    <w:lvl w:ilvl="7" w:tentative="0">
      <w:start w:val="1"/>
      <w:numFmt w:val="lowerLetter"/>
      <w:lvlText w:val="%8)"/>
      <w:lvlJc w:val="left"/>
      <w:pPr>
        <w:tabs>
          <w:tab w:val="left" w:pos="3960"/>
        </w:tabs>
        <w:ind w:left="3960" w:hanging="420"/>
      </w:pPr>
    </w:lvl>
    <w:lvl w:ilvl="8" w:tentative="0">
      <w:start w:val="1"/>
      <w:numFmt w:val="lowerRoman"/>
      <w:lvlText w:val="%9."/>
      <w:lvlJc w:val="right"/>
      <w:pPr>
        <w:tabs>
          <w:tab w:val="left" w:pos="4380"/>
        </w:tabs>
        <w:ind w:left="4380" w:hanging="420"/>
      </w:pPr>
    </w:lvl>
  </w:abstractNum>
  <w:abstractNum w:abstractNumId="3">
    <w:nsid w:val="2A1F3215"/>
    <w:multiLevelType w:val="multilevel"/>
    <w:tmpl w:val="2A1F3215"/>
    <w:lvl w:ilvl="0" w:tentative="0">
      <w:start w:val="9"/>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1E371A"/>
    <w:multiLevelType w:val="multilevel"/>
    <w:tmpl w:val="331E371A"/>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4A3C2487"/>
    <w:multiLevelType w:val="multilevel"/>
    <w:tmpl w:val="4A3C248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0353D43"/>
    <w:multiLevelType w:val="multilevel"/>
    <w:tmpl w:val="50353D43"/>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C1C749E"/>
    <w:multiLevelType w:val="multilevel"/>
    <w:tmpl w:val="5C1C749E"/>
    <w:lvl w:ilvl="0" w:tentative="0">
      <w:start w:val="1"/>
      <w:numFmt w:val="decimal"/>
      <w:lvlText w:val="%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5E2E5779"/>
    <w:multiLevelType w:val="multilevel"/>
    <w:tmpl w:val="5E2E5779"/>
    <w:lvl w:ilvl="0" w:tentative="0">
      <w:start w:val="0"/>
      <w:numFmt w:val="bullet"/>
      <w:lvlText w:val="—"/>
      <w:lvlJc w:val="left"/>
      <w:pPr>
        <w:ind w:left="360" w:hanging="360"/>
      </w:pPr>
      <w:rPr>
        <w:rFonts w:hint="eastAsia" w:ascii="微软雅黑" w:hAnsi="微软雅黑" w:eastAsia="微软雅黑" w:cs="Times New Roman"/>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5F6A3DC4"/>
    <w:multiLevelType w:val="multilevel"/>
    <w:tmpl w:val="5F6A3DC4"/>
    <w:lvl w:ilvl="0" w:tentative="0">
      <w:start w:val="1"/>
      <w:numFmt w:val="upperRoman"/>
      <w:pStyle w:val="5"/>
      <w:lvlText w:val="%1、"/>
      <w:lvlJc w:val="left"/>
      <w:pPr>
        <w:tabs>
          <w:tab w:val="left" w:pos="1605"/>
        </w:tabs>
        <w:ind w:left="1605" w:hanging="1080"/>
      </w:pPr>
      <w:rPr>
        <w:rFonts w:hint="eastAsia"/>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0">
    <w:nsid w:val="75A04673"/>
    <w:multiLevelType w:val="multilevel"/>
    <w:tmpl w:val="75A04673"/>
    <w:lvl w:ilvl="0" w:tentative="0">
      <w:start w:val="1"/>
      <w:numFmt w:val="upperLetter"/>
      <w:pStyle w:val="3"/>
      <w:lvlText w:val="%1."/>
      <w:lvlJc w:val="left"/>
      <w:pPr>
        <w:tabs>
          <w:tab w:val="left" w:pos="360"/>
        </w:tabs>
        <w:ind w:left="360" w:hanging="360"/>
      </w:pPr>
      <w:rPr>
        <w:rFonts w:hint="eastAsia"/>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win10B">
    <w15:presenceInfo w15:providerId="None" w15:userId="win10B"/>
  </w15:person>
  <w15:person w15:author="诗霖">
    <w15:presenceInfo w15:providerId="WPS Office" w15:userId="24249772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20"/>
  <w:drawingGridVerticalSpacing w:val="163"/>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lNTcwYzRhZDhlOGZhZjI3NjFkMzdhNWI3MTJjMDgifQ=="/>
  </w:docVars>
  <w:rsids>
    <w:rsidRoot w:val="00AF4C5B"/>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73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6011"/>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1680"/>
    <w:rsid w:val="000E252A"/>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2A67"/>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0AF"/>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48EB"/>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2E91"/>
    <w:rsid w:val="00333479"/>
    <w:rsid w:val="00333B9D"/>
    <w:rsid w:val="00333BD4"/>
    <w:rsid w:val="0033446A"/>
    <w:rsid w:val="003346E9"/>
    <w:rsid w:val="00334E4E"/>
    <w:rsid w:val="003351D9"/>
    <w:rsid w:val="00335FB5"/>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9E2"/>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496A"/>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115"/>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AFD"/>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68E"/>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5EDC"/>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9E0"/>
    <w:rsid w:val="00A61D37"/>
    <w:rsid w:val="00A62029"/>
    <w:rsid w:val="00A62913"/>
    <w:rsid w:val="00A63B57"/>
    <w:rsid w:val="00A65B41"/>
    <w:rsid w:val="00A65DEA"/>
    <w:rsid w:val="00A67848"/>
    <w:rsid w:val="00A707D6"/>
    <w:rsid w:val="00A72E41"/>
    <w:rsid w:val="00A73708"/>
    <w:rsid w:val="00A7380D"/>
    <w:rsid w:val="00A74AA9"/>
    <w:rsid w:val="00A74D3A"/>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43A"/>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87A"/>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607"/>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A48"/>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6"/>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41B5"/>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159"/>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1E2"/>
    <w:rsid w:val="00D06D98"/>
    <w:rsid w:val="00D07124"/>
    <w:rsid w:val="00D0717F"/>
    <w:rsid w:val="00D07B17"/>
    <w:rsid w:val="00D07FCB"/>
    <w:rsid w:val="00D10D8C"/>
    <w:rsid w:val="00D10DD7"/>
    <w:rsid w:val="00D11F7F"/>
    <w:rsid w:val="00D12C4B"/>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40F"/>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5101"/>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6CBB"/>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1CB9"/>
    <w:rsid w:val="00E9313A"/>
    <w:rsid w:val="00E93162"/>
    <w:rsid w:val="00E93AD8"/>
    <w:rsid w:val="00E93ADB"/>
    <w:rsid w:val="00E96700"/>
    <w:rsid w:val="00E96CD4"/>
    <w:rsid w:val="00E97C00"/>
    <w:rsid w:val="00E97D9F"/>
    <w:rsid w:val="00EA02DC"/>
    <w:rsid w:val="00EA0CD2"/>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8B7"/>
    <w:rsid w:val="00EB197F"/>
    <w:rsid w:val="00EB286E"/>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0F17"/>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878AD"/>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A74FB"/>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02225B04"/>
    <w:rsid w:val="02F94AB6"/>
    <w:rsid w:val="02FE20CD"/>
    <w:rsid w:val="0337738D"/>
    <w:rsid w:val="033835B9"/>
    <w:rsid w:val="0376348B"/>
    <w:rsid w:val="04806B11"/>
    <w:rsid w:val="05015EA4"/>
    <w:rsid w:val="05CF1AFF"/>
    <w:rsid w:val="05EF5D44"/>
    <w:rsid w:val="060A0D89"/>
    <w:rsid w:val="067C6C44"/>
    <w:rsid w:val="07944DAE"/>
    <w:rsid w:val="07B90F52"/>
    <w:rsid w:val="07E51AAD"/>
    <w:rsid w:val="08053EFD"/>
    <w:rsid w:val="08AF6C12"/>
    <w:rsid w:val="08F31CBC"/>
    <w:rsid w:val="09370DBB"/>
    <w:rsid w:val="09684744"/>
    <w:rsid w:val="09B72FD5"/>
    <w:rsid w:val="09C83435"/>
    <w:rsid w:val="0AD876A7"/>
    <w:rsid w:val="0BE91440"/>
    <w:rsid w:val="0BEB340A"/>
    <w:rsid w:val="0BEF6A57"/>
    <w:rsid w:val="0BF70001"/>
    <w:rsid w:val="0C2A7A8F"/>
    <w:rsid w:val="0C957D9E"/>
    <w:rsid w:val="0C9E047D"/>
    <w:rsid w:val="0CEE6D0E"/>
    <w:rsid w:val="0D1D5845"/>
    <w:rsid w:val="0D3B5CCB"/>
    <w:rsid w:val="0D3D37F2"/>
    <w:rsid w:val="0D587038"/>
    <w:rsid w:val="0DA87805"/>
    <w:rsid w:val="0DBC505E"/>
    <w:rsid w:val="0EB775D4"/>
    <w:rsid w:val="0F057A1D"/>
    <w:rsid w:val="0F362BEE"/>
    <w:rsid w:val="0FFC1ECE"/>
    <w:rsid w:val="108F25B6"/>
    <w:rsid w:val="10CD30DE"/>
    <w:rsid w:val="130927B2"/>
    <w:rsid w:val="13135720"/>
    <w:rsid w:val="13180F89"/>
    <w:rsid w:val="13685340"/>
    <w:rsid w:val="13AB3BAB"/>
    <w:rsid w:val="13EB21F9"/>
    <w:rsid w:val="140B2690"/>
    <w:rsid w:val="15160239"/>
    <w:rsid w:val="15C947BC"/>
    <w:rsid w:val="161C0D90"/>
    <w:rsid w:val="16B30054"/>
    <w:rsid w:val="16DC6219"/>
    <w:rsid w:val="17F33D3A"/>
    <w:rsid w:val="18393F11"/>
    <w:rsid w:val="184C6FDF"/>
    <w:rsid w:val="18BA03EC"/>
    <w:rsid w:val="18EB2C9C"/>
    <w:rsid w:val="19513DE9"/>
    <w:rsid w:val="19555CF5"/>
    <w:rsid w:val="19D43730"/>
    <w:rsid w:val="1A420699"/>
    <w:rsid w:val="1A562397"/>
    <w:rsid w:val="1AA255DC"/>
    <w:rsid w:val="1AAE5D2F"/>
    <w:rsid w:val="1B245FF1"/>
    <w:rsid w:val="1B446693"/>
    <w:rsid w:val="1BA07D6D"/>
    <w:rsid w:val="1BF9747E"/>
    <w:rsid w:val="1C5F6668"/>
    <w:rsid w:val="1CF2284B"/>
    <w:rsid w:val="1D750D86"/>
    <w:rsid w:val="1D952961"/>
    <w:rsid w:val="1E537CFD"/>
    <w:rsid w:val="1E5B44E7"/>
    <w:rsid w:val="1EBB57E0"/>
    <w:rsid w:val="1ED85A70"/>
    <w:rsid w:val="1EDF6D30"/>
    <w:rsid w:val="1F6C10DE"/>
    <w:rsid w:val="201A79C2"/>
    <w:rsid w:val="20D14525"/>
    <w:rsid w:val="20EC5803"/>
    <w:rsid w:val="210D3286"/>
    <w:rsid w:val="222A0391"/>
    <w:rsid w:val="228F4698"/>
    <w:rsid w:val="22D16A5E"/>
    <w:rsid w:val="238E0DF3"/>
    <w:rsid w:val="23902475"/>
    <w:rsid w:val="23A91789"/>
    <w:rsid w:val="23C33F76"/>
    <w:rsid w:val="248F5924"/>
    <w:rsid w:val="24D942F0"/>
    <w:rsid w:val="25B35AF5"/>
    <w:rsid w:val="26214108"/>
    <w:rsid w:val="26B66697"/>
    <w:rsid w:val="26BE1474"/>
    <w:rsid w:val="26C80178"/>
    <w:rsid w:val="26EA4592"/>
    <w:rsid w:val="26EB3E67"/>
    <w:rsid w:val="271E159B"/>
    <w:rsid w:val="27941F58"/>
    <w:rsid w:val="279A4F13"/>
    <w:rsid w:val="28083CAF"/>
    <w:rsid w:val="28100029"/>
    <w:rsid w:val="28150C75"/>
    <w:rsid w:val="28433F5A"/>
    <w:rsid w:val="285C14C0"/>
    <w:rsid w:val="28AF5856"/>
    <w:rsid w:val="29B33362"/>
    <w:rsid w:val="2A2B355E"/>
    <w:rsid w:val="2A557F75"/>
    <w:rsid w:val="2BA70CA4"/>
    <w:rsid w:val="2C1856FE"/>
    <w:rsid w:val="2C956D4E"/>
    <w:rsid w:val="2CD86C3B"/>
    <w:rsid w:val="2DAD00C8"/>
    <w:rsid w:val="2DD9710F"/>
    <w:rsid w:val="2EAE6C4B"/>
    <w:rsid w:val="2F2A1380"/>
    <w:rsid w:val="303B19BB"/>
    <w:rsid w:val="305241D5"/>
    <w:rsid w:val="3150593A"/>
    <w:rsid w:val="315D3273"/>
    <w:rsid w:val="316D3DF6"/>
    <w:rsid w:val="317653A0"/>
    <w:rsid w:val="3186135C"/>
    <w:rsid w:val="324266D0"/>
    <w:rsid w:val="32A01FA9"/>
    <w:rsid w:val="32B9008D"/>
    <w:rsid w:val="32E75E2A"/>
    <w:rsid w:val="32EE0F67"/>
    <w:rsid w:val="33F20F2A"/>
    <w:rsid w:val="351729F7"/>
    <w:rsid w:val="353C420B"/>
    <w:rsid w:val="354B6B44"/>
    <w:rsid w:val="35BF0856"/>
    <w:rsid w:val="36A35AAF"/>
    <w:rsid w:val="3736297C"/>
    <w:rsid w:val="377C2FE5"/>
    <w:rsid w:val="37C4673A"/>
    <w:rsid w:val="37D050DF"/>
    <w:rsid w:val="38A309BF"/>
    <w:rsid w:val="38CC7FAC"/>
    <w:rsid w:val="39202096"/>
    <w:rsid w:val="392526A5"/>
    <w:rsid w:val="39333B77"/>
    <w:rsid w:val="39475874"/>
    <w:rsid w:val="39657C8F"/>
    <w:rsid w:val="3979132D"/>
    <w:rsid w:val="3A370C19"/>
    <w:rsid w:val="3A8A6FD0"/>
    <w:rsid w:val="3ACE04B8"/>
    <w:rsid w:val="3ADE5D64"/>
    <w:rsid w:val="3B0A0908"/>
    <w:rsid w:val="3B0C0B24"/>
    <w:rsid w:val="3B4E4C98"/>
    <w:rsid w:val="3BA819F4"/>
    <w:rsid w:val="3BC96A15"/>
    <w:rsid w:val="3C0637C5"/>
    <w:rsid w:val="3CCD73D5"/>
    <w:rsid w:val="3D1201AC"/>
    <w:rsid w:val="3D891FB8"/>
    <w:rsid w:val="3D8B21D4"/>
    <w:rsid w:val="3DF53AF1"/>
    <w:rsid w:val="3E0B50C2"/>
    <w:rsid w:val="3E29379B"/>
    <w:rsid w:val="3EB47508"/>
    <w:rsid w:val="3F964E60"/>
    <w:rsid w:val="3FA7706D"/>
    <w:rsid w:val="3FCB2D5B"/>
    <w:rsid w:val="3FDF6807"/>
    <w:rsid w:val="407F58F4"/>
    <w:rsid w:val="40827A78"/>
    <w:rsid w:val="40F2256A"/>
    <w:rsid w:val="421D3616"/>
    <w:rsid w:val="42204AD5"/>
    <w:rsid w:val="42336996"/>
    <w:rsid w:val="42F06635"/>
    <w:rsid w:val="43064E70"/>
    <w:rsid w:val="434F5A51"/>
    <w:rsid w:val="43EA39CC"/>
    <w:rsid w:val="43EF0FE2"/>
    <w:rsid w:val="43F82FDF"/>
    <w:rsid w:val="43FB7987"/>
    <w:rsid w:val="450043C2"/>
    <w:rsid w:val="45216F7A"/>
    <w:rsid w:val="45CB0597"/>
    <w:rsid w:val="463F1DAD"/>
    <w:rsid w:val="464C44CA"/>
    <w:rsid w:val="46C36F5E"/>
    <w:rsid w:val="477C2B8D"/>
    <w:rsid w:val="47D236DF"/>
    <w:rsid w:val="47E04ECA"/>
    <w:rsid w:val="49975A5C"/>
    <w:rsid w:val="49DC7913"/>
    <w:rsid w:val="49FA18F6"/>
    <w:rsid w:val="4A251E1B"/>
    <w:rsid w:val="4A2C2648"/>
    <w:rsid w:val="4A4245CD"/>
    <w:rsid w:val="4A4F6337"/>
    <w:rsid w:val="4ABD382C"/>
    <w:rsid w:val="4AC76815"/>
    <w:rsid w:val="4ACA3C0F"/>
    <w:rsid w:val="4AE01685"/>
    <w:rsid w:val="4B0E7998"/>
    <w:rsid w:val="4B2F1CB6"/>
    <w:rsid w:val="4B4D6D1A"/>
    <w:rsid w:val="4BE60F1D"/>
    <w:rsid w:val="4BEB208F"/>
    <w:rsid w:val="4C013661"/>
    <w:rsid w:val="4C7D71E6"/>
    <w:rsid w:val="4C8311CB"/>
    <w:rsid w:val="4D4203D5"/>
    <w:rsid w:val="4D565C2E"/>
    <w:rsid w:val="4D6E221F"/>
    <w:rsid w:val="4DA16EA9"/>
    <w:rsid w:val="4DE41F8A"/>
    <w:rsid w:val="4E916F1E"/>
    <w:rsid w:val="4ECF5314"/>
    <w:rsid w:val="4EE01C53"/>
    <w:rsid w:val="4EE31744"/>
    <w:rsid w:val="4F5C39D0"/>
    <w:rsid w:val="4F6A776F"/>
    <w:rsid w:val="4F710AFD"/>
    <w:rsid w:val="4F8A5A9D"/>
    <w:rsid w:val="505F14C7"/>
    <w:rsid w:val="5099655E"/>
    <w:rsid w:val="50E71679"/>
    <w:rsid w:val="518252DB"/>
    <w:rsid w:val="51CC5C50"/>
    <w:rsid w:val="51EB2889"/>
    <w:rsid w:val="522105B9"/>
    <w:rsid w:val="52E3032E"/>
    <w:rsid w:val="530103EA"/>
    <w:rsid w:val="53D33B35"/>
    <w:rsid w:val="540B32CF"/>
    <w:rsid w:val="545C7FCE"/>
    <w:rsid w:val="54866DF9"/>
    <w:rsid w:val="55292E8A"/>
    <w:rsid w:val="56530F5D"/>
    <w:rsid w:val="569267A7"/>
    <w:rsid w:val="56A619D5"/>
    <w:rsid w:val="576F1263"/>
    <w:rsid w:val="578810DA"/>
    <w:rsid w:val="584B2834"/>
    <w:rsid w:val="58B06B3A"/>
    <w:rsid w:val="59121BED"/>
    <w:rsid w:val="59985FA3"/>
    <w:rsid w:val="59B368E2"/>
    <w:rsid w:val="5A2C0443"/>
    <w:rsid w:val="5A2F0E8B"/>
    <w:rsid w:val="5A70032F"/>
    <w:rsid w:val="5B4D241F"/>
    <w:rsid w:val="5BC44840"/>
    <w:rsid w:val="5BCC799D"/>
    <w:rsid w:val="5C14118E"/>
    <w:rsid w:val="5C311D40"/>
    <w:rsid w:val="5C8B76A2"/>
    <w:rsid w:val="5CAE15E3"/>
    <w:rsid w:val="5D465377"/>
    <w:rsid w:val="5D6E4482"/>
    <w:rsid w:val="5DCB699B"/>
    <w:rsid w:val="5E736640"/>
    <w:rsid w:val="5EEC63F2"/>
    <w:rsid w:val="5F765739"/>
    <w:rsid w:val="601B2AEB"/>
    <w:rsid w:val="60663E56"/>
    <w:rsid w:val="60F2109D"/>
    <w:rsid w:val="616E49ED"/>
    <w:rsid w:val="62044554"/>
    <w:rsid w:val="620D46B6"/>
    <w:rsid w:val="625C563D"/>
    <w:rsid w:val="62FF66F4"/>
    <w:rsid w:val="635A354E"/>
    <w:rsid w:val="63A430D3"/>
    <w:rsid w:val="641E0DFC"/>
    <w:rsid w:val="64990483"/>
    <w:rsid w:val="64B41760"/>
    <w:rsid w:val="64C6251A"/>
    <w:rsid w:val="64DE1478"/>
    <w:rsid w:val="65F16A93"/>
    <w:rsid w:val="6697565C"/>
    <w:rsid w:val="66CC0FE3"/>
    <w:rsid w:val="6707201B"/>
    <w:rsid w:val="67A4786A"/>
    <w:rsid w:val="67D16185"/>
    <w:rsid w:val="68555E3C"/>
    <w:rsid w:val="698D5D2B"/>
    <w:rsid w:val="69A27DD9"/>
    <w:rsid w:val="6A0C33B6"/>
    <w:rsid w:val="6A674B7F"/>
    <w:rsid w:val="6A6D03E7"/>
    <w:rsid w:val="6A927E4E"/>
    <w:rsid w:val="6ABC4ECB"/>
    <w:rsid w:val="6AD46799"/>
    <w:rsid w:val="6ADB7A47"/>
    <w:rsid w:val="6AEF52A0"/>
    <w:rsid w:val="6B142F59"/>
    <w:rsid w:val="6B286A04"/>
    <w:rsid w:val="6B2E730F"/>
    <w:rsid w:val="6B910106"/>
    <w:rsid w:val="6BE62696"/>
    <w:rsid w:val="6C08062F"/>
    <w:rsid w:val="6C332ECB"/>
    <w:rsid w:val="6D0A63C2"/>
    <w:rsid w:val="6DBC76BD"/>
    <w:rsid w:val="6E3971A4"/>
    <w:rsid w:val="6E5378F4"/>
    <w:rsid w:val="6F1C418A"/>
    <w:rsid w:val="6F8C2A74"/>
    <w:rsid w:val="70525CB9"/>
    <w:rsid w:val="707149AA"/>
    <w:rsid w:val="70B56644"/>
    <w:rsid w:val="712725DE"/>
    <w:rsid w:val="714479C8"/>
    <w:rsid w:val="7161057A"/>
    <w:rsid w:val="72037883"/>
    <w:rsid w:val="72542898"/>
    <w:rsid w:val="72B15531"/>
    <w:rsid w:val="72DC7A37"/>
    <w:rsid w:val="72DE4054"/>
    <w:rsid w:val="72FC77E5"/>
    <w:rsid w:val="73221F8B"/>
    <w:rsid w:val="73840550"/>
    <w:rsid w:val="73D43285"/>
    <w:rsid w:val="741B0EB4"/>
    <w:rsid w:val="741D3CC2"/>
    <w:rsid w:val="742A7349"/>
    <w:rsid w:val="744803A6"/>
    <w:rsid w:val="74507348"/>
    <w:rsid w:val="748C2BD9"/>
    <w:rsid w:val="74A215D5"/>
    <w:rsid w:val="74C50E20"/>
    <w:rsid w:val="760A7538"/>
    <w:rsid w:val="761E3929"/>
    <w:rsid w:val="769211D6"/>
    <w:rsid w:val="776B2153"/>
    <w:rsid w:val="778925D9"/>
    <w:rsid w:val="779E44BF"/>
    <w:rsid w:val="77A52A33"/>
    <w:rsid w:val="77AF64E3"/>
    <w:rsid w:val="780F68F1"/>
    <w:rsid w:val="788A2AAC"/>
    <w:rsid w:val="79075EAB"/>
    <w:rsid w:val="79D74B7F"/>
    <w:rsid w:val="7A2D1941"/>
    <w:rsid w:val="7A590988"/>
    <w:rsid w:val="7AAA6BCA"/>
    <w:rsid w:val="7AFB1A3F"/>
    <w:rsid w:val="7BF00E78"/>
    <w:rsid w:val="7C3945CD"/>
    <w:rsid w:val="7C43369E"/>
    <w:rsid w:val="7C661618"/>
    <w:rsid w:val="7CB73744"/>
    <w:rsid w:val="7CD82038"/>
    <w:rsid w:val="7DDBCC09"/>
    <w:rsid w:val="7E6F7172"/>
    <w:rsid w:val="7E7E7CFE"/>
    <w:rsid w:val="7EAF0B77"/>
    <w:rsid w:val="7EB0128A"/>
    <w:rsid w:val="7EE03426"/>
    <w:rsid w:val="7F7A5E20"/>
    <w:rsid w:val="7F9A1827"/>
    <w:rsid w:val="7FE64EF1"/>
    <w:rsid w:val="7FEFFB7B"/>
    <w:rsid w:val="DFFFBE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60" w:lineRule="atLeast"/>
      <w:textAlignment w:val="baseline"/>
    </w:pPr>
    <w:rPr>
      <w:rFonts w:ascii="Times New Roman" w:hAnsi="Times New Roman" w:eastAsia="宋体" w:cs="Times New Roman"/>
      <w:sz w:val="24"/>
      <w:lang w:val="en-US" w:eastAsia="zh-CN" w:bidi="ar-SA"/>
    </w:rPr>
  </w:style>
  <w:style w:type="paragraph" w:styleId="2">
    <w:name w:val="heading 1"/>
    <w:basedOn w:val="1"/>
    <w:next w:val="1"/>
    <w:link w:val="68"/>
    <w:qFormat/>
    <w:uiPriority w:val="0"/>
    <w:pPr>
      <w:keepNext/>
      <w:spacing w:line="300" w:lineRule="auto"/>
      <w:jc w:val="both"/>
      <w:outlineLvl w:val="0"/>
    </w:pPr>
    <w:rPr>
      <w:rFonts w:ascii="Arial" w:hAnsi="Arial" w:eastAsia="仿宋_GB2312" w:cs="Arial"/>
      <w:b/>
      <w:sz w:val="28"/>
    </w:rPr>
  </w:style>
  <w:style w:type="paragraph" w:styleId="3">
    <w:name w:val="heading 2"/>
    <w:basedOn w:val="1"/>
    <w:next w:val="1"/>
    <w:link w:val="69"/>
    <w:qFormat/>
    <w:uiPriority w:val="0"/>
    <w:pPr>
      <w:keepNext/>
      <w:numPr>
        <w:ilvl w:val="0"/>
        <w:numId w:val="1"/>
      </w:numPr>
      <w:spacing w:line="300" w:lineRule="auto"/>
      <w:outlineLvl w:val="1"/>
    </w:pPr>
    <w:rPr>
      <w:rFonts w:ascii="Arial" w:hAnsi="Arial" w:eastAsia="仿宋_GB2312" w:cs="Arial"/>
      <w:b/>
      <w:bCs/>
      <w:sz w:val="28"/>
    </w:rPr>
  </w:style>
  <w:style w:type="paragraph" w:styleId="4">
    <w:name w:val="heading 3"/>
    <w:basedOn w:val="1"/>
    <w:next w:val="1"/>
    <w:link w:val="70"/>
    <w:qFormat/>
    <w:uiPriority w:val="0"/>
    <w:pPr>
      <w:keepNext/>
      <w:numPr>
        <w:ilvl w:val="1"/>
        <w:numId w:val="2"/>
      </w:numPr>
      <w:tabs>
        <w:tab w:val="left" w:pos="0"/>
        <w:tab w:val="left" w:pos="1200"/>
        <w:tab w:val="clear" w:pos="1740"/>
      </w:tabs>
      <w:spacing w:line="440" w:lineRule="atLeast"/>
      <w:ind w:left="1320" w:hanging="600"/>
      <w:jc w:val="both"/>
      <w:outlineLvl w:val="2"/>
    </w:pPr>
    <w:rPr>
      <w:rFonts w:ascii="仿宋_GB2312" w:hAnsi="Arial" w:eastAsia="仿宋_GB2312" w:cs="Arial"/>
      <w:sz w:val="28"/>
    </w:rPr>
  </w:style>
  <w:style w:type="paragraph" w:styleId="5">
    <w:name w:val="heading 4"/>
    <w:basedOn w:val="1"/>
    <w:next w:val="1"/>
    <w:link w:val="71"/>
    <w:qFormat/>
    <w:uiPriority w:val="0"/>
    <w:pPr>
      <w:keepNext/>
      <w:numPr>
        <w:ilvl w:val="0"/>
        <w:numId w:val="3"/>
      </w:numPr>
      <w:tabs>
        <w:tab w:val="clear" w:pos="1605"/>
      </w:tabs>
      <w:spacing w:line="440" w:lineRule="atLeast"/>
      <w:ind w:right="-22"/>
      <w:outlineLvl w:val="3"/>
    </w:pPr>
    <w:rPr>
      <w:rFonts w:ascii="仿宋_GB2312" w:eastAsia="仿宋_GB2312"/>
      <w:sz w:val="28"/>
    </w:rPr>
  </w:style>
  <w:style w:type="paragraph" w:styleId="6">
    <w:name w:val="heading 5"/>
    <w:basedOn w:val="1"/>
    <w:next w:val="1"/>
    <w:qFormat/>
    <w:uiPriority w:val="0"/>
    <w:pPr>
      <w:keepNext/>
      <w:spacing w:line="500" w:lineRule="exact"/>
      <w:jc w:val="center"/>
      <w:outlineLvl w:val="4"/>
    </w:pPr>
    <w:rPr>
      <w:rFonts w:ascii="楷体_GB2312" w:eastAsia="楷体_GB2312"/>
      <w:color w:val="000000"/>
      <w:sz w:val="28"/>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styleId="7">
    <w:name w:val="toc 7"/>
    <w:basedOn w:val="1"/>
    <w:next w:val="1"/>
    <w:semiHidden/>
    <w:qFormat/>
    <w:uiPriority w:val="0"/>
    <w:pPr>
      <w:ind w:left="2520" w:leftChars="1200"/>
    </w:pPr>
  </w:style>
  <w:style w:type="paragraph" w:styleId="8">
    <w:name w:val="Normal Indent"/>
    <w:basedOn w:val="1"/>
    <w:semiHidden/>
    <w:qFormat/>
    <w:uiPriority w:val="0"/>
    <w:pPr>
      <w:adjustRightInd/>
      <w:spacing w:line="240" w:lineRule="auto"/>
      <w:ind w:firstLine="560" w:firstLineChars="200"/>
      <w:jc w:val="both"/>
      <w:textAlignment w:val="auto"/>
    </w:pPr>
    <w:rPr>
      <w:rFonts w:eastAsia="GungsuhChe"/>
      <w:color w:val="FF0000"/>
      <w:kern w:val="2"/>
      <w:sz w:val="28"/>
      <w:szCs w:val="24"/>
    </w:rPr>
  </w:style>
  <w:style w:type="paragraph" w:styleId="9">
    <w:name w:val="caption"/>
    <w:basedOn w:val="1"/>
    <w:next w:val="1"/>
    <w:qFormat/>
    <w:uiPriority w:val="35"/>
    <w:rPr>
      <w:rFonts w:ascii="Cambria" w:hAnsi="Cambria" w:eastAsia="黑体"/>
      <w:sz w:val="20"/>
    </w:rPr>
  </w:style>
  <w:style w:type="paragraph" w:styleId="10">
    <w:name w:val="Document Map"/>
    <w:basedOn w:val="1"/>
    <w:link w:val="41"/>
    <w:semiHidden/>
    <w:qFormat/>
    <w:uiPriority w:val="0"/>
    <w:pPr>
      <w:shd w:val="clear" w:color="auto" w:fill="000080"/>
    </w:pPr>
  </w:style>
  <w:style w:type="paragraph" w:styleId="11">
    <w:name w:val="annotation text"/>
    <w:basedOn w:val="1"/>
    <w:link w:val="42"/>
    <w:qFormat/>
    <w:uiPriority w:val="99"/>
  </w:style>
  <w:style w:type="paragraph" w:styleId="12">
    <w:name w:val="Body Text"/>
    <w:basedOn w:val="1"/>
    <w:link w:val="74"/>
    <w:qFormat/>
    <w:uiPriority w:val="0"/>
    <w:rPr>
      <w:rFonts w:eastAsia="隶书"/>
      <w:sz w:val="52"/>
    </w:rPr>
  </w:style>
  <w:style w:type="paragraph" w:styleId="13">
    <w:name w:val="Body Text Indent"/>
    <w:basedOn w:val="1"/>
    <w:link w:val="75"/>
    <w:qFormat/>
    <w:uiPriority w:val="0"/>
    <w:pPr>
      <w:spacing w:before="120" w:line="360" w:lineRule="auto"/>
      <w:ind w:left="1145"/>
    </w:pPr>
    <w:rPr>
      <w:rFonts w:ascii="楷体_GB2312" w:eastAsia="楷体_GB2312"/>
      <w:kern w:val="2"/>
      <w:sz w:val="28"/>
    </w:rPr>
  </w:style>
  <w:style w:type="paragraph" w:styleId="14">
    <w:name w:val="toc 5"/>
    <w:basedOn w:val="1"/>
    <w:next w:val="1"/>
    <w:semiHidden/>
    <w:qFormat/>
    <w:uiPriority w:val="0"/>
    <w:pPr>
      <w:ind w:left="1680" w:leftChars="800"/>
    </w:pPr>
  </w:style>
  <w:style w:type="paragraph" w:styleId="15">
    <w:name w:val="toc 3"/>
    <w:basedOn w:val="1"/>
    <w:next w:val="1"/>
    <w:semiHidden/>
    <w:qFormat/>
    <w:uiPriority w:val="0"/>
    <w:pPr>
      <w:ind w:left="840" w:leftChars="400"/>
    </w:pPr>
  </w:style>
  <w:style w:type="paragraph" w:styleId="16">
    <w:name w:val="Plain Text"/>
    <w:basedOn w:val="1"/>
    <w:link w:val="76"/>
    <w:qFormat/>
    <w:uiPriority w:val="0"/>
    <w:pPr>
      <w:adjustRightInd/>
      <w:spacing w:line="240" w:lineRule="auto"/>
      <w:jc w:val="both"/>
      <w:textAlignment w:val="auto"/>
    </w:pPr>
    <w:rPr>
      <w:rFonts w:ascii="宋体" w:hAnsi="Courier New"/>
      <w:kern w:val="2"/>
      <w:sz w:val="21"/>
    </w:rPr>
  </w:style>
  <w:style w:type="paragraph" w:styleId="17">
    <w:name w:val="toc 8"/>
    <w:basedOn w:val="1"/>
    <w:next w:val="1"/>
    <w:semiHidden/>
    <w:qFormat/>
    <w:uiPriority w:val="0"/>
    <w:pPr>
      <w:ind w:left="2940" w:leftChars="1400"/>
    </w:pPr>
  </w:style>
  <w:style w:type="paragraph" w:styleId="18">
    <w:name w:val="Date"/>
    <w:basedOn w:val="1"/>
    <w:next w:val="1"/>
    <w:link w:val="77"/>
    <w:qFormat/>
    <w:uiPriority w:val="0"/>
    <w:pPr>
      <w:jc w:val="both"/>
    </w:pPr>
    <w:rPr>
      <w:rFonts w:ascii="楷体_GB2312" w:eastAsia="楷体_GB2312"/>
      <w:b/>
      <w:sz w:val="28"/>
    </w:rPr>
  </w:style>
  <w:style w:type="paragraph" w:styleId="19">
    <w:name w:val="Body Text Indent 2"/>
    <w:basedOn w:val="1"/>
    <w:link w:val="78"/>
    <w:qFormat/>
    <w:uiPriority w:val="0"/>
    <w:pPr>
      <w:spacing w:before="120" w:line="360" w:lineRule="auto"/>
      <w:ind w:left="600" w:firstLine="480"/>
    </w:pPr>
    <w:rPr>
      <w:rFonts w:ascii="楷体_GB2312" w:eastAsia="楷体_GB2312"/>
      <w:kern w:val="2"/>
      <w:sz w:val="28"/>
    </w:rPr>
  </w:style>
  <w:style w:type="paragraph" w:styleId="20">
    <w:name w:val="Balloon Text"/>
    <w:basedOn w:val="1"/>
    <w:link w:val="79"/>
    <w:semiHidden/>
    <w:qFormat/>
    <w:uiPriority w:val="0"/>
    <w:rPr>
      <w:sz w:val="18"/>
      <w:szCs w:val="18"/>
    </w:rPr>
  </w:style>
  <w:style w:type="paragraph" w:styleId="21">
    <w:name w:val="footer"/>
    <w:basedOn w:val="1"/>
    <w:link w:val="43"/>
    <w:qFormat/>
    <w:uiPriority w:val="99"/>
    <w:pPr>
      <w:tabs>
        <w:tab w:val="center" w:pos="4153"/>
        <w:tab w:val="right" w:pos="8306"/>
      </w:tabs>
      <w:spacing w:line="240" w:lineRule="atLeast"/>
    </w:pPr>
    <w:rPr>
      <w:sz w:val="18"/>
    </w:rPr>
  </w:style>
  <w:style w:type="paragraph" w:styleId="22">
    <w:name w:val="header"/>
    <w:basedOn w:val="1"/>
    <w:link w:val="44"/>
    <w:qFormat/>
    <w:uiPriority w:val="99"/>
    <w:pPr>
      <w:pBdr>
        <w:bottom w:val="single" w:color="auto" w:sz="6" w:space="1"/>
      </w:pBdr>
      <w:tabs>
        <w:tab w:val="center" w:pos="4153"/>
        <w:tab w:val="right" w:pos="8306"/>
      </w:tabs>
      <w:snapToGrid w:val="0"/>
      <w:spacing w:line="240" w:lineRule="atLeast"/>
      <w:jc w:val="center"/>
    </w:pPr>
    <w:rPr>
      <w:sz w:val="18"/>
    </w:rPr>
  </w:style>
  <w:style w:type="paragraph" w:styleId="23">
    <w:name w:val="toc 1"/>
    <w:basedOn w:val="1"/>
    <w:next w:val="1"/>
    <w:qFormat/>
    <w:uiPriority w:val="39"/>
    <w:pPr>
      <w:tabs>
        <w:tab w:val="right" w:leader="dot" w:pos="9072"/>
      </w:tabs>
      <w:spacing w:line="360" w:lineRule="auto"/>
    </w:pPr>
    <w:rPr>
      <w:rFonts w:ascii="楷体_GB2312" w:eastAsia="楷体_GB2312"/>
      <w:b/>
      <w:bCs/>
      <w:sz w:val="30"/>
      <w:szCs w:val="30"/>
    </w:rPr>
  </w:style>
  <w:style w:type="paragraph" w:styleId="24">
    <w:name w:val="toc 4"/>
    <w:basedOn w:val="1"/>
    <w:next w:val="1"/>
    <w:semiHidden/>
    <w:qFormat/>
    <w:uiPriority w:val="0"/>
    <w:pPr>
      <w:ind w:left="1260" w:leftChars="600"/>
    </w:pPr>
  </w:style>
  <w:style w:type="paragraph" w:styleId="25">
    <w:name w:val="toc 6"/>
    <w:basedOn w:val="1"/>
    <w:next w:val="1"/>
    <w:semiHidden/>
    <w:qFormat/>
    <w:uiPriority w:val="0"/>
    <w:pPr>
      <w:ind w:left="2100" w:leftChars="1000"/>
    </w:pPr>
  </w:style>
  <w:style w:type="paragraph" w:styleId="26">
    <w:name w:val="Body Text Indent 3"/>
    <w:basedOn w:val="1"/>
    <w:link w:val="82"/>
    <w:qFormat/>
    <w:uiPriority w:val="0"/>
    <w:pPr>
      <w:spacing w:line="360" w:lineRule="auto"/>
      <w:ind w:left="600" w:firstLine="555"/>
      <w:outlineLvl w:val="0"/>
    </w:pPr>
    <w:rPr>
      <w:rFonts w:ascii="楷体_GB2312" w:eastAsia="楷体_GB2312"/>
      <w:kern w:val="2"/>
      <w:sz w:val="28"/>
    </w:rPr>
  </w:style>
  <w:style w:type="paragraph" w:styleId="27">
    <w:name w:val="toc 2"/>
    <w:basedOn w:val="1"/>
    <w:next w:val="1"/>
    <w:qFormat/>
    <w:uiPriority w:val="39"/>
    <w:pPr>
      <w:tabs>
        <w:tab w:val="right" w:leader="dot" w:pos="9072"/>
      </w:tabs>
      <w:spacing w:line="360" w:lineRule="auto"/>
      <w:ind w:left="480" w:leftChars="200"/>
    </w:pPr>
    <w:rPr>
      <w:rFonts w:eastAsia="楷体_GB2312"/>
    </w:rPr>
  </w:style>
  <w:style w:type="paragraph" w:styleId="28">
    <w:name w:val="toc 9"/>
    <w:basedOn w:val="1"/>
    <w:next w:val="1"/>
    <w:semiHidden/>
    <w:qFormat/>
    <w:uiPriority w:val="0"/>
    <w:pPr>
      <w:ind w:left="3360" w:leftChars="1600"/>
    </w:pPr>
  </w:style>
  <w:style w:type="paragraph" w:styleId="29">
    <w:name w:val="Body Text 2"/>
    <w:basedOn w:val="1"/>
    <w:link w:val="83"/>
    <w:qFormat/>
    <w:uiPriority w:val="0"/>
    <w:pPr>
      <w:spacing w:line="360" w:lineRule="auto"/>
      <w:ind w:right="2"/>
    </w:pPr>
    <w:rPr>
      <w:rFonts w:eastAsia="仿宋_GB2312"/>
      <w:sz w:val="28"/>
    </w:rPr>
  </w:style>
  <w:style w:type="paragraph" w:styleId="30">
    <w:name w:val="Normal (Web)"/>
    <w:basedOn w:val="1"/>
    <w:qFormat/>
    <w:uiPriority w:val="99"/>
    <w:pPr>
      <w:widowControl/>
      <w:adjustRightInd/>
      <w:spacing w:line="360" w:lineRule="auto"/>
      <w:textAlignment w:val="auto"/>
    </w:pPr>
    <w:rPr>
      <w:rFonts w:ascii="宋体" w:hAnsi="宋体"/>
      <w:sz w:val="18"/>
      <w:szCs w:val="18"/>
    </w:rPr>
  </w:style>
  <w:style w:type="paragraph" w:styleId="31">
    <w:name w:val="annotation subject"/>
    <w:basedOn w:val="11"/>
    <w:next w:val="11"/>
    <w:link w:val="84"/>
    <w:semiHidden/>
    <w:qFormat/>
    <w:uiPriority w:val="0"/>
    <w:rPr>
      <w:b/>
      <w:bCs/>
    </w:rPr>
  </w:style>
  <w:style w:type="paragraph" w:styleId="32">
    <w:name w:val="Body Text First Indent"/>
    <w:basedOn w:val="12"/>
    <w:link w:val="85"/>
    <w:qFormat/>
    <w:uiPriority w:val="0"/>
    <w:pPr>
      <w:adjustRightInd/>
      <w:spacing w:after="120" w:line="240" w:lineRule="auto"/>
      <w:ind w:firstLine="420"/>
      <w:jc w:val="both"/>
      <w:textAlignment w:val="auto"/>
    </w:pPr>
    <w:rPr>
      <w:rFonts w:eastAsia="宋体"/>
      <w:kern w:val="2"/>
      <w:sz w:val="21"/>
    </w:rPr>
  </w:style>
  <w:style w:type="table" w:styleId="34">
    <w:name w:val="Table Grid"/>
    <w:basedOn w:val="3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6">
    <w:name w:val="Strong"/>
    <w:qFormat/>
    <w:uiPriority w:val="22"/>
    <w:rPr>
      <w:b/>
      <w:bCs/>
    </w:rPr>
  </w:style>
  <w:style w:type="character" w:styleId="37">
    <w:name w:val="page number"/>
    <w:qFormat/>
    <w:uiPriority w:val="0"/>
  </w:style>
  <w:style w:type="character" w:styleId="38">
    <w:name w:val="FollowedHyperlink"/>
    <w:qFormat/>
    <w:uiPriority w:val="0"/>
    <w:rPr>
      <w:color w:val="800080"/>
      <w:u w:val="single"/>
    </w:rPr>
  </w:style>
  <w:style w:type="character" w:styleId="39">
    <w:name w:val="Hyperlink"/>
    <w:qFormat/>
    <w:uiPriority w:val="99"/>
    <w:rPr>
      <w:color w:val="0000FF"/>
      <w:u w:val="single"/>
    </w:rPr>
  </w:style>
  <w:style w:type="character" w:styleId="40">
    <w:name w:val="annotation reference"/>
    <w:qFormat/>
    <w:uiPriority w:val="0"/>
    <w:rPr>
      <w:sz w:val="21"/>
      <w:szCs w:val="21"/>
    </w:rPr>
  </w:style>
  <w:style w:type="character" w:customStyle="1" w:styleId="41">
    <w:name w:val="文档结构图 Char1"/>
    <w:link w:val="10"/>
    <w:semiHidden/>
    <w:qFormat/>
    <w:uiPriority w:val="0"/>
    <w:rPr>
      <w:sz w:val="24"/>
      <w:shd w:val="clear" w:color="auto" w:fill="000080"/>
    </w:rPr>
  </w:style>
  <w:style w:type="character" w:customStyle="1" w:styleId="42">
    <w:name w:val="批注文字 Char1"/>
    <w:link w:val="11"/>
    <w:qFormat/>
    <w:uiPriority w:val="0"/>
    <w:rPr>
      <w:sz w:val="24"/>
    </w:rPr>
  </w:style>
  <w:style w:type="character" w:customStyle="1" w:styleId="43">
    <w:name w:val="页脚 Char2"/>
    <w:link w:val="21"/>
    <w:qFormat/>
    <w:uiPriority w:val="99"/>
    <w:rPr>
      <w:sz w:val="18"/>
    </w:rPr>
  </w:style>
  <w:style w:type="character" w:customStyle="1" w:styleId="44">
    <w:name w:val="页眉 Char2"/>
    <w:link w:val="22"/>
    <w:qFormat/>
    <w:uiPriority w:val="99"/>
    <w:rPr>
      <w:sz w:val="18"/>
    </w:rPr>
  </w:style>
  <w:style w:type="character" w:customStyle="1" w:styleId="45">
    <w:name w:val="中等深浅网格 2 字符"/>
    <w:link w:val="46"/>
    <w:qFormat/>
    <w:uiPriority w:val="1"/>
    <w:rPr>
      <w:rFonts w:ascii="Calibri" w:hAnsi="Calibri"/>
      <w:sz w:val="22"/>
      <w:szCs w:val="22"/>
      <w:lang w:val="en-US" w:eastAsia="zh-CN" w:bidi="ar-SA"/>
    </w:rPr>
  </w:style>
  <w:style w:type="paragraph" w:customStyle="1" w:styleId="46">
    <w:name w:val="中等深浅网格 21"/>
    <w:link w:val="45"/>
    <w:qFormat/>
    <w:uiPriority w:val="1"/>
    <w:rPr>
      <w:rFonts w:ascii="Calibri" w:hAnsi="Calibri" w:eastAsia="宋体" w:cs="Times New Roman"/>
      <w:sz w:val="22"/>
      <w:szCs w:val="22"/>
      <w:lang w:val="en-US" w:eastAsia="zh-CN" w:bidi="ar-SA"/>
    </w:rPr>
  </w:style>
  <w:style w:type="character" w:customStyle="1" w:styleId="47">
    <w:name w:val="unnamed11"/>
    <w:qFormat/>
    <w:uiPriority w:val="0"/>
    <w:rPr>
      <w:rFonts w:hint="eastAsia" w:ascii="宋体" w:hAnsi="宋体" w:eastAsia="宋体"/>
      <w:color w:val="000000"/>
      <w:sz w:val="18"/>
      <w:szCs w:val="18"/>
      <w:u w:val="none"/>
    </w:rPr>
  </w:style>
  <w:style w:type="character" w:customStyle="1" w:styleId="48">
    <w:name w:val="text1"/>
    <w:qFormat/>
    <w:uiPriority w:val="0"/>
    <w:rPr>
      <w:spacing w:val="10"/>
      <w:sz w:val="28"/>
      <w:szCs w:val="28"/>
    </w:rPr>
  </w:style>
  <w:style w:type="character" w:customStyle="1" w:styleId="49">
    <w:name w:val="nr1"/>
    <w:qFormat/>
    <w:uiPriority w:val="0"/>
    <w:rPr>
      <w:rFonts w:hint="eastAsia" w:ascii="楷体_GB2312" w:eastAsia="楷体_GB2312"/>
      <w:color w:val="000000"/>
      <w:sz w:val="24"/>
      <w:szCs w:val="24"/>
    </w:rPr>
  </w:style>
  <w:style w:type="character" w:customStyle="1" w:styleId="50">
    <w:name w:val="t12h291"/>
    <w:qFormat/>
    <w:uiPriority w:val="0"/>
    <w:rPr>
      <w:color w:val="000000"/>
      <w:sz w:val="24"/>
      <w:szCs w:val="24"/>
    </w:rPr>
  </w:style>
  <w:style w:type="character" w:customStyle="1" w:styleId="51">
    <w:name w:val="标题 5 Char"/>
    <w:qFormat/>
    <w:uiPriority w:val="0"/>
    <w:rPr>
      <w:rFonts w:ascii="楷体_GB2312" w:eastAsia="楷体_GB2312"/>
      <w:color w:val="000000"/>
      <w:sz w:val="28"/>
    </w:rPr>
  </w:style>
  <w:style w:type="paragraph" w:customStyle="1" w:styleId="52">
    <w:name w:val="Table Paragraph"/>
    <w:basedOn w:val="1"/>
    <w:qFormat/>
    <w:uiPriority w:val="1"/>
    <w:pPr>
      <w:autoSpaceDE w:val="0"/>
      <w:autoSpaceDN w:val="0"/>
      <w:adjustRightInd/>
      <w:spacing w:line="240" w:lineRule="auto"/>
      <w:textAlignment w:val="auto"/>
    </w:pPr>
    <w:rPr>
      <w:rFonts w:ascii="宋体" w:hAnsi="宋体" w:cs="宋体"/>
      <w:sz w:val="22"/>
      <w:szCs w:val="22"/>
      <w:lang w:val="zh-CN" w:bidi="zh-CN"/>
    </w:rPr>
  </w:style>
  <w:style w:type="paragraph" w:customStyle="1" w:styleId="53">
    <w:name w:val="无间隔1"/>
    <w:qFormat/>
    <w:uiPriority w:val="0"/>
    <w:pPr>
      <w:widowControl w:val="0"/>
      <w:jc w:val="both"/>
    </w:pPr>
    <w:rPr>
      <w:rFonts w:ascii="Calibri" w:hAnsi="Calibri" w:eastAsia="宋体" w:cs="Times New Roman"/>
      <w:kern w:val="2"/>
      <w:sz w:val="24"/>
      <w:szCs w:val="22"/>
      <w:lang w:val="en-US" w:eastAsia="zh-CN" w:bidi="ar-SA"/>
    </w:rPr>
  </w:style>
  <w:style w:type="paragraph" w:customStyle="1" w:styleId="54">
    <w:name w:val="彩色列表 - 着色 11"/>
    <w:basedOn w:val="1"/>
    <w:qFormat/>
    <w:uiPriority w:val="1"/>
    <w:pPr>
      <w:ind w:firstLine="420" w:firstLineChars="200"/>
    </w:pPr>
  </w:style>
  <w:style w:type="paragraph" w:customStyle="1" w:styleId="55">
    <w:name w:val="xl25"/>
    <w:basedOn w:val="1"/>
    <w:qFormat/>
    <w:uiPriority w:val="0"/>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56">
    <w:name w:val="xl28"/>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240" w:lineRule="auto"/>
      <w:jc w:val="center"/>
      <w:textAlignment w:val="auto"/>
    </w:pPr>
    <w:rPr>
      <w:rFonts w:eastAsia="Arial Unicode MS"/>
      <w:szCs w:val="24"/>
    </w:rPr>
  </w:style>
  <w:style w:type="paragraph" w:customStyle="1" w:styleId="57">
    <w:name w:val="xl30"/>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58">
    <w:name w:val="Default"/>
    <w:qFormat/>
    <w:uiPriority w:val="0"/>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59">
    <w:name w:val="font5"/>
    <w:basedOn w:val="1"/>
    <w:qFormat/>
    <w:uiPriority w:val="0"/>
    <w:pPr>
      <w:widowControl/>
      <w:adjustRightInd/>
      <w:spacing w:before="100" w:beforeAutospacing="1" w:after="100" w:afterAutospacing="1" w:line="240" w:lineRule="auto"/>
      <w:textAlignment w:val="auto"/>
    </w:pPr>
    <w:rPr>
      <w:rFonts w:hint="eastAsia" w:ascii="宋体" w:hAnsi="宋体"/>
      <w:sz w:val="18"/>
      <w:szCs w:val="18"/>
    </w:rPr>
  </w:style>
  <w:style w:type="paragraph" w:customStyle="1" w:styleId="60">
    <w:name w:val="正文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61">
    <w:name w:val="正文11"/>
    <w:qFormat/>
    <w:uiPriority w:val="0"/>
    <w:pPr>
      <w:widowControl w:val="0"/>
      <w:adjustRightInd w:val="0"/>
      <w:spacing w:line="360" w:lineRule="atLeast"/>
      <w:jc w:val="center"/>
      <w:textAlignment w:val="baseline"/>
    </w:pPr>
    <w:rPr>
      <w:rFonts w:ascii="宋体" w:hAnsi="Times New Roman" w:eastAsia="宋体" w:cs="Times New Roman"/>
      <w:sz w:val="34"/>
      <w:lang w:val="en-US" w:eastAsia="zh-CN" w:bidi="ar-SA"/>
    </w:rPr>
  </w:style>
  <w:style w:type="paragraph" w:customStyle="1" w:styleId="62">
    <w:name w:val="Char Char1 Char"/>
    <w:basedOn w:val="1"/>
    <w:qFormat/>
    <w:uiPriority w:val="0"/>
    <w:pPr>
      <w:adjustRightInd/>
      <w:spacing w:line="240" w:lineRule="auto"/>
      <w:jc w:val="both"/>
      <w:textAlignment w:val="auto"/>
    </w:pPr>
    <w:rPr>
      <w:rFonts w:ascii="宋体" w:hAnsi="宋体" w:cs="Courier New"/>
      <w:kern w:val="2"/>
      <w:sz w:val="32"/>
      <w:szCs w:val="32"/>
    </w:rPr>
  </w:style>
  <w:style w:type="paragraph" w:customStyle="1" w:styleId="63">
    <w:name w:val="xl33"/>
    <w:basedOn w:val="1"/>
    <w:qFormat/>
    <w:uiPriority w:val="0"/>
    <w:pPr>
      <w:widowControl/>
      <w:pBdr>
        <w:top w:val="single" w:color="auto" w:sz="4" w:space="0"/>
        <w:bottom w:val="single" w:color="auto" w:sz="4" w:space="0"/>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64">
    <w:name w:val="Table Normal"/>
    <w:semiHidden/>
    <w:qFormat/>
    <w:uiPriority w:val="2"/>
    <w:pPr>
      <w:widowControl w:val="0"/>
      <w:autoSpaceDE w:val="0"/>
      <w:autoSpaceDN w:val="0"/>
    </w:pPr>
    <w:rPr>
      <w:rFonts w:ascii="Calibri" w:hAnsi="Calibri" w:eastAsia="Times New Roman"/>
      <w:sz w:val="22"/>
      <w:szCs w:val="22"/>
      <w:lang w:eastAsia="en-US"/>
    </w:rPr>
    <w:tblPr>
      <w:tblCellMar>
        <w:top w:w="0" w:type="dxa"/>
        <w:left w:w="0" w:type="dxa"/>
        <w:bottom w:w="0" w:type="dxa"/>
        <w:right w:w="0" w:type="dxa"/>
      </w:tblCellMar>
    </w:tblPr>
  </w:style>
  <w:style w:type="character" w:customStyle="1" w:styleId="65">
    <w:name w:val="fontstyle01"/>
    <w:qFormat/>
    <w:uiPriority w:val="0"/>
    <w:rPr>
      <w:rFonts w:hint="eastAsia" w:ascii="仿宋_GB2312" w:eastAsia="仿宋_GB2312"/>
      <w:color w:val="000000"/>
      <w:sz w:val="28"/>
      <w:szCs w:val="28"/>
    </w:rPr>
  </w:style>
  <w:style w:type="paragraph" w:customStyle="1" w:styleId="66">
    <w:name w:val="LO-Normal"/>
    <w:qFormat/>
    <w:uiPriority w:val="0"/>
    <w:pPr>
      <w:widowControl w:val="0"/>
      <w:suppressAutoHyphens/>
      <w:spacing w:line="360" w:lineRule="atLeast"/>
      <w:textAlignment w:val="baseline"/>
    </w:pPr>
    <w:rPr>
      <w:rFonts w:ascii="宋体" w:hAnsi="宋体" w:eastAsia="宋体" w:cs="Times New Roman"/>
      <w:sz w:val="34"/>
      <w:lang w:val="en-US" w:eastAsia="zh-CN" w:bidi="ar-SA"/>
    </w:rPr>
  </w:style>
  <w:style w:type="character" w:customStyle="1" w:styleId="67">
    <w:name w:val="text_jayku"/>
    <w:basedOn w:val="35"/>
    <w:qFormat/>
    <w:uiPriority w:val="0"/>
  </w:style>
  <w:style w:type="character" w:customStyle="1" w:styleId="68">
    <w:name w:val="标题 1 Char"/>
    <w:link w:val="2"/>
    <w:qFormat/>
    <w:uiPriority w:val="0"/>
    <w:rPr>
      <w:rFonts w:ascii="Arial" w:hAnsi="Arial" w:eastAsia="仿宋_GB2312" w:cs="Arial"/>
      <w:b/>
      <w:sz w:val="28"/>
    </w:rPr>
  </w:style>
  <w:style w:type="character" w:customStyle="1" w:styleId="69">
    <w:name w:val="标题 2 Char"/>
    <w:link w:val="3"/>
    <w:qFormat/>
    <w:uiPriority w:val="0"/>
    <w:rPr>
      <w:rFonts w:ascii="Arial" w:hAnsi="Arial" w:eastAsia="仿宋_GB2312" w:cs="Arial"/>
      <w:b/>
      <w:bCs/>
      <w:sz w:val="28"/>
    </w:rPr>
  </w:style>
  <w:style w:type="character" w:customStyle="1" w:styleId="70">
    <w:name w:val="标题 3 Char"/>
    <w:link w:val="4"/>
    <w:qFormat/>
    <w:uiPriority w:val="0"/>
    <w:rPr>
      <w:rFonts w:ascii="仿宋_GB2312" w:hAnsi="Arial" w:eastAsia="仿宋_GB2312" w:cs="Arial"/>
      <w:sz w:val="28"/>
    </w:rPr>
  </w:style>
  <w:style w:type="character" w:customStyle="1" w:styleId="71">
    <w:name w:val="标题 4 Char"/>
    <w:link w:val="5"/>
    <w:qFormat/>
    <w:uiPriority w:val="0"/>
    <w:rPr>
      <w:rFonts w:ascii="仿宋_GB2312" w:eastAsia="仿宋_GB2312"/>
      <w:sz w:val="28"/>
    </w:rPr>
  </w:style>
  <w:style w:type="character" w:customStyle="1" w:styleId="72">
    <w:name w:val="文档结构图 Char"/>
    <w:semiHidden/>
    <w:qFormat/>
    <w:uiPriority w:val="0"/>
    <w:rPr>
      <w:rFonts w:ascii="Times New Roman" w:hAnsi="Times New Roman" w:eastAsia="宋体" w:cs="Times New Roman"/>
      <w:kern w:val="0"/>
      <w:sz w:val="24"/>
      <w:szCs w:val="20"/>
      <w:shd w:val="clear" w:color="auto" w:fill="000080"/>
    </w:rPr>
  </w:style>
  <w:style w:type="character" w:customStyle="1" w:styleId="73">
    <w:name w:val="批注文字 Char"/>
    <w:semiHidden/>
    <w:qFormat/>
    <w:uiPriority w:val="99"/>
    <w:rPr>
      <w:rFonts w:ascii="Times New Roman" w:hAnsi="Times New Roman" w:eastAsia="宋体" w:cs="Times New Roman"/>
      <w:kern w:val="0"/>
      <w:sz w:val="24"/>
      <w:szCs w:val="20"/>
    </w:rPr>
  </w:style>
  <w:style w:type="character" w:customStyle="1" w:styleId="74">
    <w:name w:val="正文文本 Char"/>
    <w:link w:val="12"/>
    <w:qFormat/>
    <w:uiPriority w:val="0"/>
    <w:rPr>
      <w:rFonts w:eastAsia="隶书"/>
      <w:sz w:val="52"/>
    </w:rPr>
  </w:style>
  <w:style w:type="character" w:customStyle="1" w:styleId="75">
    <w:name w:val="正文文本缩进 Char"/>
    <w:link w:val="13"/>
    <w:qFormat/>
    <w:uiPriority w:val="0"/>
    <w:rPr>
      <w:rFonts w:ascii="楷体_GB2312" w:eastAsia="楷体_GB2312"/>
      <w:kern w:val="2"/>
      <w:sz w:val="28"/>
    </w:rPr>
  </w:style>
  <w:style w:type="character" w:customStyle="1" w:styleId="76">
    <w:name w:val="纯文本 Char"/>
    <w:link w:val="16"/>
    <w:qFormat/>
    <w:uiPriority w:val="0"/>
    <w:rPr>
      <w:rFonts w:ascii="宋体" w:hAnsi="Courier New"/>
      <w:kern w:val="2"/>
      <w:sz w:val="21"/>
    </w:rPr>
  </w:style>
  <w:style w:type="character" w:customStyle="1" w:styleId="77">
    <w:name w:val="日期 Char"/>
    <w:link w:val="18"/>
    <w:qFormat/>
    <w:uiPriority w:val="0"/>
    <w:rPr>
      <w:rFonts w:ascii="楷体_GB2312" w:eastAsia="楷体_GB2312"/>
      <w:b/>
      <w:sz w:val="28"/>
    </w:rPr>
  </w:style>
  <w:style w:type="character" w:customStyle="1" w:styleId="78">
    <w:name w:val="正文文本缩进 2 Char"/>
    <w:link w:val="19"/>
    <w:qFormat/>
    <w:uiPriority w:val="0"/>
    <w:rPr>
      <w:rFonts w:ascii="楷体_GB2312" w:eastAsia="楷体_GB2312"/>
      <w:kern w:val="2"/>
      <w:sz w:val="28"/>
    </w:rPr>
  </w:style>
  <w:style w:type="character" w:customStyle="1" w:styleId="79">
    <w:name w:val="批注框文本 Char"/>
    <w:link w:val="20"/>
    <w:semiHidden/>
    <w:qFormat/>
    <w:uiPriority w:val="0"/>
    <w:rPr>
      <w:sz w:val="18"/>
      <w:szCs w:val="18"/>
    </w:rPr>
  </w:style>
  <w:style w:type="character" w:customStyle="1" w:styleId="80">
    <w:name w:val="页脚 Char1"/>
    <w:qFormat/>
    <w:uiPriority w:val="99"/>
    <w:rPr>
      <w:sz w:val="18"/>
      <w:szCs w:val="18"/>
    </w:rPr>
  </w:style>
  <w:style w:type="character" w:customStyle="1" w:styleId="81">
    <w:name w:val="页眉 Char1"/>
    <w:qFormat/>
    <w:uiPriority w:val="99"/>
    <w:rPr>
      <w:rFonts w:ascii="Times New Roman" w:hAnsi="Times New Roman"/>
      <w:sz w:val="18"/>
      <w:szCs w:val="18"/>
    </w:rPr>
  </w:style>
  <w:style w:type="character" w:customStyle="1" w:styleId="82">
    <w:name w:val="正文文本缩进 3 Char"/>
    <w:link w:val="26"/>
    <w:qFormat/>
    <w:uiPriority w:val="0"/>
    <w:rPr>
      <w:rFonts w:ascii="楷体_GB2312" w:eastAsia="楷体_GB2312"/>
      <w:kern w:val="2"/>
      <w:sz w:val="28"/>
    </w:rPr>
  </w:style>
  <w:style w:type="character" w:customStyle="1" w:styleId="83">
    <w:name w:val="正文文本 2 Char"/>
    <w:link w:val="29"/>
    <w:qFormat/>
    <w:uiPriority w:val="0"/>
    <w:rPr>
      <w:rFonts w:eastAsia="仿宋_GB2312"/>
      <w:sz w:val="28"/>
    </w:rPr>
  </w:style>
  <w:style w:type="character" w:customStyle="1" w:styleId="84">
    <w:name w:val="批注主题 Char"/>
    <w:link w:val="31"/>
    <w:semiHidden/>
    <w:qFormat/>
    <w:uiPriority w:val="0"/>
    <w:rPr>
      <w:b/>
      <w:bCs/>
      <w:sz w:val="24"/>
    </w:rPr>
  </w:style>
  <w:style w:type="character" w:customStyle="1" w:styleId="85">
    <w:name w:val="正文首行缩进 Char"/>
    <w:link w:val="32"/>
    <w:qFormat/>
    <w:uiPriority w:val="0"/>
    <w:rPr>
      <w:kern w:val="2"/>
      <w:sz w:val="21"/>
    </w:rPr>
  </w:style>
  <w:style w:type="paragraph" w:customStyle="1" w:styleId="86">
    <w:name w:val="中等深浅网格 2 - 强调文字颜色 11"/>
    <w:link w:val="87"/>
    <w:qFormat/>
    <w:uiPriority w:val="1"/>
    <w:pPr>
      <w:spacing w:before="20" w:after="20" w:line="400" w:lineRule="exact"/>
    </w:pPr>
    <w:rPr>
      <w:rFonts w:ascii="Times New Roman" w:hAnsi="Times New Roman" w:eastAsia="宋体" w:cs="Times New Roman"/>
      <w:sz w:val="22"/>
      <w:szCs w:val="22"/>
      <w:lang w:val="en-US" w:eastAsia="zh-CN" w:bidi="ar-SA"/>
    </w:rPr>
  </w:style>
  <w:style w:type="character" w:customStyle="1" w:styleId="87">
    <w:name w:val="中等深浅网格 2 - 着色 1 字符"/>
    <w:link w:val="86"/>
    <w:qFormat/>
    <w:uiPriority w:val="1"/>
    <w:rPr>
      <w:sz w:val="22"/>
      <w:szCs w:val="22"/>
    </w:rPr>
  </w:style>
  <w:style w:type="character" w:customStyle="1" w:styleId="88">
    <w:name w:val="apple-style-span"/>
    <w:qFormat/>
    <w:uiPriority w:val="0"/>
  </w:style>
  <w:style w:type="paragraph" w:customStyle="1" w:styleId="89">
    <w:name w:val="浅色列表 - 强调文字颜色 31"/>
    <w:semiHidden/>
    <w:qFormat/>
    <w:uiPriority w:val="99"/>
    <w:rPr>
      <w:rFonts w:ascii="Times New Roman" w:hAnsi="Times New Roman" w:eastAsia="宋体" w:cs="Times New Roman"/>
      <w:sz w:val="24"/>
      <w:lang w:val="en-US" w:eastAsia="zh-CN" w:bidi="ar-SA"/>
    </w:rPr>
  </w:style>
  <w:style w:type="paragraph" w:customStyle="1" w:styleId="90">
    <w:name w:val="浅色网格 - 强调文字颜色 31"/>
    <w:basedOn w:val="1"/>
    <w:qFormat/>
    <w:uiPriority w:val="34"/>
    <w:pPr>
      <w:ind w:firstLine="420" w:firstLineChars="200"/>
    </w:pPr>
  </w:style>
  <w:style w:type="character" w:customStyle="1" w:styleId="91">
    <w:name w:val="apple-converted-space"/>
    <w:qFormat/>
    <w:uiPriority w:val="0"/>
  </w:style>
  <w:style w:type="character" w:customStyle="1" w:styleId="92">
    <w:name w:val="页眉 Char"/>
    <w:qFormat/>
    <w:uiPriority w:val="99"/>
    <w:rPr>
      <w:rFonts w:ascii="Times New Roman" w:hAnsi="Times New Roman"/>
      <w:sz w:val="18"/>
      <w:szCs w:val="18"/>
    </w:rPr>
  </w:style>
  <w:style w:type="character" w:customStyle="1" w:styleId="93">
    <w:name w:val="页脚 Char"/>
    <w:qFormat/>
    <w:uiPriority w:val="99"/>
    <w:rPr>
      <w:sz w:val="18"/>
      <w:szCs w:val="18"/>
    </w:rPr>
  </w:style>
  <w:style w:type="paragraph" w:customStyle="1" w:styleId="94">
    <w:name w:val="彩色列表 - 强调文字颜色 11"/>
    <w:basedOn w:val="1"/>
    <w:qFormat/>
    <w:uiPriority w:val="1"/>
    <w:pPr>
      <w:spacing w:before="20" w:after="20"/>
      <w:ind w:firstLine="420" w:firstLineChars="200"/>
    </w:pPr>
  </w:style>
  <w:style w:type="character" w:customStyle="1" w:styleId="95">
    <w:name w:val="font11"/>
    <w:qFormat/>
    <w:uiPriority w:val="0"/>
    <w:rPr>
      <w:rFonts w:hint="eastAsia" w:ascii="华文细黑" w:hAnsi="华文细黑" w:eastAsia="华文细黑" w:cs="华文细黑"/>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5" Type="http://schemas.microsoft.com/office/2011/relationships/people" Target="people.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1.png"/><Relationship Id="rId5" Type="http://schemas.openxmlformats.org/officeDocument/2006/relationships/footnotes" Target="footnotes.xml"/><Relationship Id="rId49" Type="http://schemas.openxmlformats.org/officeDocument/2006/relationships/image" Target="media/image20.png"/><Relationship Id="rId48" Type="http://schemas.openxmlformats.org/officeDocument/2006/relationships/image" Target="media/image19.png"/><Relationship Id="rId47" Type="http://schemas.openxmlformats.org/officeDocument/2006/relationships/chart" Target="charts/chart3.xml"/><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png"/><Relationship Id="rId43" Type="http://schemas.openxmlformats.org/officeDocument/2006/relationships/image" Target="media/image15.png"/><Relationship Id="rId42" Type="http://schemas.openxmlformats.org/officeDocument/2006/relationships/image" Target="media/image14.png"/><Relationship Id="rId41" Type="http://schemas.openxmlformats.org/officeDocument/2006/relationships/image" Target="media/image13.png"/><Relationship Id="rId40" Type="http://schemas.openxmlformats.org/officeDocument/2006/relationships/image" Target="media/image12.png"/><Relationship Id="rId4" Type="http://schemas.microsoft.com/office/2011/relationships/commentsExtended" Target="commentsExtended.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png"/><Relationship Id="rId36" Type="http://schemas.openxmlformats.org/officeDocument/2006/relationships/image" Target="media/image8.png"/><Relationship Id="rId35" Type="http://schemas.openxmlformats.org/officeDocument/2006/relationships/image" Target="media/image7.png"/><Relationship Id="rId34" Type="http://schemas.openxmlformats.org/officeDocument/2006/relationships/image" Target="media/image6.png"/><Relationship Id="rId33" Type="http://schemas.openxmlformats.org/officeDocument/2006/relationships/image" Target="media/image5.png"/><Relationship Id="rId32" Type="http://schemas.openxmlformats.org/officeDocument/2006/relationships/image" Target="media/image4.png"/><Relationship Id="rId31" Type="http://schemas.openxmlformats.org/officeDocument/2006/relationships/image" Target="media/image3.png"/><Relationship Id="rId30" Type="http://schemas.openxmlformats.org/officeDocument/2006/relationships/chart" Target="charts/chart2.xml"/><Relationship Id="rId3" Type="http://schemas.openxmlformats.org/officeDocument/2006/relationships/comments" Target="comments.xml"/><Relationship Id="rId29" Type="http://schemas.openxmlformats.org/officeDocument/2006/relationships/chart" Target="charts/chart1.xml"/><Relationship Id="rId28" Type="http://schemas.openxmlformats.org/officeDocument/2006/relationships/image" Target="media/image2.png"/><Relationship Id="rId27" Type="http://schemas.openxmlformats.org/officeDocument/2006/relationships/theme" Target="theme/theme1.xml"/><Relationship Id="rId26" Type="http://schemas.openxmlformats.org/officeDocument/2006/relationships/header" Target="header14.xml"/><Relationship Id="rId25" Type="http://schemas.openxmlformats.org/officeDocument/2006/relationships/header" Target="header13.xml"/><Relationship Id="rId24" Type="http://schemas.openxmlformats.org/officeDocument/2006/relationships/header" Target="header12.xml"/><Relationship Id="rId23" Type="http://schemas.openxmlformats.org/officeDocument/2006/relationships/footer" Target="footer6.xml"/><Relationship Id="rId22" Type="http://schemas.openxmlformats.org/officeDocument/2006/relationships/footer" Target="footer5.xml"/><Relationship Id="rId21" Type="http://schemas.openxmlformats.org/officeDocument/2006/relationships/header" Target="header11.xml"/><Relationship Id="rId20" Type="http://schemas.openxmlformats.org/officeDocument/2006/relationships/header" Target="header10.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footer" Target="footer4.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header" Target="header4.xml"/><Relationship Id="rId12"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D:\&#23457;&#26680;&#32452;\2025&#24180;\&#24066;&#22330;&#20998;&#26512;\2025&#24180;1&#23395;&#24230;\&#25968;&#25454;&#27719;&#38598;&#20998;&#26512;&#65288;&#24635;&#34920;&#65289;.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D:\&#23457;&#26680;&#32452;\2025&#24180;\&#24066;&#22330;&#20998;&#26512;\2025&#24180;4&#23395;&#24230;\&#20303;&#23429;\&#20303;&#23429;&#22270;&#34920;2025Q4.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D:\&#23457;&#26680;&#32452;\2025&#24180;\&#24066;&#22330;&#20998;&#26512;\2025&#24180;4&#23395;&#24230;\&#20303;&#23429;\&#20303;&#23429;&#22270;&#34920;2025Q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0954582239720035"/>
          <c:y val="0.0902062352338116"/>
          <c:w val="0.784083552055993"/>
          <c:h val="0.694440012179094"/>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c:v>
                </c:pt>
                <c:pt idx="1">
                  <c:v>2188.6</c:v>
                </c:pt>
                <c:pt idx="2">
                  <c:v>2184.3</c:v>
                </c:pt>
                <c:pt idx="3">
                  <c:v>2185.8</c:v>
                </c:pt>
                <c:pt idx="4">
                  <c:v>2183.2</c:v>
                </c:pt>
              </c:numCache>
            </c:numRef>
          </c:val>
        </c:ser>
        <c:dLbls>
          <c:showLegendKey val="0"/>
          <c:showVal val="0"/>
          <c:showCatName val="0"/>
          <c:showSerName val="0"/>
          <c:showPercent val="0"/>
          <c:showBubbleSize val="0"/>
        </c:dLbls>
        <c:gapWidth val="150"/>
        <c:axId val="205967360"/>
        <c:axId val="205968896"/>
      </c:barChart>
      <c:lineChart>
        <c:grouping val="standard"/>
        <c:varyColors val="0"/>
        <c:ser>
          <c:idx val="1"/>
          <c:order val="1"/>
          <c:tx>
            <c:strRef>
              <c:f>人口!$M$92</c:f>
              <c:strCache>
                <c:ptCount val="1"/>
                <c:pt idx="0">
                  <c:v>比上年增长</c:v>
                </c:pt>
              </c:strCache>
            </c:strRef>
          </c:tx>
          <c:marker>
            <c:symbol val="none"/>
          </c:marker>
          <c:dLbls>
            <c:dLbl>
              <c:idx val="0"/>
              <c:layout>
                <c:manualLayout>
                  <c:x val="-0.0472222222222222"/>
                  <c:y val="-0.03240740740740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527777777777778"/>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27777777777778"/>
                  <c:y val="-0.03703703703703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555555555555556"/>
                  <c:y val="-0.02777777777777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555555555555555"/>
                  <c:y val="-0.04166666666666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0.0165768945022289</c:v>
                </c:pt>
                <c:pt idx="1">
                  <c:v>-0.000319736902206325</c:v>
                </c:pt>
                <c:pt idx="2">
                  <c:v>-0.00196472630905586</c:v>
                </c:pt>
                <c:pt idx="3">
                  <c:v>0.000686718857299873</c:v>
                </c:pt>
                <c:pt idx="4">
                  <c:v>-0.00118949583676475</c:v>
                </c:pt>
              </c:numCache>
            </c:numRef>
          </c:val>
          <c:smooth val="0"/>
        </c:ser>
        <c:dLbls>
          <c:showLegendKey val="0"/>
          <c:showVal val="0"/>
          <c:showCatName val="0"/>
          <c:showSerName val="0"/>
          <c:showPercent val="0"/>
          <c:showBubbleSize val="0"/>
        </c:dLbls>
        <c:marker val="0"/>
        <c:smooth val="0"/>
        <c:axId val="240044672"/>
        <c:axId val="250407168"/>
      </c:lineChart>
      <c:catAx>
        <c:axId val="205967360"/>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05968896"/>
        <c:crosses val="autoZero"/>
        <c:auto val="1"/>
        <c:lblAlgn val="ctr"/>
        <c:lblOffset val="100"/>
        <c:noMultiLvlLbl val="0"/>
      </c:catAx>
      <c:valAx>
        <c:axId val="205968896"/>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05967360"/>
        <c:crosses val="autoZero"/>
        <c:crossBetween val="between"/>
        <c:majorUnit val="500"/>
      </c:valAx>
      <c:catAx>
        <c:axId val="240044672"/>
        <c:scaling>
          <c:orientation val="minMax"/>
        </c:scaling>
        <c:delete val="1"/>
        <c:axPos val="b"/>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50407168"/>
        <c:crosses val="autoZero"/>
        <c:auto val="1"/>
        <c:lblAlgn val="ctr"/>
        <c:lblOffset val="100"/>
        <c:noMultiLvlLbl val="0"/>
      </c:catAx>
      <c:valAx>
        <c:axId val="250407168"/>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crossAx val="240044672"/>
        <c:crosses val="max"/>
        <c:crossBetween val="between"/>
      </c:valAx>
    </c:plotArea>
    <c:legend>
      <c:legendPos val="r"/>
      <c:legendEntry>
        <c:idx val="2"/>
        <c:delete val="1"/>
      </c:legendEntry>
      <c:layout>
        <c:manualLayout>
          <c:xMode val="edge"/>
          <c:yMode val="edge"/>
          <c:x val="0.111111111111111"/>
          <c:y val="0.893981481481481"/>
          <c:w val="0.744444444444444"/>
          <c:h val="0.087037037037037"/>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ab06da5f-8847-45ab-9123-3b9ca1ef4968}"/>
      </c:ext>
    </c:extLst>
  </c:chart>
  <c:txPr>
    <a:bodyPr/>
    <a:lstStyle/>
    <a:p>
      <a:pPr>
        <a:defRPr lang="zh-CN" sz="800">
          <a:latin typeface="Arial" panose="020B0604020202020204" pitchFamily="2" charset="0"/>
          <a:cs typeface="Arial" panose="020B0604020202020204" pitchFamily="2"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200"/>
              <a:t>北京市土地供求走势</a:t>
            </a:r>
            <a:endParaRPr lang="zh-CN" altLang="en-US" sz="1200"/>
          </a:p>
        </c:rich>
      </c:tx>
      <c:layout>
        <c:manualLayout>
          <c:xMode val="edge"/>
          <c:yMode val="edge"/>
          <c:x val="0.352597971167599"/>
          <c:y val="0.0138888888888889"/>
        </c:manualLayout>
      </c:layout>
      <c:overlay val="1"/>
    </c:title>
    <c:autoTitleDeleted val="0"/>
    <c:plotArea>
      <c:layout>
        <c:manualLayout>
          <c:layoutTarget val="inner"/>
          <c:xMode val="edge"/>
          <c:yMode val="edge"/>
          <c:x val="0.0808475990335805"/>
          <c:y val="0.130104257801108"/>
          <c:w val="0.89219162185587"/>
          <c:h val="0.642420895304754"/>
        </c:manualLayout>
      </c:layout>
      <c:barChart>
        <c:barDir val="col"/>
        <c:grouping val="clustered"/>
        <c:varyColors val="0"/>
        <c:ser>
          <c:idx val="0"/>
          <c:order val="0"/>
          <c:tx>
            <c:strRef>
              <c:f>推出成交!$B$2</c:f>
              <c:strCache>
                <c:ptCount val="1"/>
                <c:pt idx="0">
                  <c:v>推出规划建面（万㎡）</c:v>
                </c:pt>
              </c:strCache>
            </c:strRef>
          </c:tx>
          <c:invertIfNegative val="0"/>
          <c:dLbls>
            <c:dLbl>
              <c:idx val="4"/>
              <c:layout>
                <c:manualLayout>
                  <c:x val="-0.0049019598382817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推出成交!$B$3:$B$8</c:f>
              <c:numCache>
                <c:formatCode>0_ </c:formatCode>
                <c:ptCount val="6"/>
                <c:pt idx="0">
                  <c:v>620.38</c:v>
                </c:pt>
                <c:pt idx="1">
                  <c:v>959.72</c:v>
                </c:pt>
                <c:pt idx="2">
                  <c:v>576.72</c:v>
                </c:pt>
                <c:pt idx="3">
                  <c:v>621.01</c:v>
                </c:pt>
                <c:pt idx="4">
                  <c:v>492</c:v>
                </c:pt>
                <c:pt idx="5">
                  <c:v>307</c:v>
                </c:pt>
              </c:numCache>
            </c:numRef>
          </c:val>
        </c:ser>
        <c:ser>
          <c:idx val="1"/>
          <c:order val="1"/>
          <c:tx>
            <c:strRef>
              <c:f>推出成交!$C$2</c:f>
              <c:strCache>
                <c:ptCount val="1"/>
                <c:pt idx="0">
                  <c:v>成交规划建面（万㎡）</c:v>
                </c:pt>
              </c:strCache>
            </c:strRef>
          </c:tx>
          <c:invertIfNegative val="0"/>
          <c:dLbls>
            <c:dLbl>
              <c:idx val="0"/>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7058795148449"/>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ext>
            </c:extLst>
          </c:dLbls>
          <c:cat>
            <c:numRef>
              <c:f>推出成交!$A$3:$A$8</c:f>
              <c:numCache>
                <c:formatCode>General</c:formatCode>
                <c:ptCount val="6"/>
                <c:pt idx="0">
                  <c:v>2020</c:v>
                </c:pt>
                <c:pt idx="1">
                  <c:v>2021</c:v>
                </c:pt>
                <c:pt idx="2">
                  <c:v>2022</c:v>
                </c:pt>
                <c:pt idx="3">
                  <c:v>2023</c:v>
                </c:pt>
                <c:pt idx="4">
                  <c:v>2024</c:v>
                </c:pt>
                <c:pt idx="5">
                  <c:v>2025</c:v>
                </c:pt>
              </c:numCache>
            </c:numRef>
          </c:cat>
          <c:val>
            <c:numRef>
              <c:f>推出成交!$C$3:$C$8</c:f>
              <c:numCache>
                <c:formatCode>0_ </c:formatCode>
                <c:ptCount val="6"/>
                <c:pt idx="0">
                  <c:v>624.28</c:v>
                </c:pt>
                <c:pt idx="1">
                  <c:v>688.57</c:v>
                </c:pt>
                <c:pt idx="2">
                  <c:v>484.71</c:v>
                </c:pt>
                <c:pt idx="3">
                  <c:v>582.25</c:v>
                </c:pt>
                <c:pt idx="4">
                  <c:v>470.38</c:v>
                </c:pt>
                <c:pt idx="5">
                  <c:v>359</c:v>
                </c:pt>
              </c:numCache>
            </c:numRef>
          </c:val>
        </c:ser>
        <c:dLbls>
          <c:showLegendKey val="0"/>
          <c:showVal val="0"/>
          <c:showCatName val="0"/>
          <c:showSerName val="0"/>
          <c:showPercent val="0"/>
          <c:showBubbleSize val="0"/>
        </c:dLbls>
        <c:gapWidth val="150"/>
        <c:axId val="350053504"/>
        <c:axId val="350055808"/>
      </c:barChart>
      <c:catAx>
        <c:axId val="350053504"/>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0055808"/>
        <c:crosses val="autoZero"/>
        <c:auto val="1"/>
        <c:lblAlgn val="ctr"/>
        <c:lblOffset val="100"/>
        <c:noMultiLvlLbl val="0"/>
      </c:catAx>
      <c:valAx>
        <c:axId val="350055808"/>
        <c:scaling>
          <c:orientation val="minMax"/>
        </c:scaling>
        <c:delete val="0"/>
        <c:axPos val="l"/>
        <c:majorGridlines/>
        <c:numFmt formatCode="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350053504"/>
        <c:crosses val="autoZero"/>
        <c:crossBetween val="between"/>
      </c:valAx>
    </c:plotArea>
    <c:legend>
      <c:legendPos val="b"/>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6029c0d5-3c1f-42e1-9f9f-a9e8593a8124}"/>
      </c:ext>
    </c:extLst>
  </c:chart>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sz="1200" b="1">
                <a:latin typeface="汉仪中黑 197" panose="00020600040101010101" pitchFamily="18" charset="-122"/>
                <a:ea typeface="汉仪中黑 197" panose="00020600040101010101" pitchFamily="18" charset="-122"/>
              </a:rPr>
              <a:t>近年来北京存量商品住宅成交套数占比变化</a:t>
            </a:r>
            <a:endParaRPr lang="zh-CN" altLang="en-US" sz="1200" b="1">
              <a:latin typeface="汉仪中黑 197" panose="00020600040101010101" pitchFamily="18" charset="-122"/>
              <a:ea typeface="汉仪中黑 197" panose="00020600040101010101" pitchFamily="18" charset="-122"/>
            </a:endParaRPr>
          </a:p>
        </c:rich>
      </c:tx>
      <c:layout/>
      <c:overlay val="0"/>
      <c:spPr>
        <a:noFill/>
        <a:ln>
          <a:noFill/>
        </a:ln>
        <a:effectLst/>
      </c:spPr>
    </c:title>
    <c:autoTitleDeleted val="0"/>
    <c:plotArea>
      <c:layout/>
      <c:lineChart>
        <c:grouping val="standard"/>
        <c:varyColors val="0"/>
        <c:ser>
          <c:idx val="0"/>
          <c:order val="0"/>
          <c:tx>
            <c:strRef>
              <c:f>存量房占比!$B$1</c:f>
              <c:strCache>
                <c:ptCount val="1"/>
                <c:pt idx="0">
                  <c:v>近年来北京存量商品住宅成交套数占比变化</c:v>
                </c:pt>
              </c:strCache>
            </c:strRef>
          </c:tx>
          <c:spPr>
            <a:ln w="28575" cap="rnd" cmpd="sng" algn="ctr">
              <a:solidFill>
                <a:schemeClr val="accent1"/>
              </a:solidFill>
              <a:prstDash val="solid"/>
              <a:round/>
            </a:ln>
            <a:effectLst/>
          </c:spPr>
          <c:marker>
            <c:symbol val="none"/>
          </c:marker>
          <c:dLbls>
            <c:dLbl>
              <c:idx val="6"/>
              <c:layout>
                <c:manualLayout>
                  <c:x val="-0.0333333333333334"/>
                  <c:y val="0.046296296296296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存量房占比!$A$2:$A$12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存量房占比!$B$2:$B$12</c:f>
              <c:numCache>
                <c:formatCode>0%</c:formatCode>
                <c:ptCount val="11"/>
                <c:pt idx="0">
                  <c:v>0.67</c:v>
                </c:pt>
                <c:pt idx="1">
                  <c:v>0.77</c:v>
                </c:pt>
                <c:pt idx="2">
                  <c:v>0.72</c:v>
                </c:pt>
                <c:pt idx="3">
                  <c:v>0.8</c:v>
                </c:pt>
                <c:pt idx="4">
                  <c:v>0.69</c:v>
                </c:pt>
                <c:pt idx="5">
                  <c:v>0.71</c:v>
                </c:pt>
                <c:pt idx="6">
                  <c:v>0.68</c:v>
                </c:pt>
                <c:pt idx="7">
                  <c:v>0.68</c:v>
                </c:pt>
                <c:pt idx="8">
                  <c:v>0.7</c:v>
                </c:pt>
                <c:pt idx="9">
                  <c:v>0.78</c:v>
                </c:pt>
                <c:pt idx="10">
                  <c:v>0.81</c:v>
                </c:pt>
              </c:numCache>
            </c:numRef>
          </c:val>
          <c:smooth val="0"/>
        </c:ser>
        <c:dLbls>
          <c:showLegendKey val="0"/>
          <c:showVal val="0"/>
          <c:showCatName val="0"/>
          <c:showSerName val="0"/>
          <c:showPercent val="0"/>
          <c:showBubbleSize val="0"/>
        </c:dLbls>
        <c:marker val="0"/>
        <c:smooth val="0"/>
        <c:axId val="140091392"/>
        <c:axId val="140092928"/>
      </c:lineChart>
      <c:catAx>
        <c:axId val="1400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0092928"/>
        <c:crosses val="autoZero"/>
        <c:auto val="1"/>
        <c:lblAlgn val="ctr"/>
        <c:lblOffset val="100"/>
        <c:noMultiLvlLbl val="0"/>
      </c:catAx>
      <c:valAx>
        <c:axId val="140092928"/>
        <c:scaling>
          <c:orientation val="minMax"/>
          <c:min val="0.6"/>
        </c:scaling>
        <c:delete val="0"/>
        <c:axPos val="l"/>
        <c:majorGridlines>
          <c:spPr>
            <a:ln w="9525" cap="flat" cmpd="sng" algn="ctr">
              <a:solidFill>
                <a:schemeClr val="tx1">
                  <a:lumMod val="15000"/>
                  <a:lumOff val="85000"/>
                </a:schemeClr>
              </a:solidFill>
              <a:prstDash val="solid"/>
              <a:round/>
            </a:ln>
            <a:effectLst/>
          </c:spPr>
        </c:majorGridlines>
        <c:numFmt formatCode="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0091392"/>
        <c:crosses val="autoZero"/>
        <c:crossBetween val="between"/>
      </c:valAx>
      <c:spPr>
        <a:noFill/>
        <a:ln>
          <a:noFill/>
        </a:ln>
        <a:effectLst/>
      </c:spPr>
    </c:plotArea>
    <c:plotVisOnly val="1"/>
    <c:dispBlanksAs val="gap"/>
    <c:showDLblsOverMax val="0"/>
    <c:extLst>
      <c:ext uri="{0b15fc19-7d7d-44ad-8c2d-2c3a37ce22c3}">
        <chartProps xmlns="https://web.wps.cn/et/2018/main" chartId="{5b27c19f-1dc9-4629-88b0-53ff36fbf387}"/>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39E5A0-4199-4F46-8F47-3888273D040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82</Pages>
  <Words>50602</Words>
  <Characters>57574</Characters>
  <Lines>447</Lines>
  <Paragraphs>126</Paragraphs>
  <TotalTime>10</TotalTime>
  <ScaleCrop>false</ScaleCrop>
  <LinksUpToDate>false</LinksUpToDate>
  <CharactersWithSpaces>58474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2026-04-16T02:56:00Z</dcterms:created>
  <dc:creator>djg</dc:creator>
  <cp:lastModifiedBy>诗霖</cp:lastModifiedBy>
  <cp:lastPrinted>2024-05-24T07:20:00Z</cp:lastPrinted>
  <dcterms:modified xsi:type="dcterms:W3CDTF">2026-04-16T05:59:21Z</dcterms:modified>
  <dc:title>电 话：82253558  传真：82253565</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BC248C96BC794D929791089F6165366F_13</vt:lpwstr>
  </property>
  <property fmtid="{D5CDD505-2E9C-101B-9397-08002B2CF9AE}" pid="4" name="KSOTemplateDocerSaveRecord">
    <vt:lpwstr>eyJoZGlkIjoiMDdlZmQwYWM0MmRiNGMxZDA3YWY5YzJiY2QxOTlhYTMiLCJ1c2VySWQiOiIyMDkxMDc5NzUifQ==</vt:lpwstr>
  </property>
</Properties>
</file>