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49" w:type="dxa"/>
        <w:jc w:val="center"/>
        <w:tblLayout w:type="fixed"/>
        <w:tblLook w:val="04A0" w:firstRow="1" w:lastRow="0" w:firstColumn="1" w:lastColumn="0" w:noHBand="0" w:noVBand="1"/>
      </w:tblPr>
      <w:tblGrid>
        <w:gridCol w:w="8249"/>
      </w:tblGrid>
      <w:tr w:rsidR="003429C1" w:rsidRPr="00C064DD" w14:paraId="46D6023D" w14:textId="77777777" w:rsidTr="00176F7D">
        <w:trPr>
          <w:trHeight w:val="659"/>
          <w:jc w:val="center"/>
        </w:trPr>
        <w:tc>
          <w:tcPr>
            <w:tcW w:w="824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3E2467" w14:textId="77777777" w:rsidR="003429C1" w:rsidRPr="00FD571E" w:rsidRDefault="003429C1" w:rsidP="00176F7D"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10"/>
                <w:szCs w:val="10"/>
              </w:rPr>
            </w:pPr>
          </w:p>
          <w:p w14:paraId="69073B63" w14:textId="77777777" w:rsidR="003429C1" w:rsidRDefault="003429C1" w:rsidP="00176F7D">
            <w:pPr>
              <w:widowControl/>
              <w:jc w:val="center"/>
              <w:rPr>
                <w:rFonts w:ascii="宋体" w:hAnsi="宋体" w:cs="Arial"/>
                <w:b/>
                <w:bCs/>
                <w:color w:val="333333"/>
                <w:kern w:val="0"/>
                <w:sz w:val="42"/>
                <w:szCs w:val="42"/>
              </w:rPr>
            </w:pPr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物业项目</w:t>
            </w:r>
            <w:bookmarkStart w:id="0" w:name="qq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（前期）</w:t>
            </w:r>
            <w:bookmarkEnd w:id="0"/>
            <w:r w:rsidR="006B6BBE"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预</w:t>
            </w:r>
            <w:commentRangeStart w:id="1"/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评估</w:t>
            </w:r>
            <w:commentRangeEnd w:id="1"/>
            <w:r w:rsidR="006A5C67">
              <w:rPr>
                <w:rStyle w:val="a6"/>
              </w:rPr>
              <w:commentReference w:id="1"/>
            </w:r>
            <w:r>
              <w:rPr>
                <w:rFonts w:ascii="宋体" w:hAnsi="宋体" w:cs="Arial" w:hint="eastAsia"/>
                <w:b/>
                <w:bCs/>
                <w:color w:val="333333"/>
                <w:kern w:val="0"/>
                <w:sz w:val="42"/>
                <w:szCs w:val="42"/>
              </w:rPr>
              <w:t>报告摘要</w:t>
            </w:r>
          </w:p>
          <w:p w14:paraId="557E391A" w14:textId="77777777" w:rsidR="003429C1" w:rsidRPr="00FD571E" w:rsidRDefault="003429C1" w:rsidP="00176F7D">
            <w:pPr>
              <w:widowControl/>
              <w:jc w:val="center"/>
              <w:rPr>
                <w:rFonts w:ascii="Arial" w:hAnsi="Arial" w:cs="Arial"/>
                <w:kern w:val="0"/>
                <w:sz w:val="10"/>
                <w:szCs w:val="10"/>
              </w:rPr>
            </w:pPr>
          </w:p>
          <w:p w14:paraId="6661891D" w14:textId="77777777" w:rsidR="003429C1" w:rsidRPr="00C064DD" w:rsidRDefault="003429C1" w:rsidP="003429C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429C1" w14:paraId="538E6B21" w14:textId="77777777" w:rsidTr="00176F7D">
        <w:trPr>
          <w:trHeight w:val="4817"/>
          <w:jc w:val="center"/>
        </w:trPr>
        <w:tc>
          <w:tcPr>
            <w:tcW w:w="8249" w:type="dxa"/>
            <w:tcBorders>
              <w:top w:val="nil"/>
            </w:tcBorders>
            <w:shd w:val="clear" w:color="auto" w:fill="auto"/>
            <w:vAlign w:val="center"/>
          </w:tcPr>
          <w:p w14:paraId="1B20BCCC" w14:textId="77777777" w:rsidR="003429C1" w:rsidRPr="00BB5DD9" w:rsidRDefault="003429C1" w:rsidP="00176F7D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00000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sz w:val="24"/>
              </w:rPr>
              <w:t>我司接受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北京通投兴苑置业有限公司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委托，根据《物业管理条例》</w:t>
            </w:r>
            <w:r>
              <w:rPr>
                <w:rFonts w:ascii="宋体" w:hAnsi="宋体" w:cs="Arial" w:hint="eastAsia"/>
                <w:color w:val="333333"/>
                <w:sz w:val="24"/>
              </w:rPr>
              <w:t>、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《北京市物业管理条例》（北京市人民代表大会常务委员会公告[十五届]第24号）和</w:t>
            </w:r>
            <w:r w:rsidR="00F63186" w:rsidRPr="00F63186">
              <w:rPr>
                <w:rFonts w:ascii="宋体" w:hAnsi="宋体" w:cs="Arial" w:hint="eastAsia"/>
                <w:color w:val="333333"/>
                <w:sz w:val="24"/>
              </w:rPr>
              <w:t>《北京市物业服务费用评估测算规范（试行）》（京物评协发[2019]11号）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等法律、法规和技术标准的规定，依照评估程序，独立、客观、公正地对</w:t>
            </w:r>
            <w:r w:rsidR="00F63186">
              <w:rPr>
                <w:rFonts w:ascii="宋体" w:hAnsi="宋体" w:cs="Arial" w:hint="eastAsia"/>
                <w:color w:val="333333"/>
                <w:sz w:val="24"/>
                <w:u w:val="single"/>
              </w:rPr>
              <w:t>通州区北苑家园中心项目</w:t>
            </w:r>
            <w:r w:rsidR="006B6BBE">
              <w:rPr>
                <w:rFonts w:ascii="宋体" w:hAnsi="宋体" w:cs="Arial" w:hint="eastAsia"/>
                <w:color w:val="333333"/>
                <w:sz w:val="24"/>
                <w:u w:val="single"/>
              </w:rPr>
              <w:t>办公</w:t>
            </w:r>
            <w:r w:rsidR="006B6BBE">
              <w:rPr>
                <w:rFonts w:ascii="宋体" w:hAnsi="宋体" w:cs="Arial" w:hint="eastAsia"/>
                <w:color w:val="333333"/>
                <w:sz w:val="24"/>
              </w:rPr>
              <w:t>用房</w:t>
            </w:r>
            <w:r w:rsidR="00F63186">
              <w:rPr>
                <w:rFonts w:ascii="宋体" w:hAnsi="宋体" w:cs="Arial" w:hint="eastAsia"/>
                <w:color w:val="333333"/>
                <w:sz w:val="24"/>
              </w:rPr>
              <w:t>物业服务费用标准进行了评估</w:t>
            </w:r>
            <w:r w:rsidRPr="00BB5DD9">
              <w:rPr>
                <w:rFonts w:ascii="宋体" w:hAnsi="宋体" w:cs="Arial" w:hint="eastAsia"/>
                <w:color w:val="333333"/>
                <w:sz w:val="24"/>
              </w:rPr>
              <w:t>，现摘要如下:</w:t>
            </w:r>
          </w:p>
          <w:p w14:paraId="51F7A165" w14:textId="77777777"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委托方：</w:t>
            </w:r>
            <w:r>
              <w:rPr>
                <w:rFonts w:ascii="宋体" w:hAnsi="宋体" w:cs="Arial" w:hint="eastAsia"/>
                <w:color w:val="333333"/>
                <w:sz w:val="24"/>
                <w:u w:val="single"/>
              </w:rPr>
              <w:t>北京通投兴苑置业有限公司</w:t>
            </w:r>
          </w:p>
          <w:p w14:paraId="23F77DE1" w14:textId="77777777" w:rsidR="003429C1" w:rsidRPr="00BB5DD9" w:rsidRDefault="003429C1" w:rsidP="003429C1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评估目的：</w:t>
            </w:r>
          </w:p>
          <w:p w14:paraId="68A4E093" w14:textId="77777777" w:rsidR="003429C1" w:rsidRPr="00BB5DD9" w:rsidRDefault="00F63186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按照约定的物业服务标准，参照评估时点市场价格，独立、客观、公正地评估物业项目的</w:t>
            </w:r>
            <w:r w:rsidR="006B6BBE">
              <w:rPr>
                <w:rFonts w:ascii="宋体" w:hAnsi="宋体" w:cs="Arial" w:hint="eastAsia"/>
                <w:color w:val="333333"/>
                <w:kern w:val="0"/>
                <w:sz w:val="24"/>
              </w:rPr>
              <w:t>办公用房</w:t>
            </w:r>
            <w:commentRangeStart w:id="2"/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物业服务费用</w:t>
            </w:r>
            <w:commentRangeEnd w:id="2"/>
            <w:r w:rsidR="006A5C67">
              <w:rPr>
                <w:rStyle w:val="a6"/>
              </w:rPr>
              <w:commentReference w:id="2"/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  <w:p w14:paraId="18485E51" w14:textId="77777777"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3.评估对象和范围</w:t>
            </w:r>
          </w:p>
          <w:p w14:paraId="2B570705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3.1评估对象：</w:t>
            </w:r>
          </w:p>
          <w:p w14:paraId="44B50A21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地名核准名称：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北苑家园中心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</w:p>
          <w:p w14:paraId="7052807B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3.2项目四至： </w:t>
            </w:r>
          </w:p>
          <w:p w14:paraId="2817EF7D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东至：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西关二巷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西至：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北苑南路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南至：</w:t>
            </w:r>
            <w:r w:rsidRPr="007201A0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玉带河西街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/>
                <w:color w:val="333333"/>
                <w:kern w:val="0"/>
                <w:sz w:val="24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北至：</w:t>
            </w:r>
            <w:r w:rsidRPr="00392D3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F63186" w:rsidRPr="00F63186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西关大街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。 </w:t>
            </w:r>
          </w:p>
          <w:p w14:paraId="394B4B2E" w14:textId="77777777"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4.评估基准日和有效期：</w:t>
            </w:r>
          </w:p>
          <w:p w14:paraId="188FE31A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4.1评估基准日：</w:t>
            </w:r>
          </w:p>
          <w:p w14:paraId="6308298B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本项目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物业服务费用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评估基准日为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16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</w:p>
          <w:p w14:paraId="4B2EB62D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4.2评估报告有效期：</w:t>
            </w:r>
          </w:p>
          <w:p w14:paraId="5A0FBFC7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本评估结论仅在评估报告载明的评估基准日有效，有效使用期限自评估基准日起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贰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年，即在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__202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-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 xml:space="preserve">16 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至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__</w:t>
            </w:r>
            <w:bookmarkStart w:id="3" w:name="jzr2"/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20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2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7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12</w:t>
            </w:r>
            <w:r w:rsidRPr="00BB5DD9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-</w:t>
            </w:r>
            <w:bookmarkEnd w:id="3"/>
            <w:r w:rsidR="002856AB">
              <w:rPr>
                <w:rFonts w:ascii="宋体" w:hAnsi="宋体" w:cs="Arial"/>
                <w:color w:val="333333"/>
                <w:kern w:val="0"/>
                <w:sz w:val="24"/>
                <w:u w:val="single"/>
              </w:rPr>
              <w:t>15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内有效。</w:t>
            </w:r>
          </w:p>
          <w:p w14:paraId="293D108F" w14:textId="77777777" w:rsidR="003429C1" w:rsidRPr="00BB5DD9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5.评估方法：</w:t>
            </w:r>
          </w:p>
          <w:p w14:paraId="26B0FA91" w14:textId="77777777" w:rsidR="003429C1" w:rsidRPr="00BB5DD9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根据委托方与受托方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签署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物业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服务费用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委托协议的约定，本次物业服务费用评估工作的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评估</w:t>
            </w:r>
            <w:r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方法主要有</w:t>
            </w:r>
            <w:r>
              <w:rPr>
                <w:rFonts w:ascii="宋体" w:hAnsi="宋体" w:cs="Arial" w:hint="eastAsia"/>
                <w:color w:val="333333"/>
                <w:kern w:val="0"/>
                <w:sz w:val="24"/>
              </w:rPr>
              <w:t>：</w:t>
            </w:r>
          </w:p>
          <w:p w14:paraId="6E89647D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5.1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运营成本法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14:paraId="27E10B1E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5.2 </w:t>
            </w:r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市场比较法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；</w:t>
            </w:r>
          </w:p>
          <w:p w14:paraId="7F74538A" w14:textId="77777777" w:rsidR="003429C1" w:rsidRPr="00BB5DD9" w:rsidRDefault="003429C1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  <w:u w:val="single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lastRenderedPageBreak/>
              <w:t>5.</w:t>
            </w:r>
            <w:r w:rsidR="002856AB">
              <w:rPr>
                <w:rFonts w:ascii="宋体" w:hAnsi="宋体" w:cs="Arial"/>
                <w:color w:val="333333"/>
                <w:kern w:val="0"/>
                <w:sz w:val="24"/>
              </w:rPr>
              <w:t>3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 xml:space="preserve"> 其他</w:t>
            </w:r>
            <w:bookmarkStart w:id="4" w:name="qt"/>
            <w:r w:rsidR="002856AB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_</w:t>
            </w: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>无</w:t>
            </w:r>
            <w:bookmarkEnd w:id="4"/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  <w:u w:val="single"/>
              </w:rPr>
              <w:t xml:space="preserve"> </w:t>
            </w:r>
            <w:r w:rsidR="002856AB" w:rsidRPr="002856AB">
              <w:rPr>
                <w:rFonts w:ascii="宋体" w:hAnsi="宋体" w:cs="Arial" w:hint="eastAsia"/>
                <w:color w:val="333333"/>
                <w:kern w:val="0"/>
                <w:sz w:val="24"/>
              </w:rPr>
              <w:t>。</w:t>
            </w:r>
          </w:p>
          <w:p w14:paraId="2CB5C693" w14:textId="77777777" w:rsidR="003429C1" w:rsidRDefault="003429C1" w:rsidP="00176F7D">
            <w:pPr>
              <w:widowControl/>
              <w:spacing w:line="360" w:lineRule="auto"/>
              <w:jc w:val="left"/>
              <w:rPr>
                <w:rFonts w:ascii="宋体" w:hAnsi="宋体" w:cs="Arial"/>
                <w:color w:val="333333"/>
                <w:kern w:val="0"/>
                <w:sz w:val="24"/>
              </w:rPr>
            </w:pPr>
            <w:r w:rsidRPr="00BB5DD9">
              <w:rPr>
                <w:rFonts w:ascii="宋体" w:hAnsi="宋体" w:cs="Arial" w:hint="eastAsia"/>
                <w:color w:val="333333"/>
                <w:kern w:val="0"/>
                <w:sz w:val="24"/>
              </w:rPr>
              <w:t>6.评估结论：</w:t>
            </w:r>
          </w:p>
          <w:p w14:paraId="548FCF8A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在评估过程中，参照《北京市物业服务费用评估测算规范（试行）》（京物评协发[2019]11号）要求，我司组织相关物业管理行业专家对评估项目，履行了必要的评估程序，具体包括：</w:t>
            </w:r>
          </w:p>
          <w:p w14:paraId="2C19CEAE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1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制定了相应的评估计划方案；</w:t>
            </w:r>
          </w:p>
          <w:p w14:paraId="751AB21D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2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核验委托单位提供的评估资料，并留存经委托方确认的项目相关评估资料复印件；</w:t>
            </w:r>
          </w:p>
          <w:p w14:paraId="1C2FF8A0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3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实地踏勘评估项目；</w:t>
            </w:r>
          </w:p>
          <w:p w14:paraId="7761CFCA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4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根据评估项目的特点，进行必要的市场调查与征询；</w:t>
            </w:r>
          </w:p>
          <w:p w14:paraId="7E6D6506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6.</w:t>
            </w:r>
            <w:r>
              <w:rPr>
                <w:rFonts w:ascii="宋体" w:hAnsi="宋体" w:cs="Arial" w:hint="eastAsia"/>
                <w:kern w:val="0"/>
                <w:sz w:val="24"/>
              </w:rPr>
              <w:t>5</w:t>
            </w:r>
            <w:r>
              <w:rPr>
                <w:rFonts w:ascii="宋体" w:hAnsi="宋体" w:cs="Arial"/>
                <w:kern w:val="0"/>
                <w:sz w:val="24"/>
              </w:rPr>
              <w:t xml:space="preserve"> 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其他评估工作中包括的必要程序。</w:t>
            </w:r>
          </w:p>
          <w:p w14:paraId="45C9A611" w14:textId="77777777"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本次评估的“物业服务费用”是指在价值时点2025年1</w:t>
            </w: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月</w:t>
            </w:r>
            <w:r>
              <w:rPr>
                <w:rFonts w:ascii="宋体" w:hAnsi="宋体" w:cs="Arial"/>
                <w:kern w:val="0"/>
                <w:sz w:val="24"/>
              </w:rPr>
              <w:t>16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日，</w:t>
            </w:r>
            <w:commentRangeStart w:id="5"/>
            <w:r w:rsidRPr="002856AB">
              <w:rPr>
                <w:rFonts w:ascii="宋体" w:hAnsi="宋体" w:cs="Arial" w:hint="eastAsia"/>
                <w:kern w:val="0"/>
                <w:sz w:val="24"/>
              </w:rPr>
              <w:t>评估对象用途为</w:t>
            </w:r>
            <w:r>
              <w:rPr>
                <w:rFonts w:ascii="宋体" w:hAnsi="宋体" w:cs="Arial" w:hint="eastAsia"/>
                <w:kern w:val="0"/>
                <w:sz w:val="24"/>
              </w:rPr>
              <w:t>办公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的</w:t>
            </w:r>
            <w:bookmarkStart w:id="6" w:name="_GoBack"/>
            <w:bookmarkEnd w:id="6"/>
            <w:r w:rsidRPr="002856AB">
              <w:rPr>
                <w:rFonts w:ascii="宋体" w:hAnsi="宋体" w:cs="Arial" w:hint="eastAsia"/>
                <w:kern w:val="0"/>
                <w:sz w:val="24"/>
              </w:rPr>
              <w:t>物业服务费用。</w:t>
            </w:r>
            <w:commentRangeEnd w:id="5"/>
            <w:r w:rsidR="006A5C67">
              <w:rPr>
                <w:rStyle w:val="a6"/>
              </w:rPr>
              <w:commentReference w:id="5"/>
            </w:r>
          </w:p>
          <w:p w14:paraId="63F4C300" w14:textId="77777777" w:rsidR="002856AB" w:rsidRPr="002856AB" w:rsidRDefault="002856AB" w:rsidP="002856AB">
            <w:pPr>
              <w:jc w:val="center"/>
              <w:rPr>
                <w:rFonts w:ascii="宋体" w:hAnsi="宋体" w:cs="Arial"/>
                <w:b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b/>
                <w:kern w:val="0"/>
                <w:sz w:val="28"/>
              </w:rPr>
              <w:t>评估结果一览表</w:t>
            </w:r>
          </w:p>
          <w:tbl>
            <w:tblPr>
              <w:tblW w:w="5000" w:type="pct"/>
              <w:jc w:val="center"/>
              <w:tblBorders>
                <w:top w:val="thinThickThinSmallGap" w:sz="12" w:space="0" w:color="404040"/>
                <w:left w:val="dotted" w:sz="2" w:space="0" w:color="404040"/>
                <w:bottom w:val="thinThickThinSmallGap" w:sz="12" w:space="0" w:color="404040"/>
                <w:right w:val="dotted" w:sz="2" w:space="0" w:color="404040"/>
                <w:insideH w:val="dotted" w:sz="2" w:space="0" w:color="404040"/>
                <w:insideV w:val="dotted" w:sz="2" w:space="0" w:color="404040"/>
              </w:tblBorders>
              <w:tblLayout w:type="fixed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179"/>
              <w:gridCol w:w="4848"/>
            </w:tblGrid>
            <w:tr w:rsidR="002856AB" w14:paraId="1F45FB88" w14:textId="77777777" w:rsidTr="002856AB">
              <w:trPr>
                <w:jc w:val="center"/>
              </w:trPr>
              <w:tc>
                <w:tcPr>
                  <w:tcW w:w="198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14:paraId="3FE9B543" w14:textId="77777777" w:rsidR="002856AB" w:rsidRPr="002856AB" w:rsidRDefault="002856AB" w:rsidP="002856AB">
                  <w:pPr>
                    <w:widowControl/>
                    <w:jc w:val="right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/>
                      <w:b/>
                      <w:noProof/>
                      <w:kern w:val="0"/>
                      <w:sz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CE6528A" wp14:editId="1AF93713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-78740</wp:posOffset>
                            </wp:positionV>
                            <wp:extent cx="2004060" cy="708660"/>
                            <wp:effectExtent l="0" t="0" r="34290" b="34290"/>
                            <wp:wrapNone/>
                            <wp:docPr id="4" name="直接连接符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04060" cy="7086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40404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7BEC96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-6.2pt" to="153.3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" strokecolor="#404040" strokeweight=".5pt">
                            <v:stroke dashstyle="1 1"/>
                          </v:line>
                        </w:pict>
                      </mc:Fallback>
                    </mc:AlternateConten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评估结果</w:t>
                  </w:r>
                </w:p>
                <w:p w14:paraId="03DB9227" w14:textId="77777777" w:rsid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</w:p>
                <w:p w14:paraId="1982883C" w14:textId="77777777" w:rsidR="002856AB" w:rsidRPr="002856AB" w:rsidRDefault="002856AB" w:rsidP="002856AB">
                  <w:pPr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评估对象用途</w:t>
                  </w:r>
                </w:p>
              </w:tc>
              <w:tc>
                <w:tcPr>
                  <w:tcW w:w="3020" w:type="pct"/>
                  <w:tcBorders>
                    <w:top w:val="thinThickThinSmallGap" w:sz="12" w:space="0" w:color="404040"/>
                    <w:left w:val="dotted" w:sz="2" w:space="0" w:color="404040"/>
                    <w:bottom w:val="dotted" w:sz="2" w:space="0" w:color="404040"/>
                    <w:right w:val="dotted" w:sz="2" w:space="0" w:color="404040"/>
                  </w:tcBorders>
                  <w:vAlign w:val="center"/>
                  <w:hideMark/>
                </w:tcPr>
                <w:p w14:paraId="3FB123C3" w14:textId="77777777"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单价</w:t>
                  </w:r>
                </w:p>
                <w:p w14:paraId="09B5D200" w14:textId="77777777"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（元</w:t>
                  </w:r>
                  <w:r w:rsidRPr="002856AB">
                    <w:rPr>
                      <w:rFonts w:ascii="宋体" w:hAnsi="宋体" w:cs="Arial"/>
                      <w:kern w:val="0"/>
                      <w:sz w:val="24"/>
                    </w:rPr>
                    <w:t>/</w:t>
                  </w: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建筑面积平方米•月）</w:t>
                  </w:r>
                </w:p>
              </w:tc>
            </w:tr>
            <w:tr w:rsidR="002856AB" w14:paraId="6E6059B5" w14:textId="77777777" w:rsidTr="002856AB">
              <w:trPr>
                <w:jc w:val="center"/>
              </w:trPr>
              <w:tc>
                <w:tcPr>
                  <w:tcW w:w="198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14:paraId="5ACF465A" w14:textId="77777777" w:rsidR="002856AB" w:rsidRPr="002856AB" w:rsidRDefault="002856AB" w:rsidP="002856AB">
                  <w:pPr>
                    <w:widowControl/>
                    <w:rPr>
                      <w:rFonts w:ascii="宋体" w:hAnsi="宋体" w:cs="Arial"/>
                      <w:kern w:val="0"/>
                      <w:sz w:val="24"/>
                    </w:rPr>
                  </w:pPr>
                  <w:r w:rsidRPr="002856AB">
                    <w:rPr>
                      <w:rFonts w:ascii="宋体" w:hAnsi="宋体" w:cs="Arial" w:hint="eastAsia"/>
                      <w:kern w:val="0"/>
                      <w:sz w:val="24"/>
                    </w:rPr>
                    <w:t>办公用房</w:t>
                  </w:r>
                </w:p>
              </w:tc>
              <w:tc>
                <w:tcPr>
                  <w:tcW w:w="3020" w:type="pct"/>
                  <w:tcBorders>
                    <w:top w:val="dotted" w:sz="2" w:space="0" w:color="404040"/>
                    <w:left w:val="dotted" w:sz="2" w:space="0" w:color="404040"/>
                    <w:bottom w:val="thinThickThinSmallGap" w:sz="12" w:space="0" w:color="404040"/>
                    <w:right w:val="dotted" w:sz="2" w:space="0" w:color="404040"/>
                  </w:tcBorders>
                  <w:vAlign w:val="center"/>
                  <w:hideMark/>
                </w:tcPr>
                <w:p w14:paraId="5CCAE281" w14:textId="77777777" w:rsidR="002856AB" w:rsidRPr="002856AB" w:rsidRDefault="002856AB" w:rsidP="002856AB">
                  <w:pPr>
                    <w:widowControl/>
                    <w:jc w:val="center"/>
                    <w:rPr>
                      <w:rFonts w:ascii="宋体" w:hAnsi="宋体" w:cs="Arial"/>
                      <w:kern w:val="0"/>
                      <w:sz w:val="24"/>
                    </w:rPr>
                  </w:pPr>
                  <w:r>
                    <w:rPr>
                      <w:rFonts w:ascii="宋体" w:hAnsi="宋体" w:cs="Arial"/>
                      <w:kern w:val="0"/>
                      <w:sz w:val="24"/>
                    </w:rPr>
                    <w:t>19</w:t>
                  </w:r>
                </w:p>
              </w:tc>
            </w:tr>
          </w:tbl>
          <w:p w14:paraId="015E75B6" w14:textId="77777777"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 w:hint="eastAsia"/>
                <w:kern w:val="0"/>
                <w:sz w:val="24"/>
              </w:rPr>
              <w:t>备注：</w:t>
            </w:r>
          </w:p>
          <w:p w14:paraId="1FD66B76" w14:textId="77777777"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2856AB">
              <w:rPr>
                <w:rFonts w:ascii="宋体" w:hAnsi="宋体" w:cs="Arial"/>
                <w:kern w:val="0"/>
                <w:sz w:val="24"/>
              </w:rPr>
              <w:t>1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</w:t>
            </w:r>
            <w:r>
              <w:rPr>
                <w:rFonts w:ascii="宋体" w:hAnsi="宋体" w:cs="Arial" w:hint="eastAsia"/>
                <w:kern w:val="0"/>
                <w:sz w:val="24"/>
              </w:rPr>
              <w:t>因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分系统详细设备、设施清单（如：消防系统、安保系统、门禁系统、中央监控系统、给排水系统、供暖系统、供配电系统、网络系统、中央空调系统、车场管理系统、其他智能化系统、公共照明系统、防避雷系统等以及本项目全部公共配套设施</w:t>
            </w:r>
            <w:r>
              <w:rPr>
                <w:rFonts w:ascii="宋体" w:hAnsi="宋体" w:cs="Arial" w:hint="eastAsia"/>
                <w:kern w:val="0"/>
                <w:sz w:val="24"/>
              </w:rPr>
              <w:t>资料不齐，待资料齐全后评估结果需做进一步调整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；</w:t>
            </w:r>
          </w:p>
          <w:p w14:paraId="7FE54503" w14:textId="77777777" w:rsidR="002856AB" w:rsidRPr="002856AB" w:rsidRDefault="002856AB" w:rsidP="002856AB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2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、本测算仅供委托单位</w:t>
            </w:r>
            <w:r>
              <w:rPr>
                <w:rFonts w:ascii="宋体" w:hAnsi="宋体" w:cs="Arial" w:hint="eastAsia"/>
                <w:kern w:val="0"/>
                <w:sz w:val="24"/>
              </w:rPr>
              <w:t>前期</w:t>
            </w:r>
            <w:r w:rsidRPr="002856AB">
              <w:rPr>
                <w:rFonts w:ascii="宋体" w:hAnsi="宋体" w:cs="Arial" w:hint="eastAsia"/>
                <w:kern w:val="0"/>
                <w:sz w:val="24"/>
              </w:rPr>
              <w:t>参考。</w:t>
            </w:r>
          </w:p>
          <w:p w14:paraId="199583CF" w14:textId="77777777"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17EE53E0" w14:textId="77777777"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2D146A47" w14:textId="77777777"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033DFE96" w14:textId="77777777" w:rsid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7C5C7D55" w14:textId="77777777" w:rsidR="002856AB" w:rsidRPr="002856AB" w:rsidRDefault="002856AB" w:rsidP="002856A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Arial"/>
                <w:kern w:val="0"/>
                <w:sz w:val="24"/>
              </w:rPr>
            </w:pPr>
          </w:p>
          <w:p w14:paraId="0341129B" w14:textId="77777777"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以上内容摘自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物业服务费</w:t>
            </w: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评估报告书，欲了解本评估项目的全面情况，应认</w:t>
            </w: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lastRenderedPageBreak/>
              <w:t>真阅读评估报告书全文。</w:t>
            </w:r>
          </w:p>
          <w:p w14:paraId="72737DED" w14:textId="77777777"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</w:p>
          <w:p w14:paraId="53B2E117" w14:textId="77777777" w:rsidR="003429C1" w:rsidRDefault="003429C1" w:rsidP="00176F7D">
            <w:pPr>
              <w:widowControl/>
              <w:jc w:val="left"/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kern w:val="0"/>
                <w:sz w:val="24"/>
              </w:rPr>
              <w:t>评估专家签章：</w:t>
            </w:r>
            <w:r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李家伟、叶凌</w:t>
            </w:r>
            <w:r w:rsidR="002856AB">
              <w:rPr>
                <w:rFonts w:ascii="Arial" w:hAnsi="Arial" w:cs="Arial" w:hint="eastAsia"/>
                <w:b/>
                <w:bCs/>
                <w:color w:val="333333"/>
                <w:kern w:val="0"/>
                <w:sz w:val="24"/>
              </w:rPr>
              <w:t>、常畅</w:t>
            </w:r>
          </w:p>
          <w:p w14:paraId="107200CE" w14:textId="77777777"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</w:p>
          <w:p w14:paraId="0095A353" w14:textId="77777777" w:rsidR="003429C1" w:rsidRDefault="003429C1" w:rsidP="00176F7D">
            <w:pPr>
              <w:pStyle w:val="a5"/>
              <w:ind w:firstLineChars="650" w:firstLine="156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 w:hint="eastAsia"/>
                <w:color w:val="333333"/>
              </w:rPr>
              <w:t xml:space="preserve">         </w:t>
            </w:r>
          </w:p>
          <w:p w14:paraId="07A75B62" w14:textId="77777777" w:rsidR="003429C1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</w:p>
          <w:p w14:paraId="3A6962DE" w14:textId="77777777" w:rsidR="003429C1" w:rsidRPr="003A3348" w:rsidRDefault="003429C1" w:rsidP="00176F7D">
            <w:pPr>
              <w:pStyle w:val="a5"/>
              <w:ind w:firstLineChars="650" w:firstLine="1560"/>
              <w:jc w:val="center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盖章</w:t>
            </w:r>
          </w:p>
          <w:p w14:paraId="7802C0B0" w14:textId="77777777" w:rsidR="003429C1" w:rsidRPr="003A3348" w:rsidRDefault="003429C1" w:rsidP="00176F7D">
            <w:pPr>
              <w:pStyle w:val="a5"/>
              <w:ind w:firstLineChars="1900" w:firstLine="4560"/>
              <w:rPr>
                <w:rFonts w:ascii="Arial" w:hAnsi="Arial" w:cs="Arial"/>
                <w:color w:val="333333"/>
              </w:rPr>
            </w:pPr>
            <w:r w:rsidRPr="003A3348">
              <w:rPr>
                <w:rFonts w:ascii="Arial" w:hAnsi="Arial" w:cs="Arial" w:hint="eastAsia"/>
                <w:color w:val="333333"/>
              </w:rPr>
              <w:t>20</w:t>
            </w:r>
            <w:r>
              <w:rPr>
                <w:rFonts w:ascii="Arial" w:hAnsi="Arial" w:cs="Arial"/>
                <w:color w:val="333333"/>
              </w:rPr>
              <w:t>25</w:t>
            </w:r>
            <w:r w:rsidRPr="003A3348">
              <w:rPr>
                <w:rFonts w:ascii="Arial" w:hAnsi="Arial" w:cs="Arial" w:hint="eastAsia"/>
                <w:color w:val="333333"/>
              </w:rPr>
              <w:t>年</w:t>
            </w:r>
            <w:r>
              <w:rPr>
                <w:rFonts w:ascii="Arial" w:hAnsi="Arial" w:cs="Arial" w:hint="eastAsia"/>
                <w:color w:val="333333"/>
              </w:rPr>
              <w:t>12</w:t>
            </w:r>
            <w:r w:rsidRPr="003A3348">
              <w:rPr>
                <w:rFonts w:ascii="Arial" w:hAnsi="Arial" w:cs="Arial" w:hint="eastAsia"/>
                <w:color w:val="333333"/>
              </w:rPr>
              <w:t>月</w:t>
            </w:r>
            <w:r>
              <w:rPr>
                <w:rFonts w:ascii="Arial" w:hAnsi="Arial" w:cs="Arial"/>
                <w:color w:val="333333"/>
              </w:rPr>
              <w:t>18</w:t>
            </w:r>
            <w:r w:rsidRPr="003A3348">
              <w:rPr>
                <w:rFonts w:ascii="Arial" w:hAnsi="Arial" w:cs="Arial" w:hint="eastAsia"/>
                <w:color w:val="333333"/>
              </w:rPr>
              <w:t>日</w:t>
            </w:r>
          </w:p>
          <w:p w14:paraId="1CA726F6" w14:textId="77777777" w:rsidR="003429C1" w:rsidRDefault="003429C1" w:rsidP="00176F7D">
            <w:pPr>
              <w:pStyle w:val="a5"/>
              <w:ind w:firstLineChars="650" w:firstLine="1560"/>
              <w:jc w:val="right"/>
              <w:rPr>
                <w:rFonts w:cs="Arial"/>
                <w:color w:val="000000"/>
              </w:rPr>
            </w:pPr>
            <w:r>
              <w:rPr>
                <w:rFonts w:ascii="Arial" w:hAnsi="Arial" w:cs="Arial"/>
                <w:color w:val="333333"/>
              </w:rPr>
              <w:t>评估机构名称</w:t>
            </w:r>
            <w:r>
              <w:rPr>
                <w:rFonts w:ascii="Arial" w:hAnsi="Arial" w:cs="Arial" w:hint="eastAsia"/>
                <w:color w:val="333333"/>
              </w:rPr>
              <w:t>：北京康正宏基房地产评估有限公司</w:t>
            </w:r>
          </w:p>
        </w:tc>
      </w:tr>
    </w:tbl>
    <w:p w14:paraId="19B0C0EF" w14:textId="77777777" w:rsidR="00F613BE" w:rsidRPr="003429C1" w:rsidRDefault="00F613BE"/>
    <w:sectPr w:rsidR="00F613BE" w:rsidRPr="00342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in10B" w:date="2025-12-17T09:39:00Z" w:initials="w">
    <w:p w14:paraId="76233FA0" w14:textId="77777777" w:rsidR="006A5C67" w:rsidRDefault="006A5C67">
      <w:pPr>
        <w:pStyle w:val="a7"/>
      </w:pPr>
      <w:r>
        <w:rPr>
          <w:rStyle w:val="a6"/>
        </w:rPr>
        <w:annotationRef/>
      </w:r>
      <w:r>
        <w:t>预评估</w:t>
      </w:r>
    </w:p>
  </w:comment>
  <w:comment w:id="2" w:author="win10B" w:date="2025-12-17T09:40:00Z" w:initials="w">
    <w:p w14:paraId="414CE4AC" w14:textId="77777777" w:rsidR="006A5C67" w:rsidRDefault="006A5C67">
      <w:pPr>
        <w:pStyle w:val="a7"/>
      </w:pPr>
      <w:r>
        <w:rPr>
          <w:rStyle w:val="a6"/>
        </w:rPr>
        <w:annotationRef/>
      </w:r>
    </w:p>
  </w:comment>
  <w:comment w:id="5" w:author="win10B" w:date="2025-12-17T09:40:00Z" w:initials="w">
    <w:p w14:paraId="3DED6497" w14:textId="77777777" w:rsidR="006A5C67" w:rsidRDefault="006A5C67">
      <w:pPr>
        <w:pStyle w:val="a7"/>
      </w:pPr>
      <w:r>
        <w:rPr>
          <w:rStyle w:val="a6"/>
        </w:rPr>
        <w:annotationRef/>
      </w:r>
      <w:r>
        <w:t>前后一致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233FA0" w15:done="0"/>
  <w15:commentEx w15:paraId="414CE4AC" w15:done="0"/>
  <w15:commentEx w15:paraId="3DED64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FA1EC" w14:textId="77777777" w:rsidR="00374683" w:rsidRDefault="00374683" w:rsidP="003429C1">
      <w:r>
        <w:separator/>
      </w:r>
    </w:p>
  </w:endnote>
  <w:endnote w:type="continuationSeparator" w:id="0">
    <w:p w14:paraId="5955DABB" w14:textId="77777777" w:rsidR="00374683" w:rsidRDefault="00374683" w:rsidP="0034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E5BB6" w14:textId="77777777" w:rsidR="00374683" w:rsidRDefault="00374683" w:rsidP="003429C1">
      <w:r>
        <w:separator/>
      </w:r>
    </w:p>
  </w:footnote>
  <w:footnote w:type="continuationSeparator" w:id="0">
    <w:p w14:paraId="7DC73242" w14:textId="77777777" w:rsidR="00374683" w:rsidRDefault="00374683" w:rsidP="0034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B3C07D6"/>
    <w:multiLevelType w:val="singleLevel"/>
    <w:tmpl w:val="EB3C07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F8F"/>
    <w:rsid w:val="00127723"/>
    <w:rsid w:val="00167933"/>
    <w:rsid w:val="002856AB"/>
    <w:rsid w:val="003429C1"/>
    <w:rsid w:val="00374683"/>
    <w:rsid w:val="006A5C67"/>
    <w:rsid w:val="006B6BBE"/>
    <w:rsid w:val="008D5F8F"/>
    <w:rsid w:val="00F613BE"/>
    <w:rsid w:val="00F6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64FF1"/>
  <w15:docId w15:val="{7570D79E-DA47-46B7-8EB6-9B9C046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9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9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9C1"/>
    <w:rPr>
      <w:sz w:val="18"/>
      <w:szCs w:val="18"/>
    </w:rPr>
  </w:style>
  <w:style w:type="paragraph" w:styleId="a5">
    <w:name w:val="Normal (Web)"/>
    <w:basedOn w:val="a"/>
    <w:qFormat/>
    <w:rsid w:val="003429C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annotation reference"/>
    <w:basedOn w:val="a0"/>
    <w:uiPriority w:val="99"/>
    <w:semiHidden/>
    <w:unhideWhenUsed/>
    <w:rsid w:val="006A5C6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A5C6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A5C67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A5C6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6A5C67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6A5C6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A5C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</dc:creator>
  <cp:keywords/>
  <dc:description/>
  <cp:lastModifiedBy>win10A</cp:lastModifiedBy>
  <cp:revision>4</cp:revision>
  <dcterms:created xsi:type="dcterms:W3CDTF">2025-12-16T06:24:00Z</dcterms:created>
  <dcterms:modified xsi:type="dcterms:W3CDTF">2025-12-17T08:05:00Z</dcterms:modified>
</cp:coreProperties>
</file>