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2D3D19">
        <w:rPr>
          <w:rFonts w:hint="eastAsia"/>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1912019F"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D3D19" w:rsidRPr="002D3D19">
        <w:rPr>
          <w:rFonts w:ascii="楷体_GB2312" w:eastAsia="楷体_GB2312" w:hAnsi="Algerian"/>
          <w:b/>
          <w:bCs/>
          <w:snapToGrid w:val="0"/>
          <w:color w:val="FF0000"/>
          <w:kern w:val="0"/>
          <w:sz w:val="32"/>
          <w:szCs w:val="32"/>
        </w:rPr>
        <w:t>0749</w:t>
      </w:r>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6B484D">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6B484D">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6B484D">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6B484D">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6B484D">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6B484D">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6B484D">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6B484D">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6B484D">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6B484D">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6B484D">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6B484D">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4C0387B9"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sidRPr="00A2470D">
              <w:rPr>
                <w:rFonts w:ascii="仿宋_GB2312" w:eastAsia="仿宋_GB2312" w:hAnsi="宋体" w:hint="eastAsia"/>
                <w:bCs/>
                <w:snapToGrid w:val="0"/>
                <w:kern w:val="0"/>
                <w:sz w:val="24"/>
                <w:szCs w:val="24"/>
              </w:rPr>
              <w:t>4315</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4C7E6CB6"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4F22A192"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估价师所知悉的法定优先受偿款情况说明如下：根据《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098C8491"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对估价对象的坐落描述不一致。根据《地址证明函》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1.使用范围：本估价报告只能由估价报告载明的报告使用者使用，且</w:t>
      </w:r>
      <w:r w:rsidRPr="00E86696">
        <w:rPr>
          <w:rFonts w:ascii="仿宋_GB2312" w:eastAsia="仿宋_GB2312" w:hAnsi="宋体" w:hint="eastAsia"/>
          <w:bCs/>
          <w:snapToGrid w:val="0"/>
          <w:kern w:val="0"/>
          <w:sz w:val="28"/>
          <w:szCs w:val="28"/>
        </w:rPr>
        <w:lastRenderedPageBreak/>
        <w:t>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4FEF88A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8.本估价报告估价结果为房地共同贡献价值，估价结果中剥离两者价值只是服务于抵押登记需要，无实际意义，不能直接引用到其他目的和经济行为。</w:t>
      </w:r>
    </w:p>
    <w:p w14:paraId="335B341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9.估价委托人应对其提供的权属证明以及其他资料的真实性、完整性和合法性负责。如因资料失实或资料提供人有所隐匿而导致估价结果失真，估价机构不承担相应的责任。截至本估价报告出具日，估价委托人未能提供估价对象《国有土地使用权证》[京丰国有（2012出）第00123号]及《房屋所有权证》[X京房权证丰字第478807号]等相关资料原件供评估专业人员进行核对。提请金融机构注意，办理商业</w:t>
      </w:r>
      <w:r w:rsidRPr="00E86696">
        <w:rPr>
          <w:rFonts w:ascii="仿宋_GB2312" w:eastAsia="仿宋_GB2312" w:hAnsi="宋体" w:hint="eastAsia"/>
          <w:bCs/>
          <w:snapToGrid w:val="0"/>
          <w:kern w:val="0"/>
          <w:sz w:val="28"/>
          <w:szCs w:val="28"/>
        </w:rPr>
        <w:lastRenderedPageBreak/>
        <w:t>化运作业务前，抵押物需按照规定进行抵押登记。并确定实际抵押物与本估价报告估价对象是否一致，如有改变，需进行重新评估。</w:t>
      </w:r>
    </w:p>
    <w:p w14:paraId="4CE9DE4C"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10.本估价报告中数据全部采用电算化连续计算得出，由于在报告中计算的数据均按四舍五入保留两位小数或取整，故可能出现个别等式左右不完全相等的情况，但不影响计算结果及最终评估结论的准确性。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11.本估价报告在估价机构盖章和注册房地产估价师签字或签章的条件下有效。</w:t>
      </w:r>
    </w:p>
    <w:p w14:paraId="5B1309CE" w14:textId="3BF533A3" w:rsidR="00F35287" w:rsidRDefault="00E86696" w:rsidP="00E86696">
      <w:pPr>
        <w:spacing w:line="440" w:lineRule="exact"/>
      </w:pPr>
      <w:r w:rsidRPr="00E86696">
        <w:rPr>
          <w:rFonts w:ascii="仿宋_GB2312" w:eastAsia="仿宋_GB2312" w:hAnsi="宋体" w:hint="eastAsia"/>
          <w:bCs/>
          <w:snapToGrid w:val="0"/>
          <w:kern w:val="0"/>
          <w:sz w:val="28"/>
          <w:szCs w:val="28"/>
        </w:rPr>
        <w:t>12.本估价报告自出具日起壹年内有效。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6ACB9D4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独立使用性，即能否单独地使用而不受限制。估价对象属“园博府”项目局部，使用上受到整体项目规划限制。估价对象可单独使用，独立性较好。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3A3A3DB1"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估计对象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33621235"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地处丰台区长辛店镇政府西侧，位于园博园西侧。估价对象距西五环（园博园桥）约2.7公里。估价对象地理位置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w:t>
      </w:r>
      <w:r w:rsidRPr="00EE20E8">
        <w:rPr>
          <w:rFonts w:ascii="仿宋_GB2312" w:eastAsia="仿宋_GB2312" w:hAnsi="Arial" w:cs="Arial" w:hint="eastAsia"/>
          <w:sz w:val="28"/>
          <w:szCs w:val="28"/>
        </w:rPr>
        <w:lastRenderedPageBreak/>
        <w:t>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29C64C7D" w:rsidR="00470554" w:rsidRPr="00EE20E8"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635359">
        <w:rPr>
          <w:rFonts w:ascii="仿宋_GB2312" w:eastAsia="仿宋_GB2312" w:hAnsi="Arial" w:cs="Arial" w:hint="eastAsia"/>
          <w:sz w:val="28"/>
          <w:szCs w:val="28"/>
        </w:rPr>
        <w:t>综合以上分析，我们认为估价对象有一定的变现能力。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28433776"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截至价值时点，该笔抵押登记尚未注销。在此提请金融机构注意，房地产抵押权自登记时设立。当本</w:t>
      </w:r>
      <w:r w:rsidRPr="00EE20E8">
        <w:rPr>
          <w:rFonts w:ascii="仿宋_GB2312" w:eastAsia="仿宋_GB2312" w:hAnsi="Arial" w:cs="Arial"/>
          <w:sz w:val="28"/>
          <w:szCs w:val="28"/>
        </w:rPr>
        <w:lastRenderedPageBreak/>
        <w:t>次抵押权实现，如在本次抵押权设立前已登记有抵押权的，则需按照抵押登记的先后顺序进行清偿。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1B49C1EA"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园博府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11863529"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31.83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34C37779"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宋体" w:hint="eastAsia"/>
          <w:bCs/>
          <w:snapToGrid w:val="0"/>
          <w:kern w:val="0"/>
          <w:sz w:val="28"/>
          <w:szCs w:val="28"/>
        </w:rPr>
        <w:t>根据《不动产登记证明》[京（2019）丰不动产证明第0011916号]（复印件），估价对象已设定抵押权。权利人为中国华融资产管理股份有限公司北京市分公司，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w:t>
      </w:r>
      <w:r w:rsidR="00535AF1" w:rsidRPr="00EE20E8">
        <w:rPr>
          <w:rFonts w:ascii="仿宋_GB2312" w:eastAsia="仿宋_GB2312" w:hAnsi="宋体" w:hint="eastAsia"/>
          <w:bCs/>
          <w:snapToGrid w:val="0"/>
          <w:kern w:val="0"/>
          <w:sz w:val="28"/>
          <w:szCs w:val="28"/>
        </w:rPr>
        <w:lastRenderedPageBreak/>
        <w:t>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lastRenderedPageBreak/>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1D9D267C"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场总消费27318.9亿元，比上年增长7.5%。从内部结构看：实现服务性消费额15048.8亿元，增长10.2%，对总消费增长的贡献率达到72.7%。实现社会</w:t>
      </w:r>
      <w:r w:rsidRPr="0059069B">
        <w:rPr>
          <w:rFonts w:ascii="仿宋_GB2312" w:eastAsia="仿宋_GB2312" w:hAnsi="Arial" w:cs="Arial" w:hint="eastAsia"/>
          <w:kern w:val="0"/>
          <w:sz w:val="28"/>
          <w:szCs w:val="28"/>
        </w:rPr>
        <w:lastRenderedPageBreak/>
        <w:t>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w:t>
      </w:r>
      <w:r w:rsidRPr="0059069B">
        <w:rPr>
          <w:rFonts w:ascii="仿宋_GB2312" w:eastAsia="仿宋_GB2312" w:hAnsi="Arial" w:cs="Arial" w:hint="eastAsia"/>
          <w:kern w:val="0"/>
          <w:sz w:val="28"/>
          <w:szCs w:val="28"/>
        </w:rPr>
        <w:lastRenderedPageBreak/>
        <w:t>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w:t>
      </w:r>
      <w:r w:rsidRPr="0059069B">
        <w:rPr>
          <w:rFonts w:ascii="仿宋_GB2312" w:eastAsia="仿宋_GB2312" w:hAnsi="Arial" w:cs="Arial" w:hint="eastAsia"/>
          <w:kern w:val="0"/>
          <w:sz w:val="28"/>
          <w:szCs w:val="28"/>
        </w:rPr>
        <w:lastRenderedPageBreak/>
        <w:t>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6B484D" w:rsidP="006B484D">
            <w:pPr>
              <w:widowControl/>
              <w:rPr>
                <w:rFonts w:ascii="Arial" w:eastAsia="华文细黑" w:hAnsi="Arial" w:cs="Arial"/>
                <w:sz w:val="18"/>
              </w:rPr>
            </w:pPr>
            <w:hyperlink r:id="rId16"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lastRenderedPageBreak/>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lastRenderedPageBreak/>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6B484D" w:rsidP="006B484D">
            <w:pPr>
              <w:widowControl/>
              <w:spacing w:line="240" w:lineRule="exact"/>
              <w:rPr>
                <w:rFonts w:ascii="Arial" w:eastAsia="华文细黑" w:hAnsi="Arial" w:cs="宋体"/>
                <w:sz w:val="18"/>
              </w:rPr>
            </w:pPr>
            <w:hyperlink r:id="rId19"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0BB2159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区域内住宅项目较为密集，大型商业较少，商业项目多为社区配套商业，有地铁14号线由此通过，周边路网较为密集，无大型停车场，故区域内人流量一般。目前，该区域商业项目1层售价在</w:t>
      </w:r>
      <w:r>
        <w:rPr>
          <w:rFonts w:ascii="仿宋_GB2312" w:eastAsia="仿宋_GB2312" w:hAnsi="Arial" w:cs="Arial" w:hint="eastAsia"/>
          <w:kern w:val="0"/>
          <w:sz w:val="28"/>
          <w:szCs w:val="28"/>
        </w:rPr>
        <w:t>3</w:t>
      </w:r>
      <w:r w:rsidRPr="0059069B">
        <w:rPr>
          <w:rFonts w:ascii="仿宋_GB2312" w:eastAsia="仿宋_GB2312" w:hAnsi="Arial" w:cs="Arial" w:hint="eastAsia"/>
          <w:kern w:val="0"/>
          <w:sz w:val="28"/>
          <w:szCs w:val="28"/>
        </w:rPr>
        <w:t>5000-60000元/平方米之间，租赁价格1层在4-6元/平方米·天。随着区域内配套设施的不断完善，该区域商业用房价格水平稳中有升。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9"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0A68A34D"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254243" w:rsidRPr="009626F8"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9626F8" w:rsidRDefault="00254243" w:rsidP="009626F8">
            <w:pPr>
              <w:widowControl/>
              <w:jc w:val="center"/>
              <w:rPr>
                <w:rFonts w:ascii="仿宋_GB2312" w:eastAsia="仿宋_GB2312" w:hAnsi="Arial" w:cs="Arial"/>
                <w:sz w:val="24"/>
                <w:szCs w:val="24"/>
              </w:rPr>
            </w:pPr>
          </w:p>
        </w:tc>
        <w:tc>
          <w:tcPr>
            <w:tcW w:w="2134" w:type="dxa"/>
            <w:vAlign w:val="center"/>
          </w:tcPr>
          <w:p w14:paraId="2688A2D8" w14:textId="23ACEE72" w:rsidR="00254243" w:rsidRPr="009626F8" w:rsidRDefault="00254243" w:rsidP="00254243">
            <w:pPr>
              <w:jc w:val="center"/>
              <w:rPr>
                <w:rFonts w:ascii="仿宋_GB2312" w:eastAsia="仿宋_GB2312" w:hAnsi="Arial"/>
                <w:sz w:val="24"/>
                <w:szCs w:val="24"/>
              </w:rPr>
            </w:pPr>
            <w:r>
              <w:rPr>
                <w:rFonts w:ascii="仿宋_GB2312" w:eastAsia="仿宋_GB2312" w:hAnsi="Arial" w:cs="Arial" w:hint="eastAsia"/>
                <w:sz w:val="24"/>
                <w:szCs w:val="24"/>
              </w:rPr>
              <w:t>园博府</w:t>
            </w:r>
          </w:p>
        </w:tc>
        <w:tc>
          <w:tcPr>
            <w:tcW w:w="731" w:type="dxa"/>
            <w:vAlign w:val="center"/>
          </w:tcPr>
          <w:p w14:paraId="62DBF5E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2510899"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中海九号</w:t>
            </w:r>
          </w:p>
        </w:tc>
        <w:tc>
          <w:tcPr>
            <w:tcW w:w="761" w:type="dxa"/>
            <w:vAlign w:val="center"/>
          </w:tcPr>
          <w:p w14:paraId="5FD57B57"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6DD83155"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新发地</w:t>
            </w:r>
          </w:p>
        </w:tc>
        <w:tc>
          <w:tcPr>
            <w:tcW w:w="790" w:type="dxa"/>
            <w:vAlign w:val="center"/>
          </w:tcPr>
          <w:p w14:paraId="6A9E315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F773866"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花乡奥莱村</w:t>
            </w:r>
          </w:p>
        </w:tc>
        <w:tc>
          <w:tcPr>
            <w:tcW w:w="679" w:type="dxa"/>
            <w:vAlign w:val="center"/>
          </w:tcPr>
          <w:p w14:paraId="6183876B"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5E9FC1CE"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r>
              <w:rPr>
                <w:rFonts w:ascii="仿宋_GB2312" w:eastAsia="仿宋_GB2312" w:hAnsi="Arial" w:cs="Arial" w:hint="eastAsia"/>
                <w:sz w:val="24"/>
                <w:szCs w:val="24"/>
              </w:rPr>
              <w:t>27</w:t>
            </w:r>
            <w:r w:rsidR="009577A4"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382D33D2" w:rsidR="009577A4" w:rsidRPr="009626F8" w:rsidRDefault="00254243" w:rsidP="0016608E">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3D5E56F5"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77D8DDB9"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1BEEC658"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B2F7BF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5BD943"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6BE5574"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44E14F8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1B1A1A3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7AB9032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72E863D0"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5FA2A48F"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7776BEE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023F964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32824624"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64806C67"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6593F6CE"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787022A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1E5DF56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c>
          <w:tcPr>
            <w:tcW w:w="2074" w:type="dxa"/>
            <w:vAlign w:val="center"/>
          </w:tcPr>
          <w:p w14:paraId="3713E199" w14:textId="159D137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40096F5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479FB14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写字楼商业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085F1A90"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29A4ECC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187" w:type="dxa"/>
            <w:vAlign w:val="center"/>
          </w:tcPr>
          <w:p w14:paraId="07863B88" w14:textId="51738DF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住宅底商</w:t>
            </w:r>
          </w:p>
        </w:tc>
        <w:tc>
          <w:tcPr>
            <w:tcW w:w="679" w:type="dxa"/>
            <w:vAlign w:val="center"/>
          </w:tcPr>
          <w:p w14:paraId="43A67293" w14:textId="48BE0A8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11D01F0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292.34</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3BEDE281"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761" w:type="dxa"/>
            <w:vAlign w:val="center"/>
          </w:tcPr>
          <w:p w14:paraId="09D54C24" w14:textId="53C3A59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56D6A4F8" w14:textId="0965CD93"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1458.82</w:t>
            </w:r>
          </w:p>
        </w:tc>
        <w:tc>
          <w:tcPr>
            <w:tcW w:w="790" w:type="dxa"/>
            <w:vAlign w:val="center"/>
          </w:tcPr>
          <w:p w14:paraId="03839829" w14:textId="1FCE700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6A711D1B" w14:textId="2DCE812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679" w:type="dxa"/>
            <w:vAlign w:val="center"/>
          </w:tcPr>
          <w:p w14:paraId="10768834" w14:textId="34556F3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11C1E3D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31" w:type="dxa"/>
            <w:vAlign w:val="center"/>
          </w:tcPr>
          <w:p w14:paraId="01210F9D" w14:textId="564FAFD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5C2CE87"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5FBAC6A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458767D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C52D13">
        <w:trPr>
          <w:jc w:val="center"/>
        </w:trPr>
        <w:tc>
          <w:tcPr>
            <w:tcW w:w="972"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172"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C52D13">
        <w:trPr>
          <w:jc w:val="center"/>
        </w:trPr>
        <w:tc>
          <w:tcPr>
            <w:tcW w:w="972"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172"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C52D13">
        <w:trPr>
          <w:jc w:val="center"/>
        </w:trPr>
        <w:tc>
          <w:tcPr>
            <w:tcW w:w="972"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4114B221"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4CBBFF55"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4EF4E84E"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793C0443" w14:textId="77777777" w:rsidTr="00C52D13">
        <w:trPr>
          <w:jc w:val="center"/>
        </w:trPr>
        <w:tc>
          <w:tcPr>
            <w:tcW w:w="972"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7D6217E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6EF43B1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49770B9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C52D13">
        <w:trPr>
          <w:jc w:val="center"/>
        </w:trPr>
        <w:tc>
          <w:tcPr>
            <w:tcW w:w="972"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C52D13">
        <w:trPr>
          <w:jc w:val="center"/>
        </w:trPr>
        <w:tc>
          <w:tcPr>
            <w:tcW w:w="972"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6BC49C32"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1D618BB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538BB80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C52D13">
        <w:trPr>
          <w:jc w:val="center"/>
        </w:trPr>
        <w:tc>
          <w:tcPr>
            <w:tcW w:w="972"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2B6AA82" w14:textId="77777777" w:rsidTr="00C52D13">
        <w:trPr>
          <w:jc w:val="center"/>
        </w:trPr>
        <w:tc>
          <w:tcPr>
            <w:tcW w:w="972"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12397F66"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1E1214F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75961BCF" w14:textId="77777777" w:rsidTr="00C52D13">
        <w:trPr>
          <w:jc w:val="center"/>
        </w:trPr>
        <w:tc>
          <w:tcPr>
            <w:tcW w:w="972"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172"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067114D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6B689914"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43D8459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79FB7C24" w14:textId="77777777" w:rsidTr="00C52D13">
        <w:trPr>
          <w:jc w:val="center"/>
        </w:trPr>
        <w:tc>
          <w:tcPr>
            <w:tcW w:w="972"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C52D13">
        <w:trPr>
          <w:jc w:val="center"/>
        </w:trPr>
        <w:tc>
          <w:tcPr>
            <w:tcW w:w="972"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C52D13">
        <w:trPr>
          <w:jc w:val="center"/>
        </w:trPr>
        <w:tc>
          <w:tcPr>
            <w:tcW w:w="972"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AE2D950" w14:textId="77777777" w:rsidTr="00C52D13">
        <w:trPr>
          <w:jc w:val="center"/>
        </w:trPr>
        <w:tc>
          <w:tcPr>
            <w:tcW w:w="972"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796D3E2A"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EF79310"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94</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0A2A28C7"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737A9F76" w14:textId="77777777" w:rsidTr="00C52D13">
        <w:trPr>
          <w:jc w:val="center"/>
        </w:trPr>
        <w:tc>
          <w:tcPr>
            <w:tcW w:w="972"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C52D13">
        <w:trPr>
          <w:jc w:val="center"/>
        </w:trPr>
        <w:tc>
          <w:tcPr>
            <w:tcW w:w="972"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095FAF54"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35300</w:t>
            </w:r>
          </w:p>
        </w:tc>
        <w:tc>
          <w:tcPr>
            <w:tcW w:w="1984" w:type="dxa"/>
            <w:gridSpan w:val="2"/>
            <w:noWrap/>
            <w:tcMar>
              <w:left w:w="85" w:type="dxa"/>
              <w:right w:w="85" w:type="dxa"/>
            </w:tcMar>
            <w:vAlign w:val="center"/>
          </w:tcPr>
          <w:p w14:paraId="3B3827F5" w14:textId="1325722D"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34300</w:t>
            </w:r>
          </w:p>
        </w:tc>
        <w:tc>
          <w:tcPr>
            <w:tcW w:w="2286" w:type="dxa"/>
            <w:gridSpan w:val="2"/>
            <w:noWrap/>
            <w:tcMar>
              <w:left w:w="85" w:type="dxa"/>
              <w:right w:w="85" w:type="dxa"/>
            </w:tcMar>
            <w:vAlign w:val="center"/>
          </w:tcPr>
          <w:p w14:paraId="7461A3DD" w14:textId="79C08ACA"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42000</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320999D9"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31169</w:t>
            </w:r>
          </w:p>
        </w:tc>
        <w:tc>
          <w:tcPr>
            <w:tcW w:w="1984" w:type="dxa"/>
            <w:gridSpan w:val="2"/>
            <w:noWrap/>
            <w:tcMar>
              <w:left w:w="85" w:type="dxa"/>
              <w:right w:w="85" w:type="dxa"/>
            </w:tcMar>
            <w:vAlign w:val="center"/>
          </w:tcPr>
          <w:p w14:paraId="31322FBF" w14:textId="7D7168E3"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36504</w:t>
            </w:r>
          </w:p>
        </w:tc>
        <w:tc>
          <w:tcPr>
            <w:tcW w:w="2286" w:type="dxa"/>
            <w:gridSpan w:val="2"/>
            <w:noWrap/>
            <w:tcMar>
              <w:left w:w="85" w:type="dxa"/>
              <w:right w:w="85" w:type="dxa"/>
            </w:tcMar>
            <w:vAlign w:val="center"/>
          </w:tcPr>
          <w:p w14:paraId="6D5E7A51" w14:textId="71DA26EC"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37085</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lastRenderedPageBreak/>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根据估价委托人提供的《租赁情况表》以及其他相关资料，截至价值时点，估价对象已出租。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254C3778"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年。经评估专业人员整理计算得出估价对象综合租金为5.04元/天·平方米。</w:t>
      </w:r>
    </w:p>
    <w:p w14:paraId="145188A6"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根据评估专业人员市场调查，同类物业租金约为4.5-5.5元/天·平方米，依估价目的确定使用市场租金及合同租金进行计算。因</w:t>
      </w:r>
      <w:r w:rsidRPr="00E43B49">
        <w:rPr>
          <w:rFonts w:ascii="仿宋_GB2312" w:eastAsia="仿宋_GB2312" w:hAnsi="Arial" w:cs="Arial" w:hint="eastAsia"/>
          <w:color w:val="000000"/>
          <w:sz w:val="28"/>
          <w:szCs w:val="28"/>
        </w:rPr>
        <w:lastRenderedPageBreak/>
        <w:t>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2576320</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0AE6F6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2573104</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p>
        </w:tc>
        <w:tc>
          <w:tcPr>
            <w:tcW w:w="893" w:type="dxa"/>
            <w:shd w:val="clear" w:color="auto" w:fill="auto"/>
            <w:noWrap/>
            <w:vAlign w:val="center"/>
            <w:hideMark/>
          </w:tcPr>
          <w:p w14:paraId="417875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5.04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个数</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月</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1B085400"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3216</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585365</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435145</w:t>
            </w:r>
          </w:p>
        </w:tc>
        <w:tc>
          <w:tcPr>
            <w:tcW w:w="2938" w:type="dxa"/>
            <w:shd w:val="clear" w:color="auto" w:fill="auto"/>
            <w:vAlign w:val="center"/>
            <w:hideMark/>
          </w:tcPr>
          <w:p w14:paraId="7EC2EF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两税一费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综合税率</w:t>
            </w: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137232</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294069</w:t>
            </w:r>
          </w:p>
        </w:tc>
        <w:tc>
          <w:tcPr>
            <w:tcW w:w="2938" w:type="dxa"/>
            <w:shd w:val="clear" w:color="auto" w:fill="auto"/>
            <w:vAlign w:val="center"/>
            <w:hideMark/>
          </w:tcPr>
          <w:p w14:paraId="5BDD5FB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按租金收入计税</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56EF467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土地面积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现值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51526.4</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1990955</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5C780CD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8501944</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6078</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35EF03A6"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办公用房的租金集中在4.5-5.5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6B484D"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p>
        </w:tc>
        <w:tc>
          <w:tcPr>
            <w:tcW w:w="1052" w:type="dxa"/>
            <w:shd w:val="clear" w:color="auto" w:fill="auto"/>
            <w:noWrap/>
            <w:vAlign w:val="center"/>
            <w:hideMark/>
          </w:tcPr>
          <w:p w14:paraId="7D6B266A"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6B484D" w:rsidRPr="006B484D" w14:paraId="1F4F2F1C" w14:textId="77777777" w:rsidTr="005F70FB">
        <w:trPr>
          <w:trHeight w:val="360"/>
          <w:jc w:val="center"/>
        </w:trPr>
        <w:tc>
          <w:tcPr>
            <w:tcW w:w="718" w:type="dxa"/>
            <w:vMerge/>
            <w:shd w:val="clear" w:color="auto" w:fill="auto"/>
            <w:noWrap/>
            <w:vAlign w:val="center"/>
            <w:hideMark/>
          </w:tcPr>
          <w:p w14:paraId="2C4A08E6" w14:textId="467A6DB9" w:rsidR="006B484D" w:rsidRPr="006B484D" w:rsidRDefault="006B484D"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6B484D" w:rsidRPr="006B484D" w:rsidRDefault="006B484D"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6B484D" w:rsidRPr="006B484D" w:rsidRDefault="006B484D"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个数</w:t>
            </w:r>
          </w:p>
        </w:tc>
        <w:tc>
          <w:tcPr>
            <w:tcW w:w="1052" w:type="dxa"/>
            <w:shd w:val="clear" w:color="auto" w:fill="auto"/>
            <w:noWrap/>
            <w:vAlign w:val="center"/>
            <w:hideMark/>
          </w:tcPr>
          <w:p w14:paraId="64AB6BB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6B484D" w:rsidRPr="006B484D" w14:paraId="76D1E9D0" w14:textId="77777777" w:rsidTr="005F70FB">
        <w:trPr>
          <w:trHeight w:val="360"/>
          <w:jc w:val="center"/>
        </w:trPr>
        <w:tc>
          <w:tcPr>
            <w:tcW w:w="718" w:type="dxa"/>
            <w:vMerge/>
            <w:shd w:val="clear" w:color="auto" w:fill="auto"/>
            <w:noWrap/>
            <w:vAlign w:val="center"/>
            <w:hideMark/>
          </w:tcPr>
          <w:p w14:paraId="3BCEF56D" w14:textId="79DB1B92" w:rsidR="006B484D" w:rsidRPr="006B484D" w:rsidRDefault="006B484D"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6B484D" w:rsidRPr="006B484D" w:rsidRDefault="006B484D"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6B484D" w:rsidRPr="006B484D" w:rsidRDefault="006B484D"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天</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月</w:t>
            </w:r>
          </w:p>
        </w:tc>
        <w:tc>
          <w:tcPr>
            <w:tcW w:w="1052" w:type="dxa"/>
            <w:shd w:val="clear" w:color="auto" w:fill="auto"/>
            <w:noWrap/>
            <w:vAlign w:val="center"/>
            <w:hideMark/>
          </w:tcPr>
          <w:p w14:paraId="3838D1B5"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综合税率</w:t>
            </w: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按租金收入计税</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376A7D8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土地面积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现值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284EE28C" w14:textId="77777777"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1F824907"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8501944+29179330</w:t>
      </w:r>
    </w:p>
    <w:p w14:paraId="317919CA" w14:textId="7DDF5BCD"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37681274（</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3）收益价值</w:t>
      </w:r>
    </w:p>
    <w:p w14:paraId="34739C7E" w14:textId="555E38FF" w:rsidR="00793EAA" w:rsidRDefault="005F70FB" w:rsidP="005F70FB">
      <w:pPr>
        <w:spacing w:line="440" w:lineRule="exact"/>
        <w:rPr>
          <w:rFonts w:ascii="仿宋_GB2312" w:eastAsia="仿宋_GB2312" w:hAnsi="Arial" w:cs="Arial" w:hint="eastAsia"/>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（37681274+169863）÷10000</w:t>
      </w: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3785</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hint="eastAsia"/>
          <w:color w:val="000000"/>
          <w:sz w:val="28"/>
          <w:szCs w:val="28"/>
        </w:rPr>
      </w:pP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7E481A9E"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sidR="004E7929">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计算在参数选取的客观性、参数确定</w:t>
      </w:r>
      <w:r w:rsidRPr="00E92865">
        <w:rPr>
          <w:rFonts w:ascii="仿宋_GB2312" w:eastAsia="仿宋_GB2312" w:hAnsi="Arial" w:cs="Arial" w:hint="eastAsia"/>
          <w:color w:val="000000"/>
          <w:sz w:val="28"/>
          <w:szCs w:val="28"/>
        </w:rPr>
        <w:lastRenderedPageBreak/>
        <w:t>的时效性、估价结果的现势性上较</w:t>
      </w:r>
      <w:r w:rsidR="004E7929">
        <w:rPr>
          <w:rFonts w:ascii="仿宋_GB2312" w:eastAsia="仿宋_GB2312" w:hAnsi="Arial" w:cs="Arial" w:hint="eastAsia"/>
          <w:color w:val="000000"/>
          <w:sz w:val="28"/>
          <w:szCs w:val="28"/>
        </w:rPr>
        <w:t>比较法</w:t>
      </w:r>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3F57A0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3785</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4317</w:t>
      </w:r>
      <w:r w:rsidRPr="00EE20E8">
        <w:rPr>
          <w:rFonts w:ascii="仿宋_GB2312" w:eastAsia="仿宋_GB2312" w:hAnsi="Arial" w:cs="Arial" w:hint="eastAsia"/>
          <w:sz w:val="28"/>
          <w:szCs w:val="28"/>
        </w:rPr>
        <w:t>（万元）</w:t>
      </w:r>
    </w:p>
    <w:p w14:paraId="245FF013" w14:textId="53FB999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4E7929">
        <w:rPr>
          <w:rFonts w:ascii="仿宋_GB2312" w:eastAsia="仿宋_GB2312" w:hAnsi="Arial" w:cs="Arial" w:hint="eastAsia"/>
          <w:sz w:val="28"/>
          <w:szCs w:val="28"/>
        </w:rPr>
        <w:t>4317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30864</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FFA7EE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E7929" w:rsidRPr="004E7929">
        <w:rPr>
          <w:rFonts w:ascii="仿宋_GB2312" w:eastAsia="仿宋_GB2312" w:hAnsi="宋体" w:hint="eastAsia"/>
          <w:bCs/>
          <w:snapToGrid w:val="0"/>
          <w:kern w:val="0"/>
          <w:sz w:val="28"/>
          <w:szCs w:val="28"/>
        </w:rPr>
        <w:t>根据《不动产登记证明》[京（2019）丰不动产证明第0011916号]（复印件），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2E25A0D4"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4317</w:t>
      </w:r>
      <w:r w:rsidRPr="00EE20E8">
        <w:rPr>
          <w:rFonts w:ascii="仿宋_GB2312" w:eastAsia="仿宋_GB2312" w:hAnsi="Arial" w:cs="Arial" w:hint="eastAsia"/>
          <w:sz w:val="28"/>
          <w:szCs w:val="28"/>
        </w:rPr>
        <w:t>－0</w:t>
      </w:r>
    </w:p>
    <w:p w14:paraId="60AAEACD" w14:textId="2AA25F46"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4317</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02677359"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4317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EA2EA84"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4317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2750053" w:rsidR="00603E75" w:rsidRPr="00EE20E8" w:rsidRDefault="004E7929"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30864</w:t>
            </w:r>
          </w:p>
        </w:tc>
      </w:tr>
    </w:tbl>
    <w:p w14:paraId="493C800E" w14:textId="77777777" w:rsidR="00AC496A" w:rsidRDefault="00AC496A">
      <w:pPr>
        <w:pStyle w:val="1"/>
        <w:jc w:val="center"/>
        <w:rPr>
          <w:rFonts w:ascii="宋体" w:hAnsi="宋体"/>
          <w:snapToGrid w:val="0"/>
          <w:sz w:val="36"/>
          <w:szCs w:val="36"/>
        </w:rPr>
      </w:pPr>
      <w:bookmarkStart w:id="13"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3"/>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bookmarkStart w:id="14" w:name="_GoBack"/>
      <w:bookmarkEnd w:id="14"/>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13319" w14:textId="77777777" w:rsidR="00DA2B0A" w:rsidRDefault="00DA2B0A">
      <w:r>
        <w:separator/>
      </w:r>
    </w:p>
  </w:endnote>
  <w:endnote w:type="continuationSeparator" w:id="0">
    <w:p w14:paraId="227E1227" w14:textId="77777777" w:rsidR="00DA2B0A" w:rsidRDefault="00DA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6B484D" w:rsidRPr="003E2EC4" w:rsidRDefault="006B484D">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497773">
      <w:rPr>
        <w:rFonts w:ascii="楷体_GB2312" w:eastAsia="楷体_GB2312"/>
        <w:b/>
        <w:bCs/>
        <w:noProof/>
      </w:rPr>
      <w:t>33</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497773">
      <w:rPr>
        <w:rFonts w:ascii="楷体_GB2312" w:eastAsia="楷体_GB2312"/>
        <w:b/>
        <w:bCs/>
        <w:noProof/>
      </w:rPr>
      <w:t>34</w:t>
    </w:r>
    <w:r w:rsidRPr="003E2EC4">
      <w:rPr>
        <w:rFonts w:ascii="楷体_GB2312" w:eastAsia="楷体_GB2312" w:hint="eastAsia"/>
        <w:b/>
        <w:bCs/>
      </w:rPr>
      <w:fldChar w:fldCharType="end"/>
    </w:r>
  </w:p>
  <w:p w14:paraId="5AF01607" w14:textId="77777777" w:rsidR="006B484D" w:rsidRDefault="006B48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A4F01" w14:textId="77777777" w:rsidR="00DA2B0A" w:rsidRDefault="00DA2B0A">
      <w:r>
        <w:separator/>
      </w:r>
    </w:p>
  </w:footnote>
  <w:footnote w:type="continuationSeparator" w:id="0">
    <w:p w14:paraId="05EFE8FF" w14:textId="77777777" w:rsidR="00DA2B0A" w:rsidRDefault="00DA2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6B484D" w:rsidRDefault="006B484D">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118E4242" w:rsidR="006B484D" w:rsidRPr="00040148" w:rsidRDefault="006B484D" w:rsidP="00040148">
    <w:pPr>
      <w:pStyle w:val="a8"/>
      <w:jc w:val="left"/>
      <w:rPr>
        <w:rFonts w:ascii="楷体_GB2312" w:eastAsia="楷体_GB2312"/>
      </w:rPr>
    </w:pPr>
    <w:r>
      <w:rPr>
        <w:rFonts w:ascii="楷体_GB2312" w:eastAsia="楷体_GB2312" w:hint="eastAsia"/>
      </w:rPr>
      <w:t>房地产类抵押物动态估值报告                                     项目编号：</w:t>
    </w:r>
    <w:r>
      <w:rPr>
        <w:rFonts w:ascii="楷体_GB2312" w:eastAsia="楷体_GB2312"/>
      </w:rPr>
      <w:t>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48B5"/>
    <w:rsid w:val="00067696"/>
    <w:rsid w:val="00083E2A"/>
    <w:rsid w:val="00093DF7"/>
    <w:rsid w:val="0009767F"/>
    <w:rsid w:val="00097F19"/>
    <w:rsid w:val="000A238D"/>
    <w:rsid w:val="000A26A4"/>
    <w:rsid w:val="000A550D"/>
    <w:rsid w:val="000B7702"/>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E7D"/>
    <w:rsid w:val="00217A71"/>
    <w:rsid w:val="00223FDF"/>
    <w:rsid w:val="002248A7"/>
    <w:rsid w:val="00225164"/>
    <w:rsid w:val="002318B9"/>
    <w:rsid w:val="00246201"/>
    <w:rsid w:val="00254243"/>
    <w:rsid w:val="00267B1D"/>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51881"/>
    <w:rsid w:val="00451BFB"/>
    <w:rsid w:val="0046702A"/>
    <w:rsid w:val="0046710B"/>
    <w:rsid w:val="00470554"/>
    <w:rsid w:val="00477F65"/>
    <w:rsid w:val="00483244"/>
    <w:rsid w:val="00495BC9"/>
    <w:rsid w:val="00497151"/>
    <w:rsid w:val="00497773"/>
    <w:rsid w:val="004B28E1"/>
    <w:rsid w:val="004B66F4"/>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9069B"/>
    <w:rsid w:val="00591471"/>
    <w:rsid w:val="005A08CB"/>
    <w:rsid w:val="005B0EB6"/>
    <w:rsid w:val="005B3D9F"/>
    <w:rsid w:val="005D7D6C"/>
    <w:rsid w:val="005E3256"/>
    <w:rsid w:val="005F09B9"/>
    <w:rsid w:val="005F70FB"/>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41D6"/>
    <w:rsid w:val="00940CE2"/>
    <w:rsid w:val="00955429"/>
    <w:rsid w:val="009557D6"/>
    <w:rsid w:val="009577A4"/>
    <w:rsid w:val="009626F8"/>
    <w:rsid w:val="0097400B"/>
    <w:rsid w:val="0098703A"/>
    <w:rsid w:val="0099106D"/>
    <w:rsid w:val="0099269D"/>
    <w:rsid w:val="009A2AEB"/>
    <w:rsid w:val="009B0F83"/>
    <w:rsid w:val="009B55D2"/>
    <w:rsid w:val="009C26F7"/>
    <w:rsid w:val="009D351E"/>
    <w:rsid w:val="009D5296"/>
    <w:rsid w:val="009D71DD"/>
    <w:rsid w:val="009E50B7"/>
    <w:rsid w:val="009F7459"/>
    <w:rsid w:val="00A12870"/>
    <w:rsid w:val="00A179C1"/>
    <w:rsid w:val="00A2470D"/>
    <w:rsid w:val="00A32D35"/>
    <w:rsid w:val="00A33C05"/>
    <w:rsid w:val="00A37F18"/>
    <w:rsid w:val="00A47599"/>
    <w:rsid w:val="00A64F55"/>
    <w:rsid w:val="00A800DF"/>
    <w:rsid w:val="00A84E7B"/>
    <w:rsid w:val="00A86EF6"/>
    <w:rsid w:val="00AA10D3"/>
    <w:rsid w:val="00AA5248"/>
    <w:rsid w:val="00AA74FC"/>
    <w:rsid w:val="00AC3C3F"/>
    <w:rsid w:val="00AC496A"/>
    <w:rsid w:val="00AF25B6"/>
    <w:rsid w:val="00B103AD"/>
    <w:rsid w:val="00B10A54"/>
    <w:rsid w:val="00B23182"/>
    <w:rsid w:val="00B363BE"/>
    <w:rsid w:val="00B4717E"/>
    <w:rsid w:val="00B50F40"/>
    <w:rsid w:val="00B551AF"/>
    <w:rsid w:val="00B55706"/>
    <w:rsid w:val="00B80895"/>
    <w:rsid w:val="00BA4BFA"/>
    <w:rsid w:val="00BB443A"/>
    <w:rsid w:val="00BC26A3"/>
    <w:rsid w:val="00BC5760"/>
    <w:rsid w:val="00BD05A6"/>
    <w:rsid w:val="00BE1A59"/>
    <w:rsid w:val="00BE3E07"/>
    <w:rsid w:val="00BE51A4"/>
    <w:rsid w:val="00C040FE"/>
    <w:rsid w:val="00C17B93"/>
    <w:rsid w:val="00C30271"/>
    <w:rsid w:val="00C36BA7"/>
    <w:rsid w:val="00C44B40"/>
    <w:rsid w:val="00C52D13"/>
    <w:rsid w:val="00C558B2"/>
    <w:rsid w:val="00C61FAE"/>
    <w:rsid w:val="00C84283"/>
    <w:rsid w:val="00C906FC"/>
    <w:rsid w:val="00C951AE"/>
    <w:rsid w:val="00C96D40"/>
    <w:rsid w:val="00C971D5"/>
    <w:rsid w:val="00CD612C"/>
    <w:rsid w:val="00CF231B"/>
    <w:rsid w:val="00CF7456"/>
    <w:rsid w:val="00CF7EFB"/>
    <w:rsid w:val="00D00A07"/>
    <w:rsid w:val="00D051E5"/>
    <w:rsid w:val="00D1030C"/>
    <w:rsid w:val="00D10DFA"/>
    <w:rsid w:val="00D3288D"/>
    <w:rsid w:val="00D46D8B"/>
    <w:rsid w:val="00D87D50"/>
    <w:rsid w:val="00D92A8B"/>
    <w:rsid w:val="00DA2B0A"/>
    <w:rsid w:val="00DA33E3"/>
    <w:rsid w:val="00DA50FE"/>
    <w:rsid w:val="00DB09E9"/>
    <w:rsid w:val="00DC6103"/>
    <w:rsid w:val="00DD55D3"/>
    <w:rsid w:val="00DE333F"/>
    <w:rsid w:val="00DF58F5"/>
    <w:rsid w:val="00E27BAE"/>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ser>
        <c:dLbls>
          <c:showLegendKey val="0"/>
          <c:showVal val="0"/>
          <c:showCatName val="0"/>
          <c:showSerName val="0"/>
          <c:showPercent val="0"/>
          <c:showBubbleSize val="0"/>
        </c:dLbls>
        <c:gapWidth val="150"/>
        <c:axId val="139425664"/>
        <c:axId val="139427200"/>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ser>
        <c:dLbls>
          <c:showLegendKey val="0"/>
          <c:showVal val="0"/>
          <c:showCatName val="0"/>
          <c:showSerName val="0"/>
          <c:showPercent val="0"/>
          <c:showBubbleSize val="0"/>
        </c:dLbls>
        <c:marker val="1"/>
        <c:smooth val="0"/>
        <c:axId val="139782784"/>
        <c:axId val="139781248"/>
      </c:lineChart>
      <c:catAx>
        <c:axId val="139425664"/>
        <c:scaling>
          <c:orientation val="minMax"/>
        </c:scaling>
        <c:delete val="0"/>
        <c:axPos val="b"/>
        <c:majorTickMark val="out"/>
        <c:minorTickMark val="none"/>
        <c:tickLblPos val="nextTo"/>
        <c:txPr>
          <a:bodyPr/>
          <a:lstStyle/>
          <a:p>
            <a:pPr>
              <a:defRPr sz="800"/>
            </a:pPr>
            <a:endParaRPr lang="zh-CN"/>
          </a:p>
        </c:txPr>
        <c:crossAx val="139427200"/>
        <c:crosses val="autoZero"/>
        <c:auto val="1"/>
        <c:lblAlgn val="ctr"/>
        <c:lblOffset val="100"/>
        <c:noMultiLvlLbl val="0"/>
      </c:catAx>
      <c:valAx>
        <c:axId val="13942720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39425664"/>
        <c:crosses val="autoZero"/>
        <c:crossBetween val="between"/>
      </c:valAx>
      <c:valAx>
        <c:axId val="139781248"/>
        <c:scaling>
          <c:orientation val="minMax"/>
        </c:scaling>
        <c:delete val="0"/>
        <c:axPos val="r"/>
        <c:numFmt formatCode="General" sourceLinked="1"/>
        <c:majorTickMark val="out"/>
        <c:minorTickMark val="none"/>
        <c:tickLblPos val="nextTo"/>
        <c:txPr>
          <a:bodyPr/>
          <a:lstStyle/>
          <a:p>
            <a:pPr>
              <a:defRPr sz="800"/>
            </a:pPr>
            <a:endParaRPr lang="zh-CN"/>
          </a:p>
        </c:txPr>
        <c:crossAx val="139782784"/>
        <c:crosses val="max"/>
        <c:crossBetween val="between"/>
      </c:valAx>
      <c:catAx>
        <c:axId val="139782784"/>
        <c:scaling>
          <c:orientation val="minMax"/>
        </c:scaling>
        <c:delete val="1"/>
        <c:axPos val="b"/>
        <c:majorTickMark val="out"/>
        <c:minorTickMark val="none"/>
        <c:tickLblPos val="nextTo"/>
        <c:crossAx val="139781248"/>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txPr>
              <a:bodyPr/>
              <a:lstStyle/>
              <a:p>
                <a:pPr>
                  <a:defRPr sz="800"/>
                </a:pPr>
                <a:endParaRPr lang="zh-CN"/>
              </a:p>
            </c:txPr>
            <c:showLegendKey val="0"/>
            <c:showVal val="1"/>
            <c:showCatName val="0"/>
            <c:showSerName val="0"/>
            <c:showPercent val="0"/>
            <c:showBubbleSize val="0"/>
            <c:showLeaderLines val="0"/>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ser>
        <c:dLbls>
          <c:showLegendKey val="0"/>
          <c:showVal val="1"/>
          <c:showCatName val="0"/>
          <c:showSerName val="0"/>
          <c:showPercent val="0"/>
          <c:showBubbleSize val="0"/>
        </c:dLbls>
        <c:gapWidth val="75"/>
        <c:axId val="141510144"/>
        <c:axId val="141529472"/>
      </c:barChart>
      <c:catAx>
        <c:axId val="141510144"/>
        <c:scaling>
          <c:orientation val="minMax"/>
        </c:scaling>
        <c:delete val="0"/>
        <c:axPos val="b"/>
        <c:majorTickMark val="none"/>
        <c:minorTickMark val="none"/>
        <c:tickLblPos val="nextTo"/>
        <c:txPr>
          <a:bodyPr/>
          <a:lstStyle/>
          <a:p>
            <a:pPr>
              <a:defRPr sz="800"/>
            </a:pPr>
            <a:endParaRPr lang="zh-CN"/>
          </a:p>
        </c:txPr>
        <c:crossAx val="141529472"/>
        <c:crosses val="autoZero"/>
        <c:auto val="1"/>
        <c:lblAlgn val="ctr"/>
        <c:lblOffset val="100"/>
        <c:noMultiLvlLbl val="0"/>
      </c:catAx>
      <c:valAx>
        <c:axId val="141529472"/>
        <c:scaling>
          <c:orientation val="minMax"/>
        </c:scaling>
        <c:delete val="0"/>
        <c:axPos val="l"/>
        <c:numFmt formatCode="0.00%" sourceLinked="1"/>
        <c:majorTickMark val="none"/>
        <c:minorTickMark val="none"/>
        <c:tickLblPos val="nextTo"/>
        <c:txPr>
          <a:bodyPr/>
          <a:lstStyle/>
          <a:p>
            <a:pPr>
              <a:defRPr sz="900"/>
            </a:pPr>
            <a:endParaRPr lang="zh-CN"/>
          </a:p>
        </c:txPr>
        <c:crossAx val="1415101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ser>
        <c:dLbls>
          <c:showLegendKey val="0"/>
          <c:showVal val="0"/>
          <c:showCatName val="0"/>
          <c:showSerName val="0"/>
          <c:showPercent val="0"/>
          <c:showBubbleSize val="0"/>
        </c:dLbls>
        <c:gapWidth val="150"/>
        <c:axId val="141551104"/>
        <c:axId val="141552640"/>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ser>
        <c:dLbls>
          <c:showLegendKey val="0"/>
          <c:showVal val="0"/>
          <c:showCatName val="0"/>
          <c:showSerName val="0"/>
          <c:showPercent val="0"/>
          <c:showBubbleSize val="0"/>
        </c:dLbls>
        <c:marker val="1"/>
        <c:smooth val="0"/>
        <c:axId val="141555968"/>
        <c:axId val="141554432"/>
      </c:lineChart>
      <c:catAx>
        <c:axId val="141551104"/>
        <c:scaling>
          <c:orientation val="minMax"/>
        </c:scaling>
        <c:delete val="0"/>
        <c:axPos val="b"/>
        <c:majorTickMark val="out"/>
        <c:minorTickMark val="none"/>
        <c:tickLblPos val="nextTo"/>
        <c:txPr>
          <a:bodyPr/>
          <a:lstStyle/>
          <a:p>
            <a:pPr>
              <a:defRPr sz="800"/>
            </a:pPr>
            <a:endParaRPr lang="zh-CN"/>
          </a:p>
        </c:txPr>
        <c:crossAx val="141552640"/>
        <c:crosses val="autoZero"/>
        <c:auto val="1"/>
        <c:lblAlgn val="ctr"/>
        <c:lblOffset val="100"/>
        <c:noMultiLvlLbl val="0"/>
      </c:catAx>
      <c:valAx>
        <c:axId val="14155264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41551104"/>
        <c:crosses val="autoZero"/>
        <c:crossBetween val="between"/>
      </c:valAx>
      <c:valAx>
        <c:axId val="141554432"/>
        <c:scaling>
          <c:orientation val="minMax"/>
        </c:scaling>
        <c:delete val="0"/>
        <c:axPos val="r"/>
        <c:numFmt formatCode="General" sourceLinked="1"/>
        <c:majorTickMark val="out"/>
        <c:minorTickMark val="none"/>
        <c:tickLblPos val="nextTo"/>
        <c:txPr>
          <a:bodyPr/>
          <a:lstStyle/>
          <a:p>
            <a:pPr>
              <a:defRPr sz="800"/>
            </a:pPr>
            <a:endParaRPr lang="zh-CN"/>
          </a:p>
        </c:txPr>
        <c:crossAx val="141555968"/>
        <c:crosses val="max"/>
        <c:crossBetween val="between"/>
      </c:valAx>
      <c:catAx>
        <c:axId val="141555968"/>
        <c:scaling>
          <c:orientation val="minMax"/>
        </c:scaling>
        <c:delete val="1"/>
        <c:axPos val="b"/>
        <c:majorTickMark val="out"/>
        <c:minorTickMark val="none"/>
        <c:tickLblPos val="nextTo"/>
        <c:crossAx val="141554432"/>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txPr>
              <a:bodyPr/>
              <a:lstStyle/>
              <a:p>
                <a:pPr>
                  <a:defRPr sz="800" baseline="0"/>
                </a:pPr>
                <a:endParaRPr lang="zh-CN"/>
              </a:p>
            </c:txPr>
            <c:showLegendKey val="0"/>
            <c:showVal val="1"/>
            <c:showCatName val="0"/>
            <c:showSerName val="0"/>
            <c:showPercent val="0"/>
            <c:showBubbleSize val="0"/>
            <c:showLeaderLines val="0"/>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ser>
        <c:dLbls>
          <c:showLegendKey val="0"/>
          <c:showVal val="1"/>
          <c:showCatName val="0"/>
          <c:showSerName val="0"/>
          <c:showPercent val="0"/>
          <c:showBubbleSize val="0"/>
        </c:dLbls>
        <c:gapWidth val="75"/>
        <c:axId val="143185024"/>
        <c:axId val="143855616"/>
      </c:barChart>
      <c:catAx>
        <c:axId val="143185024"/>
        <c:scaling>
          <c:orientation val="minMax"/>
        </c:scaling>
        <c:delete val="0"/>
        <c:axPos val="b"/>
        <c:majorTickMark val="none"/>
        <c:minorTickMark val="none"/>
        <c:tickLblPos val="nextTo"/>
        <c:txPr>
          <a:bodyPr/>
          <a:lstStyle/>
          <a:p>
            <a:pPr>
              <a:defRPr sz="800"/>
            </a:pPr>
            <a:endParaRPr lang="zh-CN"/>
          </a:p>
        </c:txPr>
        <c:crossAx val="143855616"/>
        <c:crosses val="autoZero"/>
        <c:auto val="1"/>
        <c:lblAlgn val="ctr"/>
        <c:lblOffset val="100"/>
        <c:noMultiLvlLbl val="0"/>
      </c:catAx>
      <c:valAx>
        <c:axId val="143855616"/>
        <c:scaling>
          <c:orientation val="minMax"/>
        </c:scaling>
        <c:delete val="0"/>
        <c:axPos val="l"/>
        <c:numFmt formatCode="0.00%" sourceLinked="1"/>
        <c:majorTickMark val="none"/>
        <c:minorTickMark val="none"/>
        <c:tickLblPos val="nextTo"/>
        <c:txPr>
          <a:bodyPr/>
          <a:lstStyle/>
          <a:p>
            <a:pPr>
              <a:defRPr sz="900"/>
            </a:pPr>
            <a:endParaRPr lang="zh-CN"/>
          </a:p>
        </c:txPr>
        <c:crossAx val="1431850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74F4A-A43E-4643-BA65-569C9749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34</Pages>
  <Words>3373</Words>
  <Characters>19228</Characters>
  <Application>Microsoft Office Word</Application>
  <DocSecurity>0</DocSecurity>
  <Lines>160</Lines>
  <Paragraphs>45</Paragraphs>
  <ScaleCrop>false</ScaleCrop>
  <Company>中国华融资产管理公司</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KG</cp:lastModifiedBy>
  <cp:revision>40</cp:revision>
  <cp:lastPrinted>2019-09-23T05:44:00Z</cp:lastPrinted>
  <dcterms:created xsi:type="dcterms:W3CDTF">2018-11-27T08:08:00Z</dcterms:created>
  <dcterms:modified xsi:type="dcterms:W3CDTF">2020-05-28T01:53:00Z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