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20397F0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0294</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8464E8">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8464E8">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8464E8">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8464E8">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8464E8">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8464E8">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8464E8">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8464E8">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8464E8">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8464E8">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8464E8">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8464E8">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76974F"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432</w:t>
            </w:r>
            <w:r w:rsidR="00A2470D" w:rsidRPr="00A2470D">
              <w:rPr>
                <w:rFonts w:ascii="仿宋_GB2312" w:eastAsia="仿宋_GB2312" w:hAnsi="宋体" w:hint="eastAsia"/>
                <w:bCs/>
                <w:snapToGrid w:val="0"/>
                <w:kern w:val="0"/>
                <w:sz w:val="24"/>
                <w:szCs w:val="24"/>
              </w:rPr>
              <w:t>5</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证》[京丰国有（2012出）第00123号]及《房屋所有权证》[X京房权证丰字第478807号]对估价对象的坐落描述不一致。根据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京房权证丰字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22243EEE"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w:t>
            </w:r>
            <w:r w:rsidR="00270585">
              <w:rPr>
                <w:rFonts w:ascii="仿宋_GB2312" w:eastAsia="仿宋_GB2312" w:hAnsi="Arial" w:cs="Arial" w:hint="eastAsia"/>
                <w:sz w:val="24"/>
                <w:szCs w:val="24"/>
              </w:rPr>
              <w:t>估价对象</w:t>
            </w:r>
            <w:r w:rsidRPr="00635359">
              <w:rPr>
                <w:rFonts w:ascii="仿宋_GB2312" w:eastAsia="仿宋_GB2312" w:hAnsi="Arial" w:cs="Arial" w:hint="eastAsia"/>
                <w:sz w:val="24"/>
                <w:szCs w:val="24"/>
              </w:rPr>
              <w:t>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638EFD1C" w:rsidR="00635359" w:rsidRPr="00EE20E8" w:rsidRDefault="00635359"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w:t>
            </w:r>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、《房屋所有权证》[X京房权证丰字第478807号]、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8464E8"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8464E8"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9"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254243" w:rsidRPr="009626F8"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9626F8" w:rsidRDefault="00254243" w:rsidP="009626F8">
            <w:pPr>
              <w:widowControl/>
              <w:jc w:val="center"/>
              <w:rPr>
                <w:rFonts w:ascii="仿宋_GB2312" w:eastAsia="仿宋_GB2312" w:hAnsi="Arial" w:cs="Arial"/>
                <w:sz w:val="24"/>
                <w:szCs w:val="24"/>
              </w:rPr>
            </w:pPr>
          </w:p>
        </w:tc>
        <w:tc>
          <w:tcPr>
            <w:tcW w:w="2134" w:type="dxa"/>
            <w:vAlign w:val="center"/>
          </w:tcPr>
          <w:p w14:paraId="2688A2D8" w14:textId="23ACEE72" w:rsidR="00254243" w:rsidRPr="009626F8" w:rsidRDefault="00254243" w:rsidP="00254243">
            <w:pPr>
              <w:jc w:val="center"/>
              <w:rPr>
                <w:rFonts w:ascii="仿宋_GB2312" w:eastAsia="仿宋_GB2312" w:hAnsi="Arial"/>
                <w:sz w:val="24"/>
                <w:szCs w:val="24"/>
              </w:rPr>
            </w:pPr>
            <w:r>
              <w:rPr>
                <w:rFonts w:ascii="仿宋_GB2312" w:eastAsia="仿宋_GB2312" w:hAnsi="Arial" w:cs="Arial" w:hint="eastAsia"/>
                <w:sz w:val="24"/>
                <w:szCs w:val="24"/>
              </w:rPr>
              <w:t>园博府</w:t>
            </w:r>
          </w:p>
        </w:tc>
        <w:tc>
          <w:tcPr>
            <w:tcW w:w="731" w:type="dxa"/>
            <w:vAlign w:val="center"/>
          </w:tcPr>
          <w:p w14:paraId="62DBF5E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2510899"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中海九号</w:t>
            </w:r>
          </w:p>
        </w:tc>
        <w:tc>
          <w:tcPr>
            <w:tcW w:w="761" w:type="dxa"/>
            <w:vAlign w:val="center"/>
          </w:tcPr>
          <w:p w14:paraId="5FD57B57"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6DD83155"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新发地</w:t>
            </w:r>
          </w:p>
        </w:tc>
        <w:tc>
          <w:tcPr>
            <w:tcW w:w="790" w:type="dxa"/>
            <w:vAlign w:val="center"/>
          </w:tcPr>
          <w:p w14:paraId="6A9E315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F773866"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花乡奥莱村</w:t>
            </w:r>
          </w:p>
        </w:tc>
        <w:tc>
          <w:tcPr>
            <w:tcW w:w="679" w:type="dxa"/>
            <w:vAlign w:val="center"/>
          </w:tcPr>
          <w:p w14:paraId="6183876B"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F9F2A3F" w:rsidR="009577A4" w:rsidRPr="009626F8" w:rsidRDefault="00254243" w:rsidP="00B45102">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382D33D2" w:rsidR="009577A4" w:rsidRPr="009626F8" w:rsidRDefault="00254243" w:rsidP="0016608E">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3D5E56F5"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77D8DDB9"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1BEEC658"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B2F7BF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5BD943"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6BE5574"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44E14F8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1B1A1A3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7AB9032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72E863D0"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5FA2A48F"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7776BEE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023F964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32824624"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64806C67"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6593F6CE"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787022A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1E5DF56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c>
          <w:tcPr>
            <w:tcW w:w="2074" w:type="dxa"/>
            <w:vAlign w:val="center"/>
          </w:tcPr>
          <w:p w14:paraId="3713E199" w14:textId="159D137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40096F5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479FB14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写字楼商业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085F1A90"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29A4ECC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187" w:type="dxa"/>
            <w:vAlign w:val="center"/>
          </w:tcPr>
          <w:p w14:paraId="07863B88" w14:textId="51738DF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住宅底商</w:t>
            </w:r>
          </w:p>
        </w:tc>
        <w:tc>
          <w:tcPr>
            <w:tcW w:w="679" w:type="dxa"/>
            <w:vAlign w:val="center"/>
          </w:tcPr>
          <w:p w14:paraId="43A67293" w14:textId="48BE0A8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11D01F0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292.34</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3BEDE281"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761" w:type="dxa"/>
            <w:vAlign w:val="center"/>
          </w:tcPr>
          <w:p w14:paraId="09D54C24" w14:textId="53C3A59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56D6A4F8" w14:textId="0965CD93"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1458.82</w:t>
            </w:r>
          </w:p>
        </w:tc>
        <w:tc>
          <w:tcPr>
            <w:tcW w:w="790" w:type="dxa"/>
            <w:vAlign w:val="center"/>
          </w:tcPr>
          <w:p w14:paraId="03839829" w14:textId="1FCE700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6A711D1B" w14:textId="2DCE812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679" w:type="dxa"/>
            <w:vAlign w:val="center"/>
          </w:tcPr>
          <w:p w14:paraId="10768834" w14:textId="34556F3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11C1E3D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31" w:type="dxa"/>
            <w:vAlign w:val="center"/>
          </w:tcPr>
          <w:p w14:paraId="01210F9D" w14:textId="564FAFD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5C2CE87"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5FBAC6A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458767D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C52D13">
        <w:trPr>
          <w:jc w:val="center"/>
        </w:trPr>
        <w:tc>
          <w:tcPr>
            <w:tcW w:w="972"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C52D13">
        <w:trPr>
          <w:jc w:val="center"/>
        </w:trPr>
        <w:tc>
          <w:tcPr>
            <w:tcW w:w="972"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C52D13">
        <w:trPr>
          <w:jc w:val="center"/>
        </w:trPr>
        <w:tc>
          <w:tcPr>
            <w:tcW w:w="972"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793C0443" w14:textId="77777777" w:rsidTr="00C52D13">
        <w:trPr>
          <w:jc w:val="center"/>
        </w:trPr>
        <w:tc>
          <w:tcPr>
            <w:tcW w:w="972"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C52D13">
        <w:trPr>
          <w:jc w:val="center"/>
        </w:trPr>
        <w:tc>
          <w:tcPr>
            <w:tcW w:w="972"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C52D13">
        <w:trPr>
          <w:jc w:val="center"/>
        </w:trPr>
        <w:tc>
          <w:tcPr>
            <w:tcW w:w="972"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C52D13">
        <w:trPr>
          <w:jc w:val="center"/>
        </w:trPr>
        <w:tc>
          <w:tcPr>
            <w:tcW w:w="972"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2B6AA82" w14:textId="77777777" w:rsidTr="00C52D13">
        <w:trPr>
          <w:jc w:val="center"/>
        </w:trPr>
        <w:tc>
          <w:tcPr>
            <w:tcW w:w="972"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12397F66"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1E1214F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75961BCF" w14:textId="77777777" w:rsidTr="00C52D13">
        <w:trPr>
          <w:jc w:val="center"/>
        </w:trPr>
        <w:tc>
          <w:tcPr>
            <w:tcW w:w="972"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067114D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43D8459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79FB7C24" w14:textId="77777777" w:rsidTr="00C52D13">
        <w:trPr>
          <w:jc w:val="center"/>
        </w:trPr>
        <w:tc>
          <w:tcPr>
            <w:tcW w:w="972"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C52D13">
        <w:trPr>
          <w:jc w:val="center"/>
        </w:trPr>
        <w:tc>
          <w:tcPr>
            <w:tcW w:w="972"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C52D13">
        <w:trPr>
          <w:jc w:val="center"/>
        </w:trPr>
        <w:tc>
          <w:tcPr>
            <w:tcW w:w="972"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AE2D950" w14:textId="77777777" w:rsidTr="00C52D13">
        <w:trPr>
          <w:jc w:val="center"/>
        </w:trPr>
        <w:tc>
          <w:tcPr>
            <w:tcW w:w="972"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796D3E2A"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EF79310"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94</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0A2A28C7"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737A9F76" w14:textId="77777777" w:rsidTr="00C52D13">
        <w:trPr>
          <w:jc w:val="center"/>
        </w:trPr>
        <w:tc>
          <w:tcPr>
            <w:tcW w:w="972"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C52D13">
        <w:trPr>
          <w:jc w:val="center"/>
        </w:trPr>
        <w:tc>
          <w:tcPr>
            <w:tcW w:w="972"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095FAF54"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35300</w:t>
            </w:r>
          </w:p>
        </w:tc>
        <w:tc>
          <w:tcPr>
            <w:tcW w:w="1984" w:type="dxa"/>
            <w:gridSpan w:val="2"/>
            <w:noWrap/>
            <w:tcMar>
              <w:left w:w="85" w:type="dxa"/>
              <w:right w:w="85" w:type="dxa"/>
            </w:tcMar>
            <w:vAlign w:val="center"/>
          </w:tcPr>
          <w:p w14:paraId="3B3827F5" w14:textId="1325722D"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34300</w:t>
            </w:r>
          </w:p>
        </w:tc>
        <w:tc>
          <w:tcPr>
            <w:tcW w:w="2286" w:type="dxa"/>
            <w:gridSpan w:val="2"/>
            <w:noWrap/>
            <w:tcMar>
              <w:left w:w="85" w:type="dxa"/>
              <w:right w:w="85" w:type="dxa"/>
            </w:tcMar>
            <w:vAlign w:val="center"/>
          </w:tcPr>
          <w:p w14:paraId="7461A3DD" w14:textId="79C08ACA"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42000</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320999D9"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31169</w:t>
            </w:r>
          </w:p>
        </w:tc>
        <w:tc>
          <w:tcPr>
            <w:tcW w:w="1984" w:type="dxa"/>
            <w:gridSpan w:val="2"/>
            <w:noWrap/>
            <w:tcMar>
              <w:left w:w="85" w:type="dxa"/>
              <w:right w:w="85" w:type="dxa"/>
            </w:tcMar>
            <w:vAlign w:val="center"/>
          </w:tcPr>
          <w:p w14:paraId="31322FBF" w14:textId="7D7168E3"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36504</w:t>
            </w:r>
          </w:p>
        </w:tc>
        <w:tc>
          <w:tcPr>
            <w:tcW w:w="2286" w:type="dxa"/>
            <w:gridSpan w:val="2"/>
            <w:noWrap/>
            <w:tcMar>
              <w:left w:w="85" w:type="dxa"/>
              <w:right w:w="85" w:type="dxa"/>
            </w:tcMar>
            <w:vAlign w:val="center"/>
          </w:tcPr>
          <w:p w14:paraId="6D5E7A51" w14:textId="71DA26EC"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lastRenderedPageBreak/>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lastRenderedPageBreak/>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437DEC2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截至价值时点，估价对象剩余租赁期为5年。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1ECA6CAE" w14:textId="7E913C02"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30.8年。估价对象为钢混结构，经济耐用年限为60年。根据《房地产估价规范》，土地使用权剩余期限和建筑物剩余经济寿命结束时间不同时，应选取其中较短者为收益期。本次评估估价对象收益年限按剩余土地使用年限30.8年。截至价值时点，估价对象剩余租赁期为5年</w:t>
      </w:r>
      <w:r>
        <w:rPr>
          <w:rFonts w:ascii="仿宋_GB2312" w:eastAsia="仿宋_GB2312" w:hAnsi="Arial" w:hint="eastAsia"/>
          <w:sz w:val="18"/>
        </w:rPr>
        <w:t>，剩余收益年期25.8年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lastRenderedPageBreak/>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6FB02958"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sidR="00C75D03">
        <w:rPr>
          <w:rFonts w:ascii="仿宋_GB2312" w:eastAsia="仿宋_GB2312" w:hAnsi="Arial" w:cs="Arial" w:hint="eastAsia"/>
          <w:color w:val="000000"/>
          <w:sz w:val="28"/>
          <w:szCs w:val="28"/>
        </w:rPr>
        <w:t>估价对象为收益型物业，</w:t>
      </w:r>
      <w:r w:rsidR="004E7929">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计算在参数选取较</w:t>
      </w:r>
      <w:r w:rsidR="004E7929">
        <w:rPr>
          <w:rFonts w:ascii="仿宋_GB2312" w:eastAsia="仿宋_GB2312" w:hAnsi="Arial" w:cs="Arial" w:hint="eastAsia"/>
          <w:color w:val="000000"/>
          <w:sz w:val="28"/>
          <w:szCs w:val="28"/>
        </w:rPr>
        <w:t>比较法</w:t>
      </w:r>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bookmarkStart w:id="13" w:name="_GoBack"/>
      <w:bookmarkEnd w:id="13"/>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17FE9331" w14:textId="7F911467"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r w:rsidR="003753F0"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56000" w14:textId="77777777" w:rsidR="00A40FDC" w:rsidRDefault="00A40FDC">
      <w:r>
        <w:separator/>
      </w:r>
    </w:p>
  </w:endnote>
  <w:endnote w:type="continuationSeparator" w:id="0">
    <w:p w14:paraId="275792CF" w14:textId="77777777" w:rsidR="00A40FDC" w:rsidRDefault="00A4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8464E8" w:rsidRPr="003E2EC4" w:rsidRDefault="008464E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0E048B">
      <w:rPr>
        <w:rFonts w:ascii="楷体_GB2312" w:eastAsia="楷体_GB2312"/>
        <w:b/>
        <w:bCs/>
        <w:noProof/>
      </w:rPr>
      <w:t>32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0E048B">
      <w:rPr>
        <w:rFonts w:ascii="楷体_GB2312" w:eastAsia="楷体_GB2312"/>
        <w:b/>
        <w:bCs/>
        <w:noProof/>
      </w:rPr>
      <w:t>35</w:t>
    </w:r>
    <w:r w:rsidRPr="003E2EC4">
      <w:rPr>
        <w:rFonts w:ascii="楷体_GB2312" w:eastAsia="楷体_GB2312" w:hint="eastAsia"/>
        <w:b/>
        <w:bCs/>
      </w:rPr>
      <w:fldChar w:fldCharType="end"/>
    </w:r>
  </w:p>
  <w:p w14:paraId="5AF01607" w14:textId="77777777" w:rsidR="008464E8" w:rsidRDefault="008464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937E" w14:textId="77777777" w:rsidR="00A40FDC" w:rsidRDefault="00A40FDC">
      <w:r>
        <w:separator/>
      </w:r>
    </w:p>
  </w:footnote>
  <w:footnote w:type="continuationSeparator" w:id="0">
    <w:p w14:paraId="0FD3D1C0" w14:textId="77777777" w:rsidR="00A40FDC" w:rsidRDefault="00A40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8464E8" w:rsidRDefault="008464E8">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8464E8" w:rsidRPr="00040148" w:rsidRDefault="008464E8"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0E048B"/>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70585"/>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A08CB"/>
    <w:rsid w:val="005B0EB6"/>
    <w:rsid w:val="005B3D9F"/>
    <w:rsid w:val="005D7D6C"/>
    <w:rsid w:val="005E3256"/>
    <w:rsid w:val="005F09B9"/>
    <w:rsid w:val="005F70FB"/>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0FDC"/>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82637952"/>
        <c:axId val="83686144"/>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83700352"/>
        <c:axId val="83697664"/>
      </c:lineChart>
      <c:catAx>
        <c:axId val="82637952"/>
        <c:scaling>
          <c:orientation val="minMax"/>
        </c:scaling>
        <c:delete val="0"/>
        <c:axPos val="b"/>
        <c:numFmt formatCode="General" sourceLinked="0"/>
        <c:majorTickMark val="out"/>
        <c:minorTickMark val="none"/>
        <c:tickLblPos val="nextTo"/>
        <c:txPr>
          <a:bodyPr/>
          <a:lstStyle/>
          <a:p>
            <a:pPr>
              <a:defRPr sz="800"/>
            </a:pPr>
            <a:endParaRPr lang="zh-CN"/>
          </a:p>
        </c:txPr>
        <c:crossAx val="83686144"/>
        <c:crosses val="autoZero"/>
        <c:auto val="1"/>
        <c:lblAlgn val="ctr"/>
        <c:lblOffset val="100"/>
        <c:noMultiLvlLbl val="0"/>
      </c:catAx>
      <c:valAx>
        <c:axId val="8368614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82637952"/>
        <c:crosses val="autoZero"/>
        <c:crossBetween val="between"/>
      </c:valAx>
      <c:valAx>
        <c:axId val="83697664"/>
        <c:scaling>
          <c:orientation val="minMax"/>
        </c:scaling>
        <c:delete val="0"/>
        <c:axPos val="r"/>
        <c:numFmt formatCode="General" sourceLinked="1"/>
        <c:majorTickMark val="out"/>
        <c:minorTickMark val="none"/>
        <c:tickLblPos val="nextTo"/>
        <c:txPr>
          <a:bodyPr/>
          <a:lstStyle/>
          <a:p>
            <a:pPr>
              <a:defRPr sz="800"/>
            </a:pPr>
            <a:endParaRPr lang="zh-CN"/>
          </a:p>
        </c:txPr>
        <c:crossAx val="83700352"/>
        <c:crosses val="max"/>
        <c:crossBetween val="between"/>
      </c:valAx>
      <c:catAx>
        <c:axId val="83700352"/>
        <c:scaling>
          <c:orientation val="minMax"/>
        </c:scaling>
        <c:delete val="1"/>
        <c:axPos val="b"/>
        <c:numFmt formatCode="General" sourceLinked="1"/>
        <c:majorTickMark val="out"/>
        <c:minorTickMark val="none"/>
        <c:tickLblPos val="nextTo"/>
        <c:crossAx val="83697664"/>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157573504"/>
        <c:axId val="157916544"/>
      </c:barChart>
      <c:catAx>
        <c:axId val="157573504"/>
        <c:scaling>
          <c:orientation val="minMax"/>
        </c:scaling>
        <c:delete val="0"/>
        <c:axPos val="b"/>
        <c:numFmt formatCode="General" sourceLinked="0"/>
        <c:majorTickMark val="none"/>
        <c:minorTickMark val="none"/>
        <c:tickLblPos val="nextTo"/>
        <c:txPr>
          <a:bodyPr/>
          <a:lstStyle/>
          <a:p>
            <a:pPr>
              <a:defRPr sz="800"/>
            </a:pPr>
            <a:endParaRPr lang="zh-CN"/>
          </a:p>
        </c:txPr>
        <c:crossAx val="157916544"/>
        <c:crosses val="autoZero"/>
        <c:auto val="1"/>
        <c:lblAlgn val="ctr"/>
        <c:lblOffset val="100"/>
        <c:noMultiLvlLbl val="0"/>
      </c:catAx>
      <c:valAx>
        <c:axId val="157916544"/>
        <c:scaling>
          <c:orientation val="minMax"/>
        </c:scaling>
        <c:delete val="0"/>
        <c:axPos val="l"/>
        <c:numFmt formatCode="0.00%" sourceLinked="1"/>
        <c:majorTickMark val="none"/>
        <c:minorTickMark val="none"/>
        <c:tickLblPos val="nextTo"/>
        <c:txPr>
          <a:bodyPr/>
          <a:lstStyle/>
          <a:p>
            <a:pPr>
              <a:defRPr sz="900"/>
            </a:pPr>
            <a:endParaRPr lang="zh-CN"/>
          </a:p>
        </c:txPr>
        <c:crossAx val="15757350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44561920"/>
        <c:axId val="44563456"/>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44640512"/>
        <c:axId val="44638976"/>
      </c:lineChart>
      <c:catAx>
        <c:axId val="44561920"/>
        <c:scaling>
          <c:orientation val="minMax"/>
        </c:scaling>
        <c:delete val="0"/>
        <c:axPos val="b"/>
        <c:numFmt formatCode="General" sourceLinked="0"/>
        <c:majorTickMark val="out"/>
        <c:minorTickMark val="none"/>
        <c:tickLblPos val="nextTo"/>
        <c:txPr>
          <a:bodyPr/>
          <a:lstStyle/>
          <a:p>
            <a:pPr>
              <a:defRPr sz="800"/>
            </a:pPr>
            <a:endParaRPr lang="zh-CN"/>
          </a:p>
        </c:txPr>
        <c:crossAx val="44563456"/>
        <c:crosses val="autoZero"/>
        <c:auto val="1"/>
        <c:lblAlgn val="ctr"/>
        <c:lblOffset val="100"/>
        <c:noMultiLvlLbl val="0"/>
      </c:catAx>
      <c:valAx>
        <c:axId val="4456345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4561920"/>
        <c:crosses val="autoZero"/>
        <c:crossBetween val="between"/>
      </c:valAx>
      <c:valAx>
        <c:axId val="44638976"/>
        <c:scaling>
          <c:orientation val="minMax"/>
        </c:scaling>
        <c:delete val="0"/>
        <c:axPos val="r"/>
        <c:numFmt formatCode="General" sourceLinked="1"/>
        <c:majorTickMark val="out"/>
        <c:minorTickMark val="none"/>
        <c:tickLblPos val="nextTo"/>
        <c:txPr>
          <a:bodyPr/>
          <a:lstStyle/>
          <a:p>
            <a:pPr>
              <a:defRPr sz="800"/>
            </a:pPr>
            <a:endParaRPr lang="zh-CN"/>
          </a:p>
        </c:txPr>
        <c:crossAx val="44640512"/>
        <c:crosses val="max"/>
        <c:crossBetween val="between"/>
      </c:valAx>
      <c:catAx>
        <c:axId val="44640512"/>
        <c:scaling>
          <c:orientation val="minMax"/>
        </c:scaling>
        <c:delete val="1"/>
        <c:axPos val="b"/>
        <c:numFmt formatCode="General" sourceLinked="1"/>
        <c:majorTickMark val="out"/>
        <c:minorTickMark val="none"/>
        <c:tickLblPos val="nextTo"/>
        <c:crossAx val="44638976"/>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44669184"/>
        <c:axId val="82579840"/>
      </c:barChart>
      <c:catAx>
        <c:axId val="44669184"/>
        <c:scaling>
          <c:orientation val="minMax"/>
        </c:scaling>
        <c:delete val="0"/>
        <c:axPos val="b"/>
        <c:numFmt formatCode="General" sourceLinked="0"/>
        <c:majorTickMark val="none"/>
        <c:minorTickMark val="none"/>
        <c:tickLblPos val="nextTo"/>
        <c:txPr>
          <a:bodyPr/>
          <a:lstStyle/>
          <a:p>
            <a:pPr>
              <a:defRPr sz="800"/>
            </a:pPr>
            <a:endParaRPr lang="zh-CN"/>
          </a:p>
        </c:txPr>
        <c:crossAx val="82579840"/>
        <c:crosses val="autoZero"/>
        <c:auto val="1"/>
        <c:lblAlgn val="ctr"/>
        <c:lblOffset val="100"/>
        <c:noMultiLvlLbl val="0"/>
      </c:catAx>
      <c:valAx>
        <c:axId val="82579840"/>
        <c:scaling>
          <c:orientation val="minMax"/>
        </c:scaling>
        <c:delete val="0"/>
        <c:axPos val="l"/>
        <c:numFmt formatCode="0.00%" sourceLinked="1"/>
        <c:majorTickMark val="none"/>
        <c:minorTickMark val="none"/>
        <c:tickLblPos val="nextTo"/>
        <c:txPr>
          <a:bodyPr/>
          <a:lstStyle/>
          <a:p>
            <a:pPr>
              <a:defRPr sz="900"/>
            </a:pPr>
            <a:endParaRPr lang="zh-CN"/>
          </a:p>
        </c:txPr>
        <c:crossAx val="4466918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87556-7707-485B-8B24-935EF984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35</Pages>
  <Words>3431</Words>
  <Characters>19562</Characters>
  <Application>Microsoft Office Word</Application>
  <DocSecurity>0</DocSecurity>
  <Lines>163</Lines>
  <Paragraphs>45</Paragraphs>
  <ScaleCrop>false</ScaleCrop>
  <Company>中国华融资产管理公司</Company>
  <LinksUpToDate>false</LinksUpToDate>
  <CharactersWithSpaces>22948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3</cp:revision>
  <cp:lastPrinted>2019-09-23T05:44:00Z</cp:lastPrinted>
  <dcterms:created xsi:type="dcterms:W3CDTF">2020-06-11T23:12:00Z</dcterms:created>
  <dcterms:modified xsi:type="dcterms:W3CDTF">2020-06-12T07:59:00Z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