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1328"/>
        <w:gridCol w:w="1739"/>
        <w:gridCol w:w="503"/>
        <w:gridCol w:w="1284"/>
        <w:gridCol w:w="503"/>
        <w:gridCol w:w="1269"/>
        <w:gridCol w:w="503"/>
        <w:gridCol w:w="1279"/>
        <w:gridCol w:w="537"/>
      </w:tblGrid>
      <w:tr w:rsidR="00ED1AA0" w:rsidRPr="00ED1AA0" w14:paraId="71FAA1C5" w14:textId="77777777" w:rsidTr="00ED1AA0">
        <w:trPr>
          <w:cantSplit/>
          <w:trHeight w:val="683"/>
          <w:tblHeader/>
          <w:jc w:val="center"/>
        </w:trPr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7B650BC" w14:textId="77777777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估价对象及可比实例</w:t>
            </w:r>
          </w:p>
          <w:p w14:paraId="28442B58" w14:textId="77777777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比较因素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89F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42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F7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C1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CA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实例B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32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4D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实例C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B2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</w:tr>
      <w:tr w:rsidR="00ED1AA0" w:rsidRPr="00ED1AA0" w14:paraId="48D74835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FC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67C" w14:textId="3B4A948E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天使大厦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EC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362" w14:textId="7D52C056" w:rsidR="00ED1AA0" w:rsidRPr="00ED1AA0" w:rsidRDefault="004747CF" w:rsidP="004747CF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西海国际中心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DB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848" w14:textId="08CABFEC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启迪科技大厦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19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4D6" w14:textId="19FC4680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理想国际大厦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19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</w:tr>
      <w:tr w:rsidR="00ED1AA0" w:rsidRPr="00ED1AA0" w14:paraId="37955F97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B8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交易时间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8F0" w14:textId="5B474CB3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月1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7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97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E1E" w14:textId="5E52FD0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51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68F" w14:textId="15BF39F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1A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7F1" w14:textId="28A30F98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9C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39641766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FD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9F4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1E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A7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1A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814D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96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73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0D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72C4F95" w14:textId="77777777" w:rsidTr="00ED1AA0">
        <w:trPr>
          <w:cantSplit/>
          <w:trHeight w:val="51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C7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权益</w:t>
            </w:r>
          </w:p>
          <w:p w14:paraId="3ECDEE5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AC0" w14:textId="77777777" w:rsidR="00ED1AA0" w:rsidRPr="00ED1AA0" w:rsidRDefault="00ED1AA0" w:rsidP="00ED1AA0">
            <w:pPr>
              <w:spacing w:line="240" w:lineRule="auto"/>
              <w:jc w:val="center"/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用途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539" w14:textId="3A1D6AD9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DB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6A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A9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6E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D28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454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21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3AFB939E" w14:textId="77777777" w:rsidTr="00ED1AA0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5EA8F" w14:textId="77777777" w:rsidR="004747CF" w:rsidRPr="00ED1AA0" w:rsidRDefault="004747CF" w:rsidP="004747CF">
            <w:pPr>
              <w:widowControl/>
              <w:adjustRightInd/>
              <w:spacing w:line="240" w:lineRule="auto"/>
              <w:ind w:left="113" w:right="113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区位状况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B36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商业繁华度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3999" w14:textId="2523B5D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A6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065" w14:textId="2E1F418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EB2" w14:textId="2071105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42F" w14:textId="0C81F06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9AB" w14:textId="078E30A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9C" w14:textId="74ABAD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232" w14:textId="7356426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D445A95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ADD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1A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交通便捷度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6B1" w14:textId="2AD1A29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1A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DE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CB1" w14:textId="75E9D82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541" w14:textId="3694AA0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5E0" w14:textId="7065365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BE3" w14:textId="06DE7F6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F11" w14:textId="2C24B50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7886B12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63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40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公用服务设施完善度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38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C4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3C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ED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44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55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09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C3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807D06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78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36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基础设施水平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CB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02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48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E8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9D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C9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85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20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13D2C91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BD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2ED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自然及人文环境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D8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A2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E1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27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26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80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42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D8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04D1985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F6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FE3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道路级别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8C2" w14:textId="7A66E79E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次干道-彩和坊路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D9C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90F" w14:textId="5B1C3943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主干道-万泉河路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7EA" w14:textId="5C217C33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253" w14:textId="78797CC8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主干道-中关村东路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D96" w14:textId="786D9D00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865" w14:textId="3902D46F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快速路-北四环西路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74F" w14:textId="59D6D814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0E3471E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B24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32E" w14:textId="1C01CA06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平面位置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E34" w14:textId="797B8C0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8091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84C" w14:textId="039078A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一般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BB7C" w14:textId="31697E1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FA7" w14:textId="3DDA8F9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77B6" w14:textId="770CB57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3E1" w14:textId="1D009AE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282" w14:textId="3F04B4B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2228CD1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F2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1BC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楼层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1FA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500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164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4DA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BD9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6B4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D2E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D16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652BEB4F" w14:textId="77777777" w:rsidTr="00ED1AA0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513ECE" w14:textId="77777777" w:rsidR="004747CF" w:rsidRPr="00ED1AA0" w:rsidRDefault="004747CF" w:rsidP="004747CF">
            <w:pPr>
              <w:spacing w:line="240" w:lineRule="auto"/>
              <w:ind w:left="113" w:right="113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实物状况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2EF0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建筑类型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FAE" w14:textId="25FB0FFD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EAB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267" w14:textId="0CDEC51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972" w14:textId="442C1CC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4D0" w14:textId="2C705B3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16B4" w14:textId="312CB6F4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ABF" w14:textId="3795C765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5AE" w14:textId="4BE4CD5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330DCE4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38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4B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建筑面积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（㎡）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DBE" w14:textId="7F7794CF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559.47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A9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57C" w14:textId="2AC45DC7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616.13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2EF" w14:textId="769E428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6BC" w14:textId="670A4DF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492.44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EB5" w14:textId="2D6B0DA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95F" w14:textId="74061237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109.2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6A0" w14:textId="1A8E142A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106</w:t>
            </w:r>
          </w:p>
        </w:tc>
      </w:tr>
      <w:tr w:rsidR="00ED1AA0" w:rsidRPr="00ED1AA0" w14:paraId="7567DD21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8B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7E2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建筑结构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37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15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C2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BD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66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E7D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26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39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AB876F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37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19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公共部分装修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D3C0" w14:textId="6C881E4E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2F0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92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2C4" w14:textId="5158FEA3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4E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71C" w14:textId="5034B76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22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C7E" w14:textId="52B677C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ED1AA0" w:rsidRPr="00ED1AA0" w14:paraId="0AEDB81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4D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A72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市政基础设施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7D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E8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33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52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BF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1F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40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404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608D79A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92B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50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8A6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2DB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A6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A4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F53" w14:textId="5F560C1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5D99" w14:textId="3AECBA0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421" w14:textId="2C9786E0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61D" w14:textId="396C882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2A8D62CA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C8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23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内部装修维护情况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639" w14:textId="437A440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一般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A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A3F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468" w14:textId="6756A27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BB9A" w14:textId="5006EA8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320" w14:textId="5D28632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98" w14:textId="3908866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07B" w14:textId="5A0578A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ED1AA0" w:rsidRPr="00ED1AA0" w14:paraId="4F46627E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CA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成交单价（元/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71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—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200" w14:textId="6534722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FA6" w14:textId="2A3F9065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16.6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F3D" w14:textId="3401A474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21.39</w:t>
            </w:r>
          </w:p>
        </w:tc>
      </w:tr>
      <w:tr w:rsidR="00ED1AA0" w:rsidRPr="00ED1AA0" w14:paraId="2BD0B5DD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550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比较价值（元/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ABD" w14:textId="316467E4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b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sz w:val="16"/>
                <w:szCs w:val="16"/>
              </w:rPr>
              <w:t>16.8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F04" w14:textId="25625C5C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15.9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E1E" w14:textId="79E51B09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15.8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3DD" w14:textId="2DE1D470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18.6</w:t>
            </w:r>
          </w:p>
        </w:tc>
      </w:tr>
    </w:tbl>
    <w:p w14:paraId="53B0593B" w14:textId="77777777" w:rsidR="004747CF" w:rsidRDefault="004747CF">
      <w:pPr>
        <w:sectPr w:rsidR="004747CF" w:rsidSect="00ED1AA0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1328"/>
        <w:gridCol w:w="1739"/>
        <w:gridCol w:w="503"/>
        <w:gridCol w:w="1284"/>
        <w:gridCol w:w="503"/>
        <w:gridCol w:w="1269"/>
        <w:gridCol w:w="503"/>
        <w:gridCol w:w="1279"/>
        <w:gridCol w:w="537"/>
      </w:tblGrid>
      <w:tr w:rsidR="004747CF" w:rsidRPr="00ED1AA0" w14:paraId="48B168F2" w14:textId="77777777" w:rsidTr="00C3688D">
        <w:trPr>
          <w:cantSplit/>
          <w:trHeight w:val="683"/>
          <w:tblHeader/>
          <w:jc w:val="center"/>
        </w:trPr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F5C13C3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lastRenderedPageBreak/>
              <w:t>估价对象及可比实例</w:t>
            </w:r>
          </w:p>
          <w:p w14:paraId="7A6EE5D2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比较因素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2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F8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62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0D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12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实例B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88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6D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实例C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AC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</w:tr>
      <w:tr w:rsidR="004747CF" w:rsidRPr="00ED1AA0" w14:paraId="4F5C0335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34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30D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天使大厦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80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29AE" w14:textId="31206F93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中钢国际广场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52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4A3" w14:textId="755650F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互联网金融大厦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CE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AFA" w14:textId="58AF945E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泰鹏大厦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2D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</w:tr>
      <w:tr w:rsidR="004747CF" w:rsidRPr="00ED1AA0" w14:paraId="3D3D6D74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0D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交易时间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69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月1</w:t>
            </w:r>
            <w:r>
              <w:rPr>
                <w:rFonts w:ascii="华文细黑" w:eastAsia="华文细黑" w:hAnsi="华文细黑" w:cs="Arial" w:hint="eastAsia"/>
                <w:sz w:val="16"/>
              </w:rPr>
              <w:t>7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19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2A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60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02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654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6F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72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5118537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863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889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77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A2D" w14:textId="22F652A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AA68" w14:textId="170787B9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D80" w14:textId="1E5B64F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98C" w14:textId="5FA0708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5BB" w14:textId="7BFD284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08F" w14:textId="1094C15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0CD6DDD2" w14:textId="77777777" w:rsidTr="00C3688D">
        <w:trPr>
          <w:cantSplit/>
          <w:trHeight w:val="51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95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权益</w:t>
            </w:r>
          </w:p>
          <w:p w14:paraId="337AC84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9AF" w14:textId="77777777" w:rsidR="004747CF" w:rsidRPr="00ED1AA0" w:rsidRDefault="004747CF" w:rsidP="004747CF">
            <w:pPr>
              <w:spacing w:line="240" w:lineRule="auto"/>
              <w:jc w:val="center"/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用途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C28A" w14:textId="419FD51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92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2B6" w14:textId="3313A61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3E2" w14:textId="63CD0C5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101" w14:textId="5E398D5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BD47" w14:textId="7CAFEBD3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56F" w14:textId="344D798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897" w14:textId="0C2003F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2792A57" w14:textId="77777777" w:rsidTr="00C3688D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088986" w14:textId="77777777" w:rsidR="004747CF" w:rsidRPr="00ED1AA0" w:rsidRDefault="004747CF" w:rsidP="00C3688D">
            <w:pPr>
              <w:widowControl/>
              <w:adjustRightInd/>
              <w:spacing w:line="240" w:lineRule="auto"/>
              <w:ind w:left="113" w:right="113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区位状况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10E" w14:textId="4338DF6C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办公集聚程度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27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B9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7E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38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A2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95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96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BD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F9ED6E3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B4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C7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交通便捷度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9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41B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E9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07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65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82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03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1CA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735BD699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B9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39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公用服务设施完善度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DF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2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9F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C6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A5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B4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37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1C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74AC8070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01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3F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基础设施水平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2B9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8C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6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C0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9A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C0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82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19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2C7A36B9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D5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42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自然及人文环境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3F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75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55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9C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A7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0C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A8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5C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805AF23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97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817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道路级别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456" w14:textId="340F8F9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C5B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53A" w14:textId="3E384B7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790" w14:textId="3A578025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2D2" w14:textId="14314A3F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AE28" w14:textId="2EE73A1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364" w14:textId="013D52CB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B84" w14:textId="4DFA7684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4CDBF84" w14:textId="77777777" w:rsidTr="00B3190C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D4B582" w14:textId="77777777" w:rsidR="004747CF" w:rsidRPr="00ED1AA0" w:rsidRDefault="004747CF" w:rsidP="004747CF">
            <w:pPr>
              <w:spacing w:line="240" w:lineRule="auto"/>
              <w:ind w:left="113" w:right="113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实物状况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733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建筑类型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1122" w14:textId="7C35DEEE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综合商务楼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244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E65" w14:textId="1F83FB1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D8C" w14:textId="4F84B3E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14A" w14:textId="259A900C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06C" w14:textId="2A6325FE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AF3A" w14:textId="1CB24489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C31" w14:textId="44F0B73D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1AC3F451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EB0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DE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建筑面积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（㎡）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4DF" w14:textId="1308B775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2318.17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5E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E72" w14:textId="6065C11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2279.42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AE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509" w14:textId="38936BA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81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836" w14:textId="2EDFE84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2037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FC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106</w:t>
            </w:r>
          </w:p>
        </w:tc>
      </w:tr>
      <w:tr w:rsidR="004747CF" w:rsidRPr="00ED1AA0" w14:paraId="588AB679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0798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3E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建筑结构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53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67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1A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C8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60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2B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F5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EE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67E2813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140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2B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公共部分装修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07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CF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AD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711" w14:textId="009D8BB6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14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C10" w14:textId="05D1E051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F5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C8D" w14:textId="1E4F21A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</w:tr>
      <w:tr w:rsidR="004747CF" w:rsidRPr="00ED1AA0" w14:paraId="16647136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4C5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E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市政基础设施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65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0F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98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9E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891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DE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86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72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ADDA360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F05F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387E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44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5C4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5D8" w14:textId="32B3D11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50E8" w14:textId="539177B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4C8" w14:textId="5A0B979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A46" w14:textId="39B51944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5BD" w14:textId="06F850C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CAC" w14:textId="69C2D53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3EC8D17A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58E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37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内部装修维护情况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DB4" w14:textId="6AA8E12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D9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A0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8E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DD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1F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70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A9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643EBD41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C621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5D1" w14:textId="13E764D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使用率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6FF" w14:textId="633FC6B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85%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6D6" w14:textId="3277DDD3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D2F" w14:textId="0754561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BD1" w14:textId="39AB806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F4E" w14:textId="245F431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6AA" w14:textId="759DF371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B7F" w14:textId="47911C54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268" w14:textId="24F89A1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</w:tr>
      <w:tr w:rsidR="004747CF" w:rsidRPr="00ED1AA0" w14:paraId="651359A0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1AB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成交单价（元/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5A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—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C3B" w14:textId="6B1B169A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EA0" w14:textId="192BF9D4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6.65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CFF" w14:textId="15812BC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7</w:t>
            </w:r>
          </w:p>
        </w:tc>
      </w:tr>
      <w:tr w:rsidR="004747CF" w:rsidRPr="00ED1AA0" w14:paraId="20B47E13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AE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比较价值（元/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2D0" w14:textId="0842A93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b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sz w:val="16"/>
                <w:szCs w:val="16"/>
              </w:rPr>
              <w:t>6.8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247" w14:textId="0FF927F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6.9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6E" w14:textId="05C4E89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6.5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B3F" w14:textId="0956C9B6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6.9</w:t>
            </w:r>
          </w:p>
        </w:tc>
      </w:tr>
    </w:tbl>
    <w:p w14:paraId="6C18AA06" w14:textId="77777777" w:rsidR="00627B2A" w:rsidRDefault="00627B2A">
      <w:pPr>
        <w:rPr>
          <w:rFonts w:hint="eastAsia"/>
        </w:rPr>
      </w:pPr>
    </w:p>
    <w:sectPr w:rsidR="00627B2A" w:rsidSect="00ED1A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CD1E" w14:textId="77777777" w:rsidR="00724483" w:rsidRDefault="00724483" w:rsidP="00ED1AA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D6E280A" w14:textId="77777777" w:rsidR="00724483" w:rsidRDefault="00724483" w:rsidP="00ED1AA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82BD" w14:textId="77777777" w:rsidR="00724483" w:rsidRDefault="00724483" w:rsidP="00ED1AA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C856D87" w14:textId="77777777" w:rsidR="00724483" w:rsidRDefault="00724483" w:rsidP="00ED1AA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64"/>
    <w:rsid w:val="003F6664"/>
    <w:rsid w:val="00403341"/>
    <w:rsid w:val="004747CF"/>
    <w:rsid w:val="00627B2A"/>
    <w:rsid w:val="00724483"/>
    <w:rsid w:val="00BB048A"/>
    <w:rsid w:val="00E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3E14"/>
  <w15:chartTrackingRefBased/>
  <w15:docId w15:val="{1839776E-AAD5-4261-9BE0-20B660AF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AA0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6664"/>
    <w:pPr>
      <w:keepNext/>
      <w:keepLines/>
      <w:adjustRightInd/>
      <w:spacing w:before="480" w:after="80" w:line="240" w:lineRule="auto"/>
      <w:jc w:val="both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664"/>
    <w:pPr>
      <w:keepNext/>
      <w:keepLines/>
      <w:adjustRightInd/>
      <w:spacing w:before="160" w:after="80" w:line="240" w:lineRule="auto"/>
      <w:jc w:val="both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664"/>
    <w:pPr>
      <w:keepNext/>
      <w:keepLines/>
      <w:adjustRightInd/>
      <w:spacing w:before="160" w:after="80" w:line="240" w:lineRule="auto"/>
      <w:jc w:val="both"/>
      <w:textAlignment w:val="auto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664"/>
    <w:pPr>
      <w:keepNext/>
      <w:keepLines/>
      <w:adjustRightInd/>
      <w:spacing w:before="80" w:after="40" w:line="240" w:lineRule="auto"/>
      <w:jc w:val="both"/>
      <w:textAlignment w:val="auto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664"/>
    <w:pPr>
      <w:keepNext/>
      <w:keepLines/>
      <w:adjustRightInd/>
      <w:spacing w:before="80" w:after="40" w:line="240" w:lineRule="auto"/>
      <w:jc w:val="both"/>
      <w:textAlignment w:val="auto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664"/>
    <w:pPr>
      <w:keepNext/>
      <w:keepLines/>
      <w:adjustRightInd/>
      <w:spacing w:before="40" w:line="240" w:lineRule="auto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664"/>
    <w:pPr>
      <w:keepNext/>
      <w:keepLines/>
      <w:adjustRightInd/>
      <w:spacing w:before="40" w:line="240" w:lineRule="auto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664"/>
    <w:pPr>
      <w:keepNext/>
      <w:keepLines/>
      <w:adjustRightInd/>
      <w:spacing w:line="240" w:lineRule="auto"/>
      <w:jc w:val="both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664"/>
    <w:pPr>
      <w:keepNext/>
      <w:keepLines/>
      <w:adjustRightInd/>
      <w:spacing w:line="240" w:lineRule="auto"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6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6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66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66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666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664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664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664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F6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664"/>
    <w:pPr>
      <w:adjustRightInd/>
      <w:spacing w:line="240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3F666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6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F666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F666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1AA0"/>
    <w:pP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1A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1AA0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1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2025-09-18T08:40:00Z</dcterms:created>
  <dcterms:modified xsi:type="dcterms:W3CDTF">2025-09-18T08:57:00Z</dcterms:modified>
</cp:coreProperties>
</file>