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1B48" w14:textId="77777777"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14:paraId="770C626F" w14:textId="46D4045F"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0F2237" w:rsidRPr="000F2237">
        <w:rPr>
          <w:rFonts w:ascii="Arial" w:eastAsia="仿宋_GB2312" w:hAnsi="Arial" w:cs="Arial"/>
          <w:sz w:val="21"/>
          <w:szCs w:val="21"/>
        </w:rPr>
        <w:t>2024-1-0863-P0</w:t>
      </w:r>
      <w:r w:rsidR="00BA1AA8">
        <w:rPr>
          <w:rFonts w:ascii="Arial" w:eastAsia="仿宋_GB2312" w:hAnsi="Arial" w:cs="Arial" w:hint="eastAsia"/>
          <w:sz w:val="21"/>
          <w:szCs w:val="21"/>
        </w:rPr>
        <w:t>19</w:t>
      </w:r>
      <w:r w:rsidR="000F2237" w:rsidRPr="000F2237">
        <w:rPr>
          <w:rFonts w:ascii="Arial" w:eastAsia="仿宋_GB2312" w:hAnsi="Arial" w:cs="Arial"/>
          <w:sz w:val="21"/>
          <w:szCs w:val="21"/>
        </w:rPr>
        <w:t>CQGJ3</w:t>
      </w:r>
    </w:p>
    <w:p w14:paraId="31292EE4" w14:textId="3FD036F2"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BF1B1A">
        <w:rPr>
          <w:rFonts w:ascii="仿宋_GB2312" w:eastAsia="仿宋_GB2312" w:hint="eastAsia"/>
          <w:sz w:val="21"/>
          <w:szCs w:val="21"/>
        </w:rPr>
        <w:t>二四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0F2237">
        <w:rPr>
          <w:rFonts w:ascii="仿宋_GB2312" w:eastAsia="仿宋_GB2312" w:hAnsi="仿宋_GB2312" w:cs="仿宋_GB2312" w:hint="eastAsia"/>
          <w:sz w:val="21"/>
          <w:szCs w:val="21"/>
        </w:rPr>
        <w:t>九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</w:t>
      </w:r>
      <w:r w:rsidR="000F2237">
        <w:rPr>
          <w:rFonts w:ascii="仿宋_GB2312" w:eastAsia="仿宋_GB2312" w:hint="eastAsia"/>
          <w:sz w:val="21"/>
          <w:szCs w:val="21"/>
        </w:rPr>
        <w:t xml:space="preserve">   </w:t>
      </w:r>
      <w:r>
        <w:rPr>
          <w:rFonts w:ascii="仿宋_GB2312" w:eastAsia="仿宋_GB2312" w:hint="eastAsia"/>
          <w:sz w:val="21"/>
          <w:szCs w:val="21"/>
        </w:rPr>
        <w:t>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715"/>
        <w:gridCol w:w="1144"/>
        <w:gridCol w:w="1006"/>
        <w:gridCol w:w="598"/>
        <w:gridCol w:w="532"/>
        <w:gridCol w:w="600"/>
        <w:gridCol w:w="600"/>
        <w:gridCol w:w="600"/>
        <w:gridCol w:w="600"/>
        <w:gridCol w:w="1050"/>
        <w:gridCol w:w="901"/>
        <w:gridCol w:w="900"/>
        <w:gridCol w:w="901"/>
        <w:gridCol w:w="900"/>
        <w:gridCol w:w="901"/>
        <w:gridCol w:w="900"/>
        <w:gridCol w:w="901"/>
      </w:tblGrid>
      <w:tr w:rsidR="00762764" w14:paraId="1FED2E1E" w14:textId="2D52B331" w:rsidTr="00FE1525">
        <w:trPr>
          <w:cantSplit/>
          <w:trHeight w:val="1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054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5A4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739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CF6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6862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839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DA2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14:paraId="00FF0B0D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1DE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C891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C98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证载土地使用权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57F" w14:textId="1CF2923D" w:rsidR="00762764" w:rsidRDefault="00FE1525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国有土地</w:t>
            </w:r>
            <w:r w:rsidRPr="00F1195A">
              <w:rPr>
                <w:rFonts w:ascii="Arial" w:eastAsia="仿宋_GB2312" w:hAnsi="Arial" w:cs="Arial" w:hint="eastAsia"/>
                <w:sz w:val="18"/>
                <w:szCs w:val="18"/>
              </w:rPr>
              <w:t>面积（</w:t>
            </w:r>
            <w:r w:rsidRPr="00F1195A">
              <w:rPr>
                <w:rFonts w:ascii="Arial" w:eastAsia="仿宋_GB2312" w:hAnsi="Arial" w:cs="Arial" w:hint="eastAsia"/>
                <w:sz w:val="18"/>
                <w:szCs w:val="18"/>
              </w:rPr>
              <w:t>m</w:t>
            </w:r>
            <w:r w:rsidRPr="00F1195A">
              <w:rPr>
                <w:rFonts w:ascii="Arial" w:eastAsia="仿宋_GB2312" w:hAnsi="Arial" w:cs="Arial" w:hint="eastAsia"/>
                <w:sz w:val="18"/>
                <w:szCs w:val="18"/>
                <w:vertAlign w:val="superscript"/>
              </w:rPr>
              <w:t>2</w:t>
            </w:r>
            <w:r w:rsidRPr="00F1195A"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EE68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A62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9D5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</w:tr>
      <w:tr w:rsidR="00762764" w14:paraId="17EFDCC6" w14:textId="1F4FFA5A" w:rsidTr="00FE1525">
        <w:trPr>
          <w:cantSplit/>
          <w:trHeight w:val="92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14A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D27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93D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D9B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C1FC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FC0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BFF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F22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BAD1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7FF" w14:textId="77777777" w:rsidR="00762764" w:rsidRDefault="00762764" w:rsidP="00D97050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83D5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62F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0D0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04E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3A9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47F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768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E42" w14:textId="77777777" w:rsidR="00762764" w:rsidRDefault="00762764" w:rsidP="00D97050">
            <w:pPr>
              <w:widowControl/>
              <w:adjustRightInd/>
              <w:spacing w:line="240" w:lineRule="auto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FE1525" w14:paraId="7272D259" w14:textId="7EFCF92D" w:rsidTr="00FE1525">
        <w:trPr>
          <w:cantSplit/>
          <w:trHeight w:val="12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6C1" w14:textId="21691119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 w:rsidRPr="000F2237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D740" w14:textId="1C3FFF6D" w:rsidR="00FE1525" w:rsidRDefault="003655CE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 w:rsidRPr="003655CE">
              <w:rPr>
                <w:rFonts w:ascii="Arial" w:eastAsia="仿宋_GB2312" w:hAnsi="Arial" w:cs="Arial" w:hint="eastAsia"/>
                <w:sz w:val="18"/>
                <w:szCs w:val="18"/>
              </w:rPr>
              <w:t>容城发展集团有限公司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83A0" w14:textId="611DDE80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容城县容城镇北庄村</w:t>
            </w:r>
            <w:r w:rsidRPr="00E04E59">
              <w:rPr>
                <w:rFonts w:ascii="Arial" w:eastAsia="仿宋_GB2312" w:hAnsi="Arial" w:cs="Arial" w:hint="eastAsia"/>
                <w:sz w:val="18"/>
                <w:szCs w:val="18"/>
              </w:rPr>
              <w:t>征迁项目</w:t>
            </w:r>
            <w:r w:rsidRPr="007E68AB">
              <w:rPr>
                <w:rFonts w:ascii="Arial" w:eastAsia="仿宋_GB2312" w:hAnsi="Arial" w:cs="Arial" w:hint="eastAsia"/>
                <w:sz w:val="18"/>
                <w:szCs w:val="18"/>
              </w:rPr>
              <w:t>的一宗工业用地</w:t>
            </w:r>
            <w:r w:rsidR="00BA1AA8">
              <w:rPr>
                <w:rFonts w:ascii="Arial" w:eastAsia="仿宋_GB2312" w:hAnsi="Arial" w:cs="Arial" w:hint="eastAsia"/>
                <w:sz w:val="18"/>
                <w:szCs w:val="18"/>
              </w:rPr>
              <w:t>划拨</w:t>
            </w:r>
            <w:r w:rsidRPr="007E68AB">
              <w:rPr>
                <w:rFonts w:ascii="Arial" w:eastAsia="仿宋_GB2312" w:hAnsi="Arial" w:cs="Arial" w:hint="eastAsia"/>
                <w:sz w:val="18"/>
                <w:szCs w:val="18"/>
              </w:rPr>
              <w:t>国有建设用地使用权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4EA4" w14:textId="2D14ED8F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bookmarkStart w:id="0" w:name="_Hlk179882837"/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2014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0004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  <w:bookmarkEnd w:id="0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C84B" w14:textId="33A7CF92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公共设施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924" w14:textId="7777777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DC8" w14:textId="7777777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1DE" w14:textId="7777777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950A" w14:textId="7777777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FFC" w14:textId="7777777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7BC" w14:textId="3FE95EE3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六通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2230" w14:textId="0C4F0385" w:rsidR="00FE1525" w:rsidRDefault="00FE1525" w:rsidP="00FE1525">
            <w:pPr>
              <w:tabs>
                <w:tab w:val="left" w:pos="1383"/>
              </w:tabs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六通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14B93" w14:textId="0809EDFE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D32D4" w14:textId="4080ADF7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29931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9C32" w14:textId="7445F190" w:rsidR="00FE1525" w:rsidRDefault="00FE1525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29931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1850" w14:textId="5032386D" w:rsidR="00FE1525" w:rsidRDefault="0071562E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91</w:t>
            </w:r>
            <w:r w:rsidR="006A50C3">
              <w:rPr>
                <w:rFonts w:ascii="Arial" w:eastAsia="仿宋_GB2312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D6924" w14:textId="7113713D" w:rsidR="00FE1525" w:rsidRDefault="006A50C3" w:rsidP="00FE1525">
            <w:pPr>
              <w:snapToGrid w:val="0"/>
              <w:spacing w:line="240" w:lineRule="exact"/>
              <w:jc w:val="both"/>
              <w:rPr>
                <w:rFonts w:ascii="Arial" w:eastAsia="仿宋_GB2312" w:hAnsi="Arial" w:cs="Arial"/>
                <w:sz w:val="18"/>
                <w:szCs w:val="18"/>
              </w:rPr>
            </w:pPr>
            <w:r w:rsidRPr="006A50C3">
              <w:rPr>
                <w:rFonts w:ascii="Arial" w:eastAsia="仿宋_GB2312" w:hAnsi="Arial" w:cs="Arial"/>
                <w:sz w:val="18"/>
                <w:szCs w:val="18"/>
              </w:rPr>
              <w:t>27446727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6C5" w14:textId="2CB9D256" w:rsidR="00FE1525" w:rsidRDefault="006A50C3" w:rsidP="00FE1525">
            <w:pPr>
              <w:snapToGrid w:val="0"/>
              <w:spacing w:line="240" w:lineRule="exact"/>
              <w:jc w:val="both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61.13</w:t>
            </w:r>
          </w:p>
        </w:tc>
      </w:tr>
    </w:tbl>
    <w:p w14:paraId="5FB07FD3" w14:textId="44DF2429" w:rsidR="00A900AD" w:rsidRDefault="00A900AD" w:rsidP="005742A5">
      <w:pPr>
        <w:spacing w:line="300" w:lineRule="atLeast"/>
        <w:ind w:leftChars="212" w:left="509"/>
        <w:jc w:val="both"/>
        <w:rPr>
          <w:rFonts w:ascii="Arial" w:eastAsia="仿宋_GB2312" w:hAnsi="Arial" w:cs="Arial"/>
          <w:sz w:val="18"/>
          <w:szCs w:val="18"/>
        </w:rPr>
      </w:pPr>
    </w:p>
    <w:sectPr w:rsidR="00A900AD" w:rsidSect="000A41E8">
      <w:pgSz w:w="16838" w:h="11906" w:orient="landscape"/>
      <w:pgMar w:top="1800" w:right="1387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4FB24" w14:textId="77777777" w:rsidR="0059690B" w:rsidRDefault="0059690B" w:rsidP="006D2EFE">
      <w:pPr>
        <w:spacing w:line="240" w:lineRule="auto"/>
      </w:pPr>
      <w:r>
        <w:separator/>
      </w:r>
    </w:p>
  </w:endnote>
  <w:endnote w:type="continuationSeparator" w:id="0">
    <w:p w14:paraId="6B09C412" w14:textId="77777777" w:rsidR="0059690B" w:rsidRDefault="0059690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8C44" w14:textId="77777777" w:rsidR="0059690B" w:rsidRDefault="0059690B" w:rsidP="006D2EFE">
      <w:pPr>
        <w:spacing w:line="240" w:lineRule="auto"/>
      </w:pPr>
      <w:r>
        <w:separator/>
      </w:r>
    </w:p>
  </w:footnote>
  <w:footnote w:type="continuationSeparator" w:id="0">
    <w:p w14:paraId="394498A3" w14:textId="77777777" w:rsidR="0059690B" w:rsidRDefault="0059690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56B93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357E"/>
    <w:rsid w:val="000946AC"/>
    <w:rsid w:val="00097D99"/>
    <w:rsid w:val="00097F96"/>
    <w:rsid w:val="000A1D1E"/>
    <w:rsid w:val="000A41E8"/>
    <w:rsid w:val="000A42D7"/>
    <w:rsid w:val="000A440B"/>
    <w:rsid w:val="000A5217"/>
    <w:rsid w:val="000A60FC"/>
    <w:rsid w:val="000A6932"/>
    <w:rsid w:val="000A74FB"/>
    <w:rsid w:val="000B02FE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1C50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2237"/>
    <w:rsid w:val="000F309A"/>
    <w:rsid w:val="000F3264"/>
    <w:rsid w:val="000F4367"/>
    <w:rsid w:val="000F4B4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9A5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2E2B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2E3C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1050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C4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5AA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06F0"/>
    <w:rsid w:val="003119FE"/>
    <w:rsid w:val="00312DC5"/>
    <w:rsid w:val="00313B8C"/>
    <w:rsid w:val="00314C64"/>
    <w:rsid w:val="00314DCD"/>
    <w:rsid w:val="00315F16"/>
    <w:rsid w:val="0031729F"/>
    <w:rsid w:val="00317317"/>
    <w:rsid w:val="003175F3"/>
    <w:rsid w:val="00320B7D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037"/>
    <w:rsid w:val="00356B1A"/>
    <w:rsid w:val="00356B87"/>
    <w:rsid w:val="00360B69"/>
    <w:rsid w:val="003611B7"/>
    <w:rsid w:val="00361AA5"/>
    <w:rsid w:val="0036491C"/>
    <w:rsid w:val="00364976"/>
    <w:rsid w:val="003655CE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905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30D8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1B4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1AF3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6118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742A5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38D"/>
    <w:rsid w:val="0059690B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C55"/>
    <w:rsid w:val="005B76A0"/>
    <w:rsid w:val="005C06F3"/>
    <w:rsid w:val="005C16C4"/>
    <w:rsid w:val="005C1AA5"/>
    <w:rsid w:val="005C3317"/>
    <w:rsid w:val="005C346B"/>
    <w:rsid w:val="005C7CFB"/>
    <w:rsid w:val="005C7E30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6780"/>
    <w:rsid w:val="00607056"/>
    <w:rsid w:val="0060798B"/>
    <w:rsid w:val="0061017E"/>
    <w:rsid w:val="00612C58"/>
    <w:rsid w:val="00612F0A"/>
    <w:rsid w:val="006130C3"/>
    <w:rsid w:val="00615026"/>
    <w:rsid w:val="00616A0A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50C3"/>
    <w:rsid w:val="006A6922"/>
    <w:rsid w:val="006A78C6"/>
    <w:rsid w:val="006B0A6C"/>
    <w:rsid w:val="006B1DF0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6D94"/>
    <w:rsid w:val="006D74F2"/>
    <w:rsid w:val="006E021A"/>
    <w:rsid w:val="006E0B18"/>
    <w:rsid w:val="006E3F65"/>
    <w:rsid w:val="006E4356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5CE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562E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128E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4747C"/>
    <w:rsid w:val="00751B26"/>
    <w:rsid w:val="00753756"/>
    <w:rsid w:val="00756B4B"/>
    <w:rsid w:val="007576A5"/>
    <w:rsid w:val="00757B81"/>
    <w:rsid w:val="00760EA6"/>
    <w:rsid w:val="0076128C"/>
    <w:rsid w:val="007625C0"/>
    <w:rsid w:val="0076267A"/>
    <w:rsid w:val="00762764"/>
    <w:rsid w:val="00762B4C"/>
    <w:rsid w:val="00762C24"/>
    <w:rsid w:val="00764195"/>
    <w:rsid w:val="007644E6"/>
    <w:rsid w:val="007647E2"/>
    <w:rsid w:val="00765443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458B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68AB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88B"/>
    <w:rsid w:val="00822B1C"/>
    <w:rsid w:val="008262A7"/>
    <w:rsid w:val="00826626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5FAC"/>
    <w:rsid w:val="00846516"/>
    <w:rsid w:val="00846540"/>
    <w:rsid w:val="00851C7C"/>
    <w:rsid w:val="00853ED0"/>
    <w:rsid w:val="008544AD"/>
    <w:rsid w:val="00855F33"/>
    <w:rsid w:val="008573B5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0F7E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6F17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460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09C"/>
    <w:rsid w:val="0095130C"/>
    <w:rsid w:val="00952649"/>
    <w:rsid w:val="00952E26"/>
    <w:rsid w:val="00954AA4"/>
    <w:rsid w:val="009562D7"/>
    <w:rsid w:val="0095755E"/>
    <w:rsid w:val="009631B4"/>
    <w:rsid w:val="0096385B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4CBE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57ECF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0AD"/>
    <w:rsid w:val="00A90643"/>
    <w:rsid w:val="00A934A7"/>
    <w:rsid w:val="00A94B0E"/>
    <w:rsid w:val="00A94B15"/>
    <w:rsid w:val="00A94BC4"/>
    <w:rsid w:val="00A94C86"/>
    <w:rsid w:val="00AA056F"/>
    <w:rsid w:val="00AA1A7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2A4A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1FDE"/>
    <w:rsid w:val="00AF419E"/>
    <w:rsid w:val="00AF436E"/>
    <w:rsid w:val="00AF4531"/>
    <w:rsid w:val="00AF5A0A"/>
    <w:rsid w:val="00AF6F34"/>
    <w:rsid w:val="00AF7F7D"/>
    <w:rsid w:val="00B012A8"/>
    <w:rsid w:val="00B02687"/>
    <w:rsid w:val="00B0357B"/>
    <w:rsid w:val="00B04017"/>
    <w:rsid w:val="00B04895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17959"/>
    <w:rsid w:val="00B204AB"/>
    <w:rsid w:val="00B20A3B"/>
    <w:rsid w:val="00B21A76"/>
    <w:rsid w:val="00B23168"/>
    <w:rsid w:val="00B231AD"/>
    <w:rsid w:val="00B2352E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0C3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6435"/>
    <w:rsid w:val="00B57F51"/>
    <w:rsid w:val="00B60EBD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AA8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1B1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1C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5E6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B99"/>
    <w:rsid w:val="00CC53AB"/>
    <w:rsid w:val="00CC5D68"/>
    <w:rsid w:val="00CC7CD9"/>
    <w:rsid w:val="00CC7F33"/>
    <w:rsid w:val="00CD00DA"/>
    <w:rsid w:val="00CD0E73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79D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172C2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050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4E53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04E59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568"/>
    <w:rsid w:val="00E57881"/>
    <w:rsid w:val="00E6145E"/>
    <w:rsid w:val="00E64155"/>
    <w:rsid w:val="00E658FD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EF7A07"/>
    <w:rsid w:val="00F022E0"/>
    <w:rsid w:val="00F04EEF"/>
    <w:rsid w:val="00F05CD1"/>
    <w:rsid w:val="00F05E8E"/>
    <w:rsid w:val="00F07CAD"/>
    <w:rsid w:val="00F1195A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08B8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1D2C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0D14"/>
    <w:rsid w:val="00FC167E"/>
    <w:rsid w:val="00FC43F4"/>
    <w:rsid w:val="00FC5695"/>
    <w:rsid w:val="00FC7929"/>
    <w:rsid w:val="00FD06A2"/>
    <w:rsid w:val="00FD1119"/>
    <w:rsid w:val="00FD1C9F"/>
    <w:rsid w:val="00FD2190"/>
    <w:rsid w:val="00FD23AE"/>
    <w:rsid w:val="00FD25C9"/>
    <w:rsid w:val="00FD4919"/>
    <w:rsid w:val="00FD5724"/>
    <w:rsid w:val="00FD7EB0"/>
    <w:rsid w:val="00FE1525"/>
    <w:rsid w:val="00FE1EB6"/>
    <w:rsid w:val="00FE2113"/>
    <w:rsid w:val="00FE264F"/>
    <w:rsid w:val="00FE31AA"/>
    <w:rsid w:val="00FE49CE"/>
    <w:rsid w:val="00FE7BF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6B6CB"/>
  <w15:docId w15:val="{BDEF060F-3AA1-4F1A-8521-EB5AF57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4BF3-6490-4BC1-A4F6-23EF776A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24</cp:revision>
  <cp:lastPrinted>2023-10-22T16:07:00Z</cp:lastPrinted>
  <dcterms:created xsi:type="dcterms:W3CDTF">2023-11-27T01:38:00Z</dcterms:created>
  <dcterms:modified xsi:type="dcterms:W3CDTF">2025-01-08T07:19:00Z</dcterms:modified>
</cp:coreProperties>
</file>