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 w:hint="eastAsia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Pr="00F929E9">
        <w:rPr>
          <w:rFonts w:ascii="Arial" w:eastAsia="方正黑体简体" w:hAnsi="Arial" w:cs="Arial"/>
          <w:szCs w:val="24"/>
        </w:rPr>
        <w:t>2023-1-0042-F01DYGJ1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Default="00F929E9" w:rsidP="00F929E9">
      <w:pPr>
        <w:spacing w:line="480" w:lineRule="auto"/>
        <w:rPr>
          <w:rFonts w:ascii="Arial" w:hAnsi="Arial" w:hint="eastAsia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 w:hint="eastAsia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“北京市石景山区古城南街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9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5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1803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1804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1805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1806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号办公用房房地产抵押价值评估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 w:hint="eastAsia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中国工商银行股份有限公司北京九龙山支行：</w:t>
      </w:r>
    </w:p>
    <w:p w:rsidR="00F929E9" w:rsidRPr="00F929E9" w:rsidRDefault="00F929E9" w:rsidP="00F929E9">
      <w:pPr>
        <w:spacing w:line="480" w:lineRule="auto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Pr="00F929E9">
        <w:rPr>
          <w:rFonts w:ascii="Arial" w:eastAsiaTheme="minorEastAsia" w:hAnsi="Arial" w:cs="Arial"/>
          <w:szCs w:val="24"/>
        </w:rPr>
        <w:t>2023</w:t>
      </w:r>
      <w:r w:rsidRPr="00F929E9">
        <w:rPr>
          <w:rFonts w:ascii="Arial" w:eastAsiaTheme="minorEastAsia" w:hAnsi="Arial" w:cs="Arial"/>
          <w:szCs w:val="24"/>
        </w:rPr>
        <w:t>年</w:t>
      </w:r>
      <w:r>
        <w:rPr>
          <w:rFonts w:ascii="Arial" w:eastAsiaTheme="minorEastAsia" w:hAnsi="Arial" w:cs="Arial" w:hint="eastAsia"/>
          <w:szCs w:val="24"/>
        </w:rPr>
        <w:t>2</w:t>
      </w:r>
      <w:r w:rsidRPr="00F929E9">
        <w:rPr>
          <w:rFonts w:ascii="Arial" w:eastAsiaTheme="minorEastAsia" w:hAnsi="Arial" w:cs="Arial"/>
          <w:szCs w:val="24"/>
        </w:rPr>
        <w:t>月</w:t>
      </w:r>
      <w:r>
        <w:rPr>
          <w:rFonts w:ascii="Arial" w:eastAsiaTheme="minorEastAsia" w:hAnsi="Arial" w:cs="Arial" w:hint="eastAsia"/>
          <w:szCs w:val="24"/>
        </w:rPr>
        <w:t>1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Pr="00F929E9">
        <w:rPr>
          <w:rFonts w:ascii="Arial" w:eastAsiaTheme="minorEastAsia" w:hAnsi="Arial" w:cs="Arial"/>
          <w:szCs w:val="24"/>
        </w:rPr>
        <w:t>2023-1-0042-F01DYGJ1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F929E9" w:rsidRDefault="00F929E9" w:rsidP="00733067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1276"/>
        <w:gridCol w:w="1119"/>
        <w:gridCol w:w="1120"/>
        <w:gridCol w:w="1120"/>
        <w:gridCol w:w="1120"/>
      </w:tblGrid>
      <w:tr w:rsidR="00BE1227" w:rsidTr="00BE1227">
        <w:trPr>
          <w:cantSplit/>
          <w:jc w:val="center"/>
        </w:trPr>
        <w:tc>
          <w:tcPr>
            <w:tcW w:w="4821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  <w:tl2br w:val="single" w:sz="2" w:space="0" w:color="7F7F7F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ind w:firstLineChars="1850" w:firstLine="3330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估价方法及结果</w:t>
            </w:r>
          </w:p>
          <w:p w:rsidR="00BE1227" w:rsidRDefault="00BE1227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估价对象及结果</w:t>
            </w:r>
          </w:p>
        </w:tc>
        <w:tc>
          <w:tcPr>
            <w:tcW w:w="1119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比较法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收益法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估价结果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净值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514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280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444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399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27025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514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280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444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399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27025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722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393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624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561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27032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643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555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499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26999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汇总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评估价值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  <w:t>2067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</w:pPr>
            <w:r w:rsidRPr="00BE1227"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  <w:t>1858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BE1227"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27020</w:t>
            </w:r>
          </w:p>
        </w:tc>
      </w:tr>
    </w:tbl>
    <w:p w:rsidR="000F186B" w:rsidRDefault="00F929E9">
      <w:pPr>
        <w:rPr>
          <w:rFonts w:ascii="Arial" w:eastAsia="华文细黑" w:hAnsi="Arial" w:cs="Arial" w:hint="eastAsia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 w:hint="eastAsia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 w:hint="eastAsia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 w:hint="eastAsia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bookmarkStart w:id="0" w:name="_GoBack"/>
            <w:bookmarkEnd w:id="0"/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BE1227" w:rsidRDefault="00BE1227"/>
    <w:sectPr w:rsidR="00BE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733067"/>
    <w:rsid w:val="00BE1227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2024-02-20T03:22:00Z</dcterms:created>
  <dcterms:modified xsi:type="dcterms:W3CDTF">2024-02-20T03:55:00Z</dcterms:modified>
</cp:coreProperties>
</file>