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北京市昌平区北七家镇GZT-05-1地块R2二类居住用地（国瑞熙墅家园）共有产权住房同地段、同品质普通商品住房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，并于2020年4月10日出具《不动产评估报告》[康正评字2020-1-012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-F02HDZC6号]，报告有效期自2020年4月10日至2021年4月9日。至本说明出具之日，该报告</w:t>
      </w:r>
      <w:r>
        <w:rPr>
          <w:rFonts w:hint="eastAsia" w:ascii="Arial" w:hAnsi="Arial" w:eastAsia="楷体_GB2312" w:cs="Arial"/>
          <w:sz w:val="28"/>
          <w:lang w:eastAsia="zh-CN"/>
        </w:rPr>
        <w:t>已失效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可比住宅小区1望都新地二期项目在价值时点（2020年3月24日）比较价值为43788元/平方米，自价值时点（2020年3月24日）至2022年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月，成交单价区间为37500-4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000元/平方米，其中从价值时点（2020年3月24日）至2020年12月成交单价区间为38000-40000元/平方米，2021年1月至2021年12月成交单价区间为37500-44000元/平方米，2022年1月至2022年3月成交单价区间为39500-4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可比住宅小区2金色漫香苑项目在价值时点（2020年3月24日）比较价值为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44929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41000-47500元/平方米，其中从价值时点（2020年3月24日）至2020年12月成交单价区间为41500-44000元/平方米，2021年1月至2021年12月成交单价区间为41000-47500元/平方米，2022年1月至2022年3月成交单价区间为45000-46500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可比住宅小区3名佳花园四区项目在价值时点（2020年3月24日）比较价值为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41923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33000-40500元/平方米，其中从价值时点（2020年3月24日）至2020年12月成交单价区间为33000-36000元/平方米，2021年1月至2021年12月成交单价区间为33500-40500元/平方米，2022年1月至2022年3月成交单价区间为35000-</w:t>
      </w:r>
      <w:r>
        <w:rPr>
          <w:rFonts w:hint="eastAsia" w:ascii="Arial" w:hAnsi="Arial" w:eastAsia="楷体_GB2312" w:cs="Arial"/>
          <w:sz w:val="28"/>
          <w:lang w:val="en-US" w:eastAsia="zh-CN"/>
        </w:rPr>
        <w:t>40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420" w:firstLineChars="200"/>
        <w:textAlignment w:val="baseline"/>
        <w:rPr>
          <w:rFonts w:ascii="Arial" w:hAnsi="Arial" w:eastAsia="楷体_GB2312" w:cs="Arial"/>
          <w:sz w:val="28"/>
        </w:rPr>
      </w:pPr>
      <w:r>
        <w:drawing>
          <wp:inline distT="0" distB="0" distL="114300" distR="114300">
            <wp:extent cx="4676140" cy="2777490"/>
            <wp:effectExtent l="4445" t="4445" r="5715" b="18415"/>
            <wp:docPr id="15872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adjustRightInd w:val="0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根据上述情况，</w:t>
      </w:r>
      <w:r>
        <w:rPr>
          <w:rFonts w:hint="eastAsia" w:ascii="Arial" w:hAnsi="Arial" w:eastAsia="楷体_GB2312" w:cs="Arial"/>
          <w:sz w:val="28"/>
          <w:lang w:eastAsia="zh-CN"/>
        </w:rPr>
        <w:t>可比住宅小区案例成交</w:t>
      </w:r>
      <w:r>
        <w:rPr>
          <w:rFonts w:hint="eastAsia" w:ascii="Arial" w:hAnsi="Arial" w:eastAsia="楷体_GB2312" w:cs="Arial"/>
          <w:sz w:val="28"/>
        </w:rPr>
        <w:t>价格基本平稳</w:t>
      </w:r>
      <w:r>
        <w:rPr>
          <w:rFonts w:hint="eastAsia" w:ascii="Arial" w:hAnsi="Arial" w:eastAsia="楷体_GB2312" w:cs="Arial"/>
          <w:sz w:val="28"/>
          <w:lang w:eastAsia="zh-CN"/>
        </w:rPr>
        <w:t>。</w:t>
      </w:r>
      <w:r>
        <w:rPr>
          <w:rFonts w:hint="eastAsia" w:ascii="Arial" w:hAnsi="Arial" w:eastAsia="楷体_GB2312" w:cs="Arial"/>
          <w:sz w:val="28"/>
        </w:rPr>
        <w:t>在房地产宏观调控的及“房住不炒”、“稳地价、稳房价、稳预期”的政策影响下，北京市近些年市场运行相对平稳，住房销售价格</w:t>
      </w:r>
      <w:r>
        <w:rPr>
          <w:rFonts w:hint="eastAsia" w:ascii="Arial" w:hAnsi="Arial" w:eastAsia="楷体_GB2312" w:cs="Arial"/>
          <w:sz w:val="28"/>
          <w:lang w:eastAsia="zh-CN"/>
        </w:rPr>
        <w:t>相对稳定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综上，虽我司出具的《不动产评估报告》[康正评字2020-1-012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-F02HDZC6号]的有效期截止日距今约2年，但市场销售价格与价值时点未见明显变化，故原共有产权住房项目购房人产权份额不低于50%的评估建议保持不变</w:t>
      </w:r>
      <w:r>
        <w:rPr>
          <w:rFonts w:hint="eastAsia" w:ascii="Arial" w:hAnsi="Arial" w:eastAsia="楷体_GB2312" w:cs="Arial"/>
          <w:sz w:val="28"/>
          <w:lang w:eastAsia="zh-CN"/>
        </w:rPr>
        <w:t>（有效期至</w:t>
      </w:r>
      <w:r>
        <w:rPr>
          <w:rFonts w:hint="eastAsia" w:ascii="Arial" w:hAnsi="Arial" w:eastAsia="楷体_GB2312" w:cs="Arial"/>
          <w:sz w:val="28"/>
          <w:lang w:val="en-US" w:eastAsia="zh-CN"/>
        </w:rPr>
        <w:t>2022年7月31日</w:t>
      </w:r>
      <w:r>
        <w:rPr>
          <w:rFonts w:hint="eastAsia" w:ascii="Arial" w:hAnsi="Arial" w:eastAsia="楷体_GB2312" w:cs="Arial"/>
          <w:sz w:val="28"/>
          <w:lang w:eastAsia="zh-CN"/>
        </w:rPr>
        <w:t>）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hint="eastAsia" w:ascii="Arial" w:hAnsi="Arial" w:eastAsia="楷体_GB2312" w:cs="Arial"/>
          <w:sz w:val="28"/>
          <w:lang w:eastAsia="zh-CN"/>
        </w:rPr>
        <w:t>（本页无正文）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2022年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</w:t>
      </w:r>
      <w:r>
        <w:rPr>
          <w:rFonts w:hint="eastAsia" w:ascii="Arial" w:hAnsi="Arial" w:eastAsia="楷体_GB2312" w:cs="Arial"/>
          <w:sz w:val="28"/>
          <w:lang w:val="en-US" w:eastAsia="zh-CN"/>
        </w:rPr>
        <w:t>23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</w:rPr>
        <w:t>日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  <w:rsid w:val="00FA56AF"/>
    <w:rsid w:val="04870554"/>
    <w:rsid w:val="12303152"/>
    <w:rsid w:val="1A4833B2"/>
    <w:rsid w:val="293D7059"/>
    <w:rsid w:val="42380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inelon\Desktop\&#22269;&#29790;&#29081;&#38498;&#12289;&#29081;&#22661;\2&#23457;-&#22269;&#29790;&#29081;&#38498;&#20849;&#26377;&#20135;&#26435;&#20221;&#39069;&#27979;&#31639;-&#21016;&#22825;&#26126;20200527-143625-&#36793;&#36828;20220408-17225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100083333333333"/>
          <c:y val="0.172916666666667"/>
          <c:w val="0.869361111111111"/>
          <c:h val="0.606805555555556"/>
        </c:manualLayout>
      </c:layout>
      <c:lineChart>
        <c:grouping val="standard"/>
        <c:varyColors val="0"/>
        <c:ser>
          <c:idx val="0"/>
          <c:order val="0"/>
          <c:tx>
            <c:strRef>
              <c:f>'[2审-国瑞熙院共有产权份额测算-刘天明20200527-143625-边远20220408-172257.xls]望都新地二期'!$I$22</c:f>
              <c:strCache>
                <c:ptCount val="1"/>
                <c:pt idx="0">
                  <c:v>望都新地二期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'[2审-国瑞熙院共有产权份额测算-刘天明20200527-143625-边远20220408-172257.xls]望都新地二期'!$J$22:$L$22</c:f>
              <c:numCache>
                <c:formatCode>General</c:formatCode>
                <c:ptCount val="3"/>
                <c:pt idx="0">
                  <c:v>38822</c:v>
                </c:pt>
                <c:pt idx="1" c:formatCode="0_ ">
                  <c:v>40173.8333333333</c:v>
                </c:pt>
                <c:pt idx="2" c:formatCode="0_ ">
                  <c:v>43576.8333333333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'[2审-国瑞熙院共有产权份额测算-刘天明20200527-143625-边远20220408-172257.xls]望都新地二期'!$I$23</c:f>
              <c:strCache>
                <c:ptCount val="1"/>
                <c:pt idx="0">
                  <c:v>金色漫香苑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'[2审-国瑞熙院共有产权份额测算-刘天明20200527-143625-边远20220408-172257.xls]望都新地二期'!$J$23:$L$23</c:f>
              <c:numCache>
                <c:formatCode>0_ </c:formatCode>
                <c:ptCount val="3"/>
                <c:pt idx="0">
                  <c:v>42874.5</c:v>
                </c:pt>
                <c:pt idx="1">
                  <c:v>44582.4</c:v>
                </c:pt>
                <c:pt idx="2">
                  <c:v>45644.5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'[2审-国瑞熙院共有产权份额测算-刘天明20200527-143625-边远20220408-172257.xls]望都新地二期'!$I$24</c:f>
              <c:strCache>
                <c:ptCount val="1"/>
                <c:pt idx="0">
                  <c:v>名佳花园四区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'[2审-国瑞熙院共有产权份额测算-刘天明20200527-143625-边远20220408-172257.xls]望都新地二期'!$J$24:$L$24</c:f>
              <c:numCache>
                <c:formatCode>General</c:formatCode>
                <c:ptCount val="3"/>
                <c:pt idx="0">
                  <c:v>34489</c:v>
                </c:pt>
                <c:pt idx="1" c:formatCode="0_ ">
                  <c:v>36555.4</c:v>
                </c:pt>
                <c:pt idx="2">
                  <c:v>37975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'[2审-国瑞熙院共有产权份额测算-刘天明20200527-143625-边远20220408-172257.xls]望都新地二期'!$I$25</c:f>
              <c:strCache>
                <c:ptCount val="1"/>
                <c:pt idx="0">
                  <c:v>平均值</c:v>
                </c:pt>
              </c:strCache>
            </c:strRef>
          </c:tx>
          <c:spPr>
            <a:ln w="28575" cap="rnd" cmpd="sng" algn="ctr">
              <a:solidFill>
                <a:schemeClr val="accent4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'[2审-国瑞熙院共有产权份额测算-刘天明20200527-143625-边远20220408-172257.xls]望都新地二期'!$J$25:$L$25</c:f>
              <c:numCache>
                <c:formatCode>General</c:formatCode>
                <c:ptCount val="3"/>
                <c:pt idx="0">
                  <c:v>38728.5</c:v>
                </c:pt>
                <c:pt idx="1">
                  <c:v>40437.2111111111</c:v>
                </c:pt>
                <c:pt idx="2">
                  <c:v>42398.7777777778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361917"/>
        <c:axId val="227650015"/>
      </c:lineChart>
      <c:catAx>
        <c:axId val="26836191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7650015"/>
        <c:crosses val="autoZero"/>
        <c:auto val="1"/>
        <c:lblAlgn val="ctr"/>
        <c:lblOffset val="100"/>
        <c:noMultiLvlLbl val="0"/>
      </c:catAx>
      <c:valAx>
        <c:axId val="227650015"/>
        <c:scaling>
          <c:orientation val="minMax"/>
          <c:max val="1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8361917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514</Characters>
  <Lines>4</Lines>
  <Paragraphs>1</Paragraphs>
  <TotalTime>10</TotalTime>
  <ScaleCrop>false</ScaleCrop>
  <LinksUpToDate>false</LinksUpToDate>
  <CharactersWithSpaces>603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2019-08-12T03:50:00Z</dcterms:created>
  <dc:creator>kg</dc:creator>
  <cp:lastModifiedBy>俊然</cp:lastModifiedBy>
  <dcterms:modified xsi:type="dcterms:W3CDTF">2022-05-23T01:59:29Z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33D13A1C8EFB43A2A6A95EB003AFD5EC</vt:lpwstr>
  </property>
</Properties>
</file>