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60" w:lineRule="auto"/>
        <w:rPr>
          <w:rFonts w:ascii="Arial"/>
          <w:sz w:val="21"/>
        </w:rPr>
      </w:pPr>
    </w:p>
    <w:p>
      <w:pPr>
        <w:spacing w:before="1" w:line="217" w:lineRule="auto"/>
        <w:jc w:val="center"/>
        <w:rPr>
          <w:rFonts w:hint="default" w:ascii="Arial" w:hAnsi="Arial" w:eastAsia="宋体" w:cs="Arial"/>
          <w:b/>
          <w:bCs/>
          <w:spacing w:val="10"/>
          <w:position w:val="16"/>
          <w:sz w:val="32"/>
          <w:szCs w:val="32"/>
          <w:lang w:val="en-US" w:eastAsia="zh-CN"/>
        </w:rPr>
      </w:pPr>
      <w:r>
        <w:rPr>
          <w:rFonts w:hint="default" w:ascii="Arial" w:hAnsi="Arial" w:eastAsia="宋体" w:cs="Arial"/>
          <w:b/>
          <w:bCs/>
          <w:spacing w:val="10"/>
          <w:position w:val="16"/>
          <w:sz w:val="32"/>
          <w:szCs w:val="32"/>
        </w:rPr>
        <w:t>关于《北京市</w:t>
      </w:r>
      <w:r>
        <w:rPr>
          <w:rFonts w:hint="default" w:ascii="Arial" w:hAnsi="Arial" w:eastAsia="宋体" w:cs="Arial"/>
          <w:b/>
          <w:bCs/>
          <w:spacing w:val="10"/>
          <w:position w:val="16"/>
          <w:sz w:val="32"/>
          <w:szCs w:val="32"/>
          <w:lang w:eastAsia="zh-CN"/>
        </w:rPr>
        <w:t>延庆区</w:t>
      </w:r>
      <w:r>
        <w:rPr>
          <w:rFonts w:hint="default" w:ascii="Arial" w:hAnsi="Arial" w:eastAsia="宋体" w:cs="Arial"/>
          <w:b/>
          <w:bCs/>
          <w:spacing w:val="10"/>
          <w:position w:val="16"/>
          <w:sz w:val="32"/>
          <w:szCs w:val="32"/>
        </w:rPr>
        <w:t>人民法院案件【（2022）京0119民初5766</w:t>
      </w:r>
      <w:r>
        <w:rPr>
          <w:rFonts w:hint="default" w:ascii="Arial" w:hAnsi="Arial" w:eastAsia="宋体" w:cs="Arial"/>
          <w:b/>
          <w:bCs/>
          <w:spacing w:val="10"/>
          <w:position w:val="16"/>
          <w:sz w:val="32"/>
          <w:szCs w:val="32"/>
          <w:lang w:eastAsia="zh-CN"/>
        </w:rPr>
        <w:t>号】案件的收费说明</w:t>
      </w:r>
    </w:p>
    <w:p>
      <w:pPr>
        <w:spacing w:line="298" w:lineRule="auto"/>
        <w:rPr>
          <w:rFonts w:hint="default" w:ascii="Arial" w:hAnsi="Arial" w:cs="Arial"/>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eastAsia="宋体" w:cs="宋体"/>
          <w:sz w:val="30"/>
          <w:szCs w:val="30"/>
        </w:rPr>
      </w:pPr>
      <w:r>
        <w:rPr>
          <w:rFonts w:ascii="宋体" w:hAnsi="宋体" w:eastAsia="宋体" w:cs="宋体"/>
          <w:spacing w:val="-14"/>
          <w:sz w:val="30"/>
          <w:szCs w:val="30"/>
        </w:rPr>
        <w:t>北京市</w:t>
      </w:r>
      <w:r>
        <w:rPr>
          <w:rFonts w:hint="eastAsia" w:ascii="宋体" w:hAnsi="宋体" w:eastAsia="宋体" w:cs="宋体"/>
          <w:spacing w:val="-14"/>
          <w:sz w:val="30"/>
          <w:szCs w:val="30"/>
          <w:lang w:val="en-US" w:eastAsia="zh-CN"/>
        </w:rPr>
        <w:t>延庆区</w:t>
      </w:r>
      <w:r>
        <w:rPr>
          <w:rFonts w:ascii="宋体" w:hAnsi="宋体" w:eastAsia="宋体" w:cs="宋体"/>
          <w:spacing w:val="-14"/>
          <w:sz w:val="30"/>
          <w:szCs w:val="30"/>
        </w:rPr>
        <w:t>人民法院：</w:t>
      </w:r>
    </w:p>
    <w:p>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6" w:firstLineChars="200"/>
        <w:jc w:val="both"/>
        <w:textAlignment w:val="baseline"/>
        <w:rPr>
          <w:rFonts w:hint="default" w:ascii="Arial" w:hAnsi="Arial" w:eastAsia="宋体" w:cs="Arial"/>
          <w:sz w:val="24"/>
          <w:szCs w:val="24"/>
        </w:rPr>
      </w:pPr>
      <w:r>
        <w:rPr>
          <w:rFonts w:hint="default" w:ascii="Arial" w:hAnsi="Arial" w:eastAsia="宋体" w:cs="Arial"/>
          <w:spacing w:val="-6"/>
          <w:sz w:val="24"/>
          <w:szCs w:val="24"/>
        </w:rPr>
        <w:t>根据贵院出具的《鉴定评估委托书》【（2022）京0119民初5766号</w:t>
      </w:r>
      <w:r>
        <w:rPr>
          <w:rFonts w:hint="default" w:ascii="Arial" w:hAnsi="Arial" w:eastAsia="宋体" w:cs="Arial"/>
          <w:spacing w:val="1"/>
          <w:sz w:val="24"/>
          <w:szCs w:val="24"/>
        </w:rPr>
        <w:t>】</w:t>
      </w:r>
      <w:r>
        <w:rPr>
          <w:rFonts w:hint="eastAsia" w:ascii="Arial" w:hAnsi="Arial" w:eastAsia="宋体" w:cs="Arial"/>
          <w:spacing w:val="1"/>
          <w:sz w:val="24"/>
          <w:szCs w:val="24"/>
          <w:lang w:eastAsia="zh-CN"/>
        </w:rPr>
        <w:t>，</w:t>
      </w:r>
      <w:r>
        <w:rPr>
          <w:rFonts w:hint="default" w:ascii="Arial" w:hAnsi="Arial" w:eastAsia="宋体" w:cs="Arial"/>
          <w:spacing w:val="1"/>
          <w:sz w:val="24"/>
          <w:szCs w:val="24"/>
        </w:rPr>
        <w:t>委托我公司对北京市延庆区康安小区34号楼207号房屋现价值</w:t>
      </w:r>
      <w:r>
        <w:rPr>
          <w:rFonts w:hint="default" w:ascii="Arial" w:hAnsi="Arial" w:eastAsia="宋体" w:cs="Arial"/>
          <w:spacing w:val="9"/>
          <w:sz w:val="24"/>
          <w:szCs w:val="24"/>
        </w:rPr>
        <w:t>进行鉴定。</w:t>
      </w:r>
    </w:p>
    <w:p>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6" w:firstLineChars="200"/>
        <w:jc w:val="both"/>
        <w:textAlignment w:val="baseline"/>
        <w:rPr>
          <w:rFonts w:hint="default" w:ascii="Arial" w:hAnsi="Arial" w:eastAsia="宋体" w:cs="Arial"/>
          <w:spacing w:val="-6"/>
          <w:sz w:val="24"/>
          <w:szCs w:val="24"/>
        </w:rPr>
      </w:pPr>
      <w:r>
        <w:rPr>
          <w:rFonts w:hint="default" w:ascii="Arial" w:hAnsi="Arial" w:eastAsia="宋体" w:cs="Arial"/>
          <w:spacing w:val="-6"/>
          <w:sz w:val="24"/>
          <w:szCs w:val="24"/>
        </w:rPr>
        <w:t>参照《国家计委建设部关于房地产中介服务的通知》【计价格[1995]971号</w:t>
      </w:r>
      <w:r>
        <w:rPr>
          <w:rFonts w:hint="eastAsia" w:ascii="Arial" w:hAnsi="Arial" w:eastAsia="宋体" w:cs="Arial"/>
          <w:spacing w:val="-6"/>
          <w:sz w:val="24"/>
          <w:szCs w:val="24"/>
          <w:lang w:eastAsia="zh-CN"/>
        </w:rPr>
        <w:t>】，</w:t>
      </w:r>
      <w:r>
        <w:rPr>
          <w:rFonts w:hint="default" w:ascii="Arial" w:hAnsi="Arial" w:eastAsia="宋体" w:cs="Arial"/>
          <w:spacing w:val="-6"/>
          <w:sz w:val="24"/>
          <w:szCs w:val="24"/>
        </w:rPr>
        <w:t>我司制定的房地产评估的评估费收费标准如下：</w:t>
      </w:r>
    </w:p>
    <w:p>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ascii="宋体" w:hAnsi="宋体" w:eastAsia="宋体" w:cs="宋体"/>
          <w:sz w:val="29"/>
          <w:szCs w:val="29"/>
        </w:rPr>
      </w:pPr>
      <w:r>
        <w:rPr>
          <w:rFonts w:ascii="宋体" w:hAnsi="宋体" w:eastAsia="宋体" w:cs="宋体"/>
          <w:b/>
          <w:bCs/>
          <w:spacing w:val="-28"/>
          <w:sz w:val="29"/>
          <w:szCs w:val="29"/>
        </w:rPr>
        <w:t>房地产价格评估收费标准</w:t>
      </w:r>
    </w:p>
    <w:p>
      <w:pPr>
        <w:keepNext w:val="0"/>
        <w:keepLines w:val="0"/>
        <w:pageBreakBefore w:val="0"/>
        <w:widowControl/>
        <w:kinsoku w:val="0"/>
        <w:wordWrap/>
        <w:overflowPunct/>
        <w:topLinePunct w:val="0"/>
        <w:autoSpaceDE w:val="0"/>
        <w:autoSpaceDN w:val="0"/>
        <w:bidi w:val="0"/>
        <w:adjustRightInd w:val="0"/>
        <w:snapToGrid w:val="0"/>
        <w:spacing w:line="157" w:lineRule="exact"/>
        <w:ind w:left="0"/>
        <w:jc w:val="center"/>
        <w:textAlignment w:val="baseline"/>
      </w:pPr>
    </w:p>
    <w:tbl>
      <w:tblPr>
        <w:tblStyle w:val="4"/>
        <w:tblW w:w="5930" w:type="dxa"/>
        <w:tblInd w:w="119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13"/>
        <w:gridCol w:w="3284"/>
        <w:gridCol w:w="14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1213"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exact"/>
              <w:ind w:left="0"/>
              <w:jc w:val="center"/>
              <w:textAlignment w:val="baseline"/>
              <w:rPr>
                <w:rFonts w:hint="eastAsia" w:ascii="宋体" w:hAnsi="宋体" w:eastAsia="宋体" w:cs="宋体"/>
                <w:sz w:val="20"/>
                <w:szCs w:val="20"/>
              </w:rPr>
            </w:pPr>
            <w:r>
              <w:rPr>
                <w:rFonts w:hint="eastAsia" w:ascii="宋体" w:hAnsi="宋体" w:eastAsia="宋体" w:cs="宋体"/>
                <w:spacing w:val="-3"/>
                <w:sz w:val="20"/>
                <w:szCs w:val="20"/>
              </w:rPr>
              <w:t>档次</w:t>
            </w:r>
          </w:p>
        </w:tc>
        <w:tc>
          <w:tcPr>
            <w:tcW w:w="3284"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exact"/>
              <w:ind w:left="0"/>
              <w:jc w:val="center"/>
              <w:textAlignment w:val="baseline"/>
              <w:rPr>
                <w:rFonts w:hint="eastAsia" w:ascii="宋体" w:hAnsi="宋体" w:eastAsia="宋体" w:cs="宋体"/>
                <w:sz w:val="20"/>
                <w:szCs w:val="20"/>
              </w:rPr>
            </w:pPr>
            <w:r>
              <w:rPr>
                <w:rFonts w:hint="eastAsia" w:ascii="宋体" w:hAnsi="宋体" w:eastAsia="宋体" w:cs="宋体"/>
                <w:spacing w:val="5"/>
                <w:sz w:val="20"/>
                <w:szCs w:val="20"/>
              </w:rPr>
              <w:t>标的总额(万元)</w:t>
            </w:r>
          </w:p>
        </w:tc>
        <w:tc>
          <w:tcPr>
            <w:tcW w:w="1433"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exact"/>
              <w:ind w:left="0"/>
              <w:jc w:val="center"/>
              <w:textAlignment w:val="baseline"/>
              <w:rPr>
                <w:rFonts w:hint="eastAsia" w:ascii="宋体" w:hAnsi="宋体" w:eastAsia="宋体" w:cs="宋体"/>
                <w:sz w:val="20"/>
                <w:szCs w:val="20"/>
              </w:rPr>
            </w:pPr>
            <w:r>
              <w:rPr>
                <w:rFonts w:hint="eastAsia" w:ascii="宋体" w:hAnsi="宋体" w:eastAsia="宋体" w:cs="宋体"/>
                <w:spacing w:val="2"/>
                <w:sz w:val="20"/>
                <w:szCs w:val="20"/>
              </w:rPr>
              <w:t>累进费率‰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trPr>
        <w:tc>
          <w:tcPr>
            <w:tcW w:w="1213"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exact"/>
              <w:ind w:left="0"/>
              <w:jc w:val="center"/>
              <w:textAlignment w:val="baseline"/>
              <w:rPr>
                <w:rFonts w:hint="eastAsia" w:ascii="宋体" w:hAnsi="宋体" w:eastAsia="宋体" w:cs="宋体"/>
                <w:sz w:val="20"/>
                <w:szCs w:val="20"/>
              </w:rPr>
            </w:pPr>
            <w:r>
              <w:rPr>
                <w:rFonts w:hint="eastAsia" w:ascii="宋体" w:hAnsi="宋体" w:eastAsia="宋体" w:cs="宋体"/>
                <w:sz w:val="20"/>
                <w:szCs w:val="20"/>
              </w:rPr>
              <w:t>1</w:t>
            </w:r>
          </w:p>
        </w:tc>
        <w:tc>
          <w:tcPr>
            <w:tcW w:w="3284"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exact"/>
              <w:ind w:left="0"/>
              <w:jc w:val="center"/>
              <w:textAlignment w:val="baseline"/>
              <w:rPr>
                <w:rFonts w:hint="eastAsia" w:ascii="宋体" w:hAnsi="宋体" w:eastAsia="宋体" w:cs="宋体"/>
                <w:sz w:val="20"/>
                <w:szCs w:val="20"/>
              </w:rPr>
            </w:pPr>
            <w:r>
              <w:rPr>
                <w:rFonts w:hint="eastAsia" w:ascii="宋体" w:hAnsi="宋体" w:eastAsia="宋体" w:cs="宋体"/>
                <w:spacing w:val="3"/>
                <w:sz w:val="20"/>
                <w:szCs w:val="20"/>
              </w:rPr>
              <w:t>100以下(含100)</w:t>
            </w:r>
          </w:p>
        </w:tc>
        <w:tc>
          <w:tcPr>
            <w:tcW w:w="1433"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exact"/>
              <w:ind w:left="0"/>
              <w:jc w:val="center"/>
              <w:textAlignment w:val="baseline"/>
              <w:rPr>
                <w:rFonts w:hint="eastAsia" w:ascii="宋体" w:hAnsi="宋体" w:eastAsia="宋体" w:cs="宋体"/>
                <w:sz w:val="20"/>
                <w:szCs w:val="20"/>
              </w:rPr>
            </w:pPr>
            <w:r>
              <w:rPr>
                <w:rFonts w:hint="eastAsia" w:ascii="宋体" w:hAnsi="宋体" w:eastAsia="宋体" w:cs="宋体"/>
                <w:sz w:val="20"/>
                <w:szCs w:val="20"/>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1213"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exact"/>
              <w:ind w:left="0"/>
              <w:jc w:val="center"/>
              <w:textAlignment w:val="baseline"/>
              <w:rPr>
                <w:rFonts w:hint="eastAsia" w:ascii="宋体" w:hAnsi="宋体" w:eastAsia="宋体" w:cs="宋体"/>
                <w:sz w:val="20"/>
                <w:szCs w:val="20"/>
              </w:rPr>
            </w:pPr>
            <w:r>
              <w:rPr>
                <w:rFonts w:hint="eastAsia" w:ascii="宋体" w:hAnsi="宋体" w:eastAsia="宋体" w:cs="宋体"/>
                <w:sz w:val="20"/>
                <w:szCs w:val="20"/>
              </w:rPr>
              <w:t>2</w:t>
            </w:r>
          </w:p>
        </w:tc>
        <w:tc>
          <w:tcPr>
            <w:tcW w:w="3284"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exact"/>
              <w:ind w:left="0"/>
              <w:jc w:val="center"/>
              <w:textAlignment w:val="baseline"/>
              <w:rPr>
                <w:rFonts w:hint="eastAsia" w:ascii="宋体" w:hAnsi="宋体" w:eastAsia="宋体" w:cs="宋体"/>
                <w:sz w:val="20"/>
                <w:szCs w:val="20"/>
              </w:rPr>
            </w:pPr>
            <w:r>
              <w:rPr>
                <w:rFonts w:hint="eastAsia" w:ascii="宋体" w:hAnsi="宋体" w:eastAsia="宋体" w:cs="宋体"/>
                <w:spacing w:val="1"/>
                <w:sz w:val="20"/>
                <w:szCs w:val="20"/>
              </w:rPr>
              <w:t>101以上至1000</w:t>
            </w:r>
          </w:p>
        </w:tc>
        <w:tc>
          <w:tcPr>
            <w:tcW w:w="1433"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exact"/>
              <w:ind w:left="0"/>
              <w:jc w:val="center"/>
              <w:textAlignment w:val="baseline"/>
              <w:rPr>
                <w:rFonts w:hint="eastAsia" w:ascii="宋体" w:hAnsi="宋体" w:eastAsia="宋体" w:cs="宋体"/>
                <w:sz w:val="20"/>
                <w:szCs w:val="20"/>
              </w:rPr>
            </w:pPr>
            <w:r>
              <w:rPr>
                <w:rFonts w:hint="eastAsia" w:ascii="宋体" w:hAnsi="宋体" w:eastAsia="宋体" w:cs="宋体"/>
                <w:spacing w:val="-3"/>
                <w:sz w:val="20"/>
                <w:szCs w:val="20"/>
              </w:rPr>
              <w:t>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1213"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exact"/>
              <w:ind w:left="0"/>
              <w:jc w:val="center"/>
              <w:textAlignment w:val="baseline"/>
              <w:rPr>
                <w:rFonts w:hint="eastAsia" w:ascii="宋体" w:hAnsi="宋体" w:eastAsia="宋体" w:cs="宋体"/>
                <w:sz w:val="20"/>
                <w:szCs w:val="20"/>
              </w:rPr>
            </w:pPr>
            <w:r>
              <w:rPr>
                <w:rFonts w:hint="eastAsia" w:ascii="宋体" w:hAnsi="宋体" w:eastAsia="宋体" w:cs="宋体"/>
                <w:sz w:val="20"/>
                <w:szCs w:val="20"/>
              </w:rPr>
              <w:t>3</w:t>
            </w:r>
          </w:p>
        </w:tc>
        <w:tc>
          <w:tcPr>
            <w:tcW w:w="3284"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exact"/>
              <w:ind w:left="0"/>
              <w:jc w:val="center"/>
              <w:textAlignment w:val="baseline"/>
              <w:rPr>
                <w:rFonts w:hint="eastAsia" w:ascii="宋体" w:hAnsi="宋体" w:eastAsia="宋体" w:cs="宋体"/>
                <w:sz w:val="20"/>
                <w:szCs w:val="20"/>
              </w:rPr>
            </w:pPr>
            <w:r>
              <w:rPr>
                <w:rFonts w:hint="eastAsia" w:ascii="宋体" w:hAnsi="宋体" w:eastAsia="宋体" w:cs="宋体"/>
                <w:sz w:val="20"/>
                <w:szCs w:val="20"/>
              </w:rPr>
              <w:t>1001以上至2000</w:t>
            </w:r>
          </w:p>
        </w:tc>
        <w:tc>
          <w:tcPr>
            <w:tcW w:w="1433"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exact"/>
              <w:ind w:left="0"/>
              <w:jc w:val="center"/>
              <w:textAlignment w:val="baseline"/>
              <w:rPr>
                <w:rFonts w:hint="eastAsia" w:ascii="宋体" w:hAnsi="宋体" w:eastAsia="宋体" w:cs="宋体"/>
                <w:sz w:val="20"/>
                <w:szCs w:val="20"/>
              </w:rPr>
            </w:pPr>
            <w:r>
              <w:rPr>
                <w:rFonts w:hint="eastAsia" w:ascii="宋体" w:hAnsi="宋体" w:eastAsia="宋体" w:cs="宋体"/>
                <w:spacing w:val="-6"/>
                <w:sz w:val="20"/>
                <w:szCs w:val="20"/>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9" w:hRule="atLeast"/>
        </w:trPr>
        <w:tc>
          <w:tcPr>
            <w:tcW w:w="1213"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exact"/>
              <w:ind w:left="0"/>
              <w:jc w:val="center"/>
              <w:textAlignment w:val="baseline"/>
              <w:rPr>
                <w:rFonts w:hint="eastAsia" w:ascii="宋体" w:hAnsi="宋体" w:eastAsia="宋体" w:cs="宋体"/>
                <w:sz w:val="20"/>
                <w:szCs w:val="20"/>
              </w:rPr>
            </w:pPr>
            <w:r>
              <w:rPr>
                <w:rFonts w:hint="eastAsia" w:ascii="宋体" w:hAnsi="宋体" w:eastAsia="宋体" w:cs="宋体"/>
                <w:sz w:val="20"/>
                <w:szCs w:val="20"/>
              </w:rPr>
              <w:t>4</w:t>
            </w:r>
          </w:p>
        </w:tc>
        <w:tc>
          <w:tcPr>
            <w:tcW w:w="3284"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exact"/>
              <w:ind w:left="0"/>
              <w:jc w:val="center"/>
              <w:textAlignment w:val="baseline"/>
              <w:rPr>
                <w:rFonts w:hint="eastAsia" w:ascii="宋体" w:hAnsi="宋体" w:eastAsia="宋体" w:cs="宋体"/>
                <w:sz w:val="20"/>
                <w:szCs w:val="20"/>
              </w:rPr>
            </w:pPr>
            <w:r>
              <w:rPr>
                <w:rFonts w:hint="eastAsia" w:ascii="宋体" w:hAnsi="宋体" w:eastAsia="宋体" w:cs="宋体"/>
                <w:sz w:val="20"/>
                <w:szCs w:val="20"/>
              </w:rPr>
              <w:t>2001以上至5000</w:t>
            </w:r>
          </w:p>
        </w:tc>
        <w:tc>
          <w:tcPr>
            <w:tcW w:w="1433"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exact"/>
              <w:ind w:left="0"/>
              <w:jc w:val="center"/>
              <w:textAlignment w:val="baseline"/>
              <w:rPr>
                <w:rFonts w:hint="eastAsia" w:ascii="宋体" w:hAnsi="宋体" w:eastAsia="宋体" w:cs="宋体"/>
                <w:sz w:val="20"/>
                <w:szCs w:val="20"/>
              </w:rPr>
            </w:pPr>
            <w:r>
              <w:rPr>
                <w:rFonts w:hint="eastAsia" w:ascii="宋体" w:hAnsi="宋体" w:eastAsia="宋体" w:cs="宋体"/>
                <w:spacing w:val="-3"/>
                <w:sz w:val="20"/>
                <w:szCs w:val="20"/>
              </w:rPr>
              <w:t>0.8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8" w:hRule="atLeast"/>
        </w:trPr>
        <w:tc>
          <w:tcPr>
            <w:tcW w:w="1213"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exact"/>
              <w:ind w:left="0"/>
              <w:jc w:val="center"/>
              <w:textAlignment w:val="baseline"/>
              <w:rPr>
                <w:rFonts w:hint="eastAsia" w:ascii="宋体" w:hAnsi="宋体" w:eastAsia="宋体" w:cs="宋体"/>
                <w:sz w:val="20"/>
                <w:szCs w:val="20"/>
              </w:rPr>
            </w:pPr>
            <w:r>
              <w:rPr>
                <w:rFonts w:hint="eastAsia" w:ascii="宋体" w:hAnsi="宋体" w:eastAsia="宋体" w:cs="宋体"/>
                <w:sz w:val="20"/>
                <w:szCs w:val="20"/>
              </w:rPr>
              <w:t>5</w:t>
            </w:r>
          </w:p>
        </w:tc>
        <w:tc>
          <w:tcPr>
            <w:tcW w:w="3284"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exact"/>
              <w:ind w:left="0"/>
              <w:jc w:val="center"/>
              <w:textAlignment w:val="baseline"/>
              <w:rPr>
                <w:rFonts w:hint="eastAsia" w:ascii="宋体" w:hAnsi="宋体" w:eastAsia="宋体" w:cs="宋体"/>
                <w:sz w:val="20"/>
                <w:szCs w:val="20"/>
              </w:rPr>
            </w:pPr>
            <w:r>
              <w:rPr>
                <w:rFonts w:hint="eastAsia" w:ascii="宋体" w:hAnsi="宋体" w:eastAsia="宋体" w:cs="宋体"/>
                <w:sz w:val="20"/>
                <w:szCs w:val="20"/>
              </w:rPr>
              <w:t>5001以上至8000</w:t>
            </w:r>
          </w:p>
        </w:tc>
        <w:tc>
          <w:tcPr>
            <w:tcW w:w="1433"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exact"/>
              <w:ind w:left="0"/>
              <w:jc w:val="center"/>
              <w:textAlignment w:val="baseline"/>
              <w:rPr>
                <w:rFonts w:hint="eastAsia" w:ascii="宋体" w:hAnsi="宋体" w:eastAsia="宋体" w:cs="宋体"/>
                <w:sz w:val="20"/>
                <w:szCs w:val="20"/>
              </w:rPr>
            </w:pPr>
            <w:r>
              <w:rPr>
                <w:rFonts w:hint="eastAsia" w:ascii="宋体" w:hAnsi="宋体" w:eastAsia="宋体" w:cs="宋体"/>
                <w:spacing w:val="-3"/>
                <w:sz w:val="20"/>
                <w:szCs w:val="20"/>
              </w:rPr>
              <w:t>0.4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9" w:hRule="atLeast"/>
        </w:trPr>
        <w:tc>
          <w:tcPr>
            <w:tcW w:w="1213"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exact"/>
              <w:ind w:left="0"/>
              <w:jc w:val="center"/>
              <w:textAlignment w:val="baseline"/>
              <w:rPr>
                <w:rFonts w:hint="eastAsia" w:ascii="宋体" w:hAnsi="宋体" w:eastAsia="宋体" w:cs="宋体"/>
                <w:sz w:val="20"/>
                <w:szCs w:val="20"/>
              </w:rPr>
            </w:pPr>
            <w:r>
              <w:rPr>
                <w:rFonts w:hint="eastAsia" w:ascii="宋体" w:hAnsi="宋体" w:eastAsia="宋体" w:cs="宋体"/>
                <w:sz w:val="20"/>
                <w:szCs w:val="20"/>
              </w:rPr>
              <w:t>6</w:t>
            </w:r>
          </w:p>
        </w:tc>
        <w:tc>
          <w:tcPr>
            <w:tcW w:w="3284"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exact"/>
              <w:ind w:left="0"/>
              <w:jc w:val="center"/>
              <w:textAlignment w:val="baseline"/>
              <w:rPr>
                <w:rFonts w:hint="eastAsia" w:ascii="宋体" w:hAnsi="宋体" w:eastAsia="宋体" w:cs="宋体"/>
                <w:sz w:val="20"/>
                <w:szCs w:val="20"/>
              </w:rPr>
            </w:pPr>
            <w:r>
              <w:rPr>
                <w:rFonts w:hint="eastAsia" w:ascii="宋体" w:hAnsi="宋体" w:eastAsia="宋体" w:cs="宋体"/>
                <w:spacing w:val="-1"/>
                <w:sz w:val="20"/>
                <w:szCs w:val="20"/>
              </w:rPr>
              <w:t>8001以上至10000</w:t>
            </w:r>
          </w:p>
        </w:tc>
        <w:tc>
          <w:tcPr>
            <w:tcW w:w="1433"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exact"/>
              <w:ind w:left="0"/>
              <w:jc w:val="center"/>
              <w:textAlignment w:val="baseline"/>
              <w:rPr>
                <w:rFonts w:hint="eastAsia" w:ascii="宋体" w:hAnsi="宋体" w:eastAsia="宋体" w:cs="宋体"/>
                <w:sz w:val="20"/>
                <w:szCs w:val="20"/>
              </w:rPr>
            </w:pPr>
            <w:r>
              <w:rPr>
                <w:rFonts w:hint="eastAsia" w:ascii="宋体" w:hAnsi="宋体" w:eastAsia="宋体" w:cs="宋体"/>
                <w:spacing w:val="-3"/>
                <w:sz w:val="20"/>
                <w:szCs w:val="20"/>
              </w:rPr>
              <w:t>0.2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3" w:hRule="atLeast"/>
        </w:trPr>
        <w:tc>
          <w:tcPr>
            <w:tcW w:w="1213"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exact"/>
              <w:ind w:left="0"/>
              <w:jc w:val="center"/>
              <w:textAlignment w:val="baseline"/>
              <w:rPr>
                <w:rFonts w:hint="eastAsia" w:ascii="宋体" w:hAnsi="宋体" w:eastAsia="宋体" w:cs="宋体"/>
                <w:sz w:val="20"/>
                <w:szCs w:val="20"/>
              </w:rPr>
            </w:pPr>
            <w:r>
              <w:rPr>
                <w:rFonts w:hint="eastAsia" w:ascii="宋体" w:hAnsi="宋体" w:eastAsia="宋体" w:cs="宋体"/>
                <w:sz w:val="20"/>
                <w:szCs w:val="20"/>
              </w:rPr>
              <w:t>7</w:t>
            </w:r>
          </w:p>
        </w:tc>
        <w:tc>
          <w:tcPr>
            <w:tcW w:w="3284"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exact"/>
              <w:ind w:left="0"/>
              <w:jc w:val="center"/>
              <w:textAlignment w:val="baseline"/>
              <w:rPr>
                <w:rFonts w:hint="eastAsia" w:ascii="宋体" w:hAnsi="宋体" w:eastAsia="宋体" w:cs="宋体"/>
                <w:sz w:val="20"/>
                <w:szCs w:val="20"/>
              </w:rPr>
            </w:pPr>
            <w:r>
              <w:rPr>
                <w:rFonts w:hint="eastAsia" w:ascii="宋体" w:hAnsi="宋体" w:eastAsia="宋体" w:cs="宋体"/>
                <w:spacing w:val="1"/>
                <w:sz w:val="20"/>
                <w:szCs w:val="20"/>
              </w:rPr>
              <w:t>10000以上</w:t>
            </w:r>
          </w:p>
        </w:tc>
        <w:tc>
          <w:tcPr>
            <w:tcW w:w="1433"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exact"/>
              <w:ind w:left="0"/>
              <w:jc w:val="center"/>
              <w:textAlignment w:val="baseline"/>
              <w:rPr>
                <w:rFonts w:hint="eastAsia" w:ascii="宋体" w:hAnsi="宋体" w:eastAsia="宋体" w:cs="宋体"/>
                <w:sz w:val="20"/>
                <w:szCs w:val="20"/>
              </w:rPr>
            </w:pPr>
            <w:r>
              <w:rPr>
                <w:rFonts w:hint="eastAsia" w:ascii="宋体" w:hAnsi="宋体" w:eastAsia="宋体" w:cs="宋体"/>
                <w:spacing w:val="-3"/>
                <w:sz w:val="20"/>
                <w:szCs w:val="20"/>
              </w:rPr>
              <w:t>0.1</w:t>
            </w:r>
          </w:p>
        </w:tc>
      </w:tr>
    </w:tbl>
    <w:p>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ascii="宋体" w:hAnsi="宋体" w:eastAsia="宋体" w:cs="宋体"/>
          <w:spacing w:val="-3"/>
          <w:position w:val="19"/>
          <w:sz w:val="18"/>
          <w:szCs w:val="18"/>
        </w:rPr>
      </w:pPr>
    </w:p>
    <w:p>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6" w:firstLineChars="200"/>
        <w:jc w:val="both"/>
        <w:textAlignment w:val="baseline"/>
        <w:rPr>
          <w:rFonts w:hint="default" w:ascii="Arial" w:hAnsi="Arial" w:eastAsia="宋体" w:cs="Arial"/>
          <w:spacing w:val="-6"/>
          <w:sz w:val="24"/>
          <w:szCs w:val="24"/>
        </w:rPr>
      </w:pPr>
      <w:r>
        <w:rPr>
          <w:rFonts w:hint="default" w:ascii="Arial" w:hAnsi="Arial" w:eastAsia="宋体" w:cs="Arial"/>
          <w:spacing w:val="-6"/>
          <w:sz w:val="24"/>
          <w:szCs w:val="24"/>
        </w:rPr>
        <w:t>根据估价人员初步测算，此项目应预缴纳评估费为</w:t>
      </w:r>
      <w:r>
        <w:rPr>
          <w:rFonts w:hint="eastAsia" w:eastAsia="宋体" w:cs="Arial"/>
          <w:spacing w:val="-6"/>
          <w:sz w:val="24"/>
          <w:szCs w:val="24"/>
          <w:lang w:val="en-US" w:eastAsia="zh-CN"/>
        </w:rPr>
        <w:t>6800</w:t>
      </w:r>
      <w:r>
        <w:rPr>
          <w:rFonts w:hint="default" w:ascii="Arial" w:hAnsi="Arial" w:eastAsia="宋体" w:cs="Arial"/>
          <w:spacing w:val="-6"/>
          <w:sz w:val="24"/>
          <w:szCs w:val="24"/>
        </w:rPr>
        <w:t>元</w:t>
      </w:r>
      <w:r>
        <w:rPr>
          <w:rFonts w:hint="eastAsia" w:eastAsia="宋体" w:cs="Arial"/>
          <w:spacing w:val="-6"/>
          <w:sz w:val="24"/>
          <w:szCs w:val="24"/>
          <w:lang w:eastAsia="zh-CN"/>
        </w:rPr>
        <w:t>（</w:t>
      </w:r>
      <w:r>
        <w:rPr>
          <w:rFonts w:hint="default" w:ascii="Arial" w:hAnsi="Arial" w:eastAsia="宋体" w:cs="Arial"/>
          <w:spacing w:val="-6"/>
          <w:sz w:val="24"/>
          <w:szCs w:val="24"/>
        </w:rPr>
        <w:t>大写：人民币</w:t>
      </w:r>
      <w:r>
        <w:rPr>
          <w:rFonts w:hint="eastAsia" w:eastAsia="宋体" w:cs="Arial"/>
          <w:spacing w:val="-6"/>
          <w:sz w:val="24"/>
          <w:szCs w:val="24"/>
          <w:lang w:val="en-US" w:eastAsia="zh-CN"/>
        </w:rPr>
        <w:t>陆仟捌佰</w:t>
      </w:r>
      <w:r>
        <w:rPr>
          <w:rFonts w:hint="default" w:ascii="Arial" w:hAnsi="Arial" w:eastAsia="宋体" w:cs="Arial"/>
          <w:spacing w:val="-6"/>
          <w:sz w:val="24"/>
          <w:szCs w:val="24"/>
        </w:rPr>
        <w:t>元整</w:t>
      </w:r>
      <w:r>
        <w:rPr>
          <w:rFonts w:hint="eastAsia" w:eastAsia="宋体" w:cs="Arial"/>
          <w:spacing w:val="-6"/>
          <w:sz w:val="24"/>
          <w:szCs w:val="24"/>
          <w:lang w:eastAsia="zh-CN"/>
        </w:rPr>
        <w:t>），</w:t>
      </w:r>
      <w:r>
        <w:rPr>
          <w:rFonts w:hint="default" w:ascii="Arial" w:hAnsi="Arial" w:eastAsia="宋体" w:cs="Arial"/>
          <w:spacing w:val="-6"/>
          <w:sz w:val="24"/>
          <w:szCs w:val="24"/>
        </w:rPr>
        <w:t>待出具正式报告时，我们会根据最终的评估值计算的实际评估费进行多退少补。</w:t>
      </w:r>
      <w:bookmarkStart w:id="0" w:name="_GoBack"/>
      <w:bookmarkEnd w:id="0"/>
    </w:p>
    <w:p>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56" w:firstLineChars="200"/>
        <w:jc w:val="both"/>
        <w:textAlignment w:val="baseline"/>
        <w:rPr>
          <w:rFonts w:hint="default" w:ascii="Arial" w:hAnsi="Arial" w:eastAsia="宋体" w:cs="Arial"/>
          <w:spacing w:val="-6"/>
          <w:sz w:val="24"/>
          <w:szCs w:val="24"/>
        </w:rPr>
      </w:pPr>
      <w:r>
        <w:rPr>
          <w:rFonts w:hint="default" w:ascii="Arial" w:hAnsi="Arial" w:eastAsia="宋体" w:cs="Arial"/>
          <w:spacing w:val="-6"/>
          <w:sz w:val="24"/>
          <w:szCs w:val="24"/>
        </w:rPr>
        <w:t>备注：1.上述评估费不包含差旅费。</w:t>
      </w:r>
    </w:p>
    <w:p>
      <w:pPr>
        <w:keepNext w:val="0"/>
        <w:keepLines w:val="0"/>
        <w:pageBreakBefore w:val="0"/>
        <w:widowControl/>
        <w:kinsoku/>
        <w:wordWrap/>
        <w:overflowPunct/>
        <w:topLinePunct w:val="0"/>
        <w:autoSpaceDE w:val="0"/>
        <w:autoSpaceDN w:val="0"/>
        <w:bidi w:val="0"/>
        <w:adjustRightInd w:val="0"/>
        <w:snapToGrid w:val="0"/>
        <w:spacing w:line="360" w:lineRule="auto"/>
        <w:ind w:left="1256" w:leftChars="542" w:right="0" w:hanging="118" w:hangingChars="52"/>
        <w:jc w:val="both"/>
        <w:textAlignment w:val="baseline"/>
        <w:rPr>
          <w:rFonts w:hint="default" w:ascii="Arial" w:hAnsi="Arial" w:eastAsia="宋体" w:cs="Arial"/>
          <w:spacing w:val="-6"/>
          <w:sz w:val="24"/>
          <w:szCs w:val="24"/>
        </w:rPr>
      </w:pPr>
      <w:r>
        <w:rPr>
          <w:rFonts w:hint="default" w:ascii="Arial" w:hAnsi="Arial" w:eastAsia="宋体" w:cs="Arial"/>
          <w:spacing w:val="-6"/>
          <w:sz w:val="24"/>
          <w:szCs w:val="24"/>
        </w:rPr>
        <w:t>2.如果按评估范围价值量计算的评估费不能覆盖最基本的评估机构人力及管理成本，评估机构可自行提出最低收费标准并公示</w:t>
      </w:r>
      <w:r>
        <w:rPr>
          <w:rFonts w:hint="eastAsia" w:eastAsia="宋体" w:cs="Arial"/>
          <w:spacing w:val="-6"/>
          <w:sz w:val="24"/>
          <w:szCs w:val="24"/>
          <w:lang w:eastAsia="zh-CN"/>
        </w:rPr>
        <w:t>（</w:t>
      </w:r>
      <w:r>
        <w:rPr>
          <w:rFonts w:hint="default" w:ascii="Arial" w:hAnsi="Arial" w:eastAsia="宋体" w:cs="Arial"/>
          <w:spacing w:val="-6"/>
          <w:sz w:val="24"/>
          <w:szCs w:val="24"/>
        </w:rPr>
        <w:t>原则上不低于3000元/套</w:t>
      </w:r>
      <w:r>
        <w:rPr>
          <w:rFonts w:hint="eastAsia" w:eastAsia="宋体" w:cs="Arial"/>
          <w:spacing w:val="-6"/>
          <w:sz w:val="24"/>
          <w:szCs w:val="24"/>
          <w:lang w:eastAsia="zh-CN"/>
        </w:rPr>
        <w:t>）</w:t>
      </w:r>
      <w:r>
        <w:rPr>
          <w:rFonts w:hint="default" w:ascii="Arial" w:hAnsi="Arial" w:eastAsia="宋体" w:cs="Arial"/>
          <w:spacing w:val="-6"/>
          <w:sz w:val="24"/>
          <w:szCs w:val="24"/>
        </w:rPr>
        <w:t>。</w:t>
      </w:r>
    </w:p>
    <w:p>
      <w:pPr>
        <w:keepNext w:val="0"/>
        <w:keepLines w:val="0"/>
        <w:pageBreakBefore w:val="0"/>
        <w:widowControl/>
        <w:kinsoku/>
        <w:wordWrap/>
        <w:overflowPunct/>
        <w:topLinePunct w:val="0"/>
        <w:autoSpaceDE w:val="0"/>
        <w:autoSpaceDN w:val="0"/>
        <w:bidi w:val="0"/>
        <w:adjustRightInd w:val="0"/>
        <w:snapToGrid w:val="0"/>
        <w:spacing w:line="360" w:lineRule="auto"/>
        <w:ind w:left="1256" w:leftChars="542" w:right="0" w:hanging="118" w:hangingChars="52"/>
        <w:jc w:val="both"/>
        <w:textAlignment w:val="baseline"/>
        <w:rPr>
          <w:rFonts w:hint="default" w:ascii="Arial" w:hAnsi="Arial" w:eastAsia="宋体" w:cs="Arial"/>
          <w:spacing w:val="-6"/>
          <w:sz w:val="24"/>
          <w:szCs w:val="24"/>
        </w:rPr>
      </w:pPr>
    </w:p>
    <w:p>
      <w:pPr>
        <w:keepNext w:val="0"/>
        <w:keepLines w:val="0"/>
        <w:pageBreakBefore w:val="0"/>
        <w:widowControl/>
        <w:kinsoku/>
        <w:wordWrap/>
        <w:overflowPunct/>
        <w:topLinePunct w:val="0"/>
        <w:autoSpaceDE w:val="0"/>
        <w:autoSpaceDN w:val="0"/>
        <w:bidi w:val="0"/>
        <w:adjustRightInd w:val="0"/>
        <w:snapToGrid w:val="0"/>
        <w:spacing w:line="360" w:lineRule="auto"/>
        <w:ind w:left="1256" w:leftChars="542" w:right="0" w:hanging="118" w:hangingChars="52"/>
        <w:jc w:val="both"/>
        <w:textAlignment w:val="baseline"/>
        <w:rPr>
          <w:rFonts w:hint="default" w:ascii="Arial" w:hAnsi="Arial" w:eastAsia="宋体" w:cs="Arial"/>
          <w:spacing w:val="-6"/>
          <w:sz w:val="24"/>
          <w:szCs w:val="24"/>
        </w:rPr>
      </w:pPr>
    </w:p>
    <w:p>
      <w:pPr>
        <w:keepNext w:val="0"/>
        <w:keepLines w:val="0"/>
        <w:pageBreakBefore w:val="0"/>
        <w:widowControl/>
        <w:kinsoku/>
        <w:wordWrap/>
        <w:overflowPunct/>
        <w:topLinePunct w:val="0"/>
        <w:autoSpaceDE w:val="0"/>
        <w:autoSpaceDN w:val="0"/>
        <w:bidi w:val="0"/>
        <w:adjustRightInd w:val="0"/>
        <w:snapToGrid w:val="0"/>
        <w:spacing w:line="360" w:lineRule="auto"/>
        <w:ind w:left="1256" w:leftChars="542" w:right="0" w:hanging="118" w:hangingChars="52"/>
        <w:jc w:val="right"/>
        <w:textAlignment w:val="baseline"/>
        <w:rPr>
          <w:rFonts w:hint="eastAsia" w:ascii="Arial" w:hAnsi="Arial" w:eastAsia="宋体" w:cs="Arial"/>
          <w:spacing w:val="-6"/>
          <w:sz w:val="24"/>
          <w:szCs w:val="24"/>
          <w:lang w:eastAsia="zh-CN"/>
        </w:rPr>
      </w:pPr>
      <w:r>
        <w:rPr>
          <w:rFonts w:hint="eastAsia" w:ascii="Arial" w:hAnsi="Arial" w:eastAsia="宋体" w:cs="Arial"/>
          <w:spacing w:val="-6"/>
          <w:sz w:val="24"/>
          <w:szCs w:val="24"/>
          <w:lang w:eastAsia="zh-CN"/>
        </w:rPr>
        <w:t>北京康正宏基房地产评估有限公司</w:t>
      </w:r>
    </w:p>
    <w:p>
      <w:pPr>
        <w:keepNext w:val="0"/>
        <w:keepLines w:val="0"/>
        <w:pageBreakBefore w:val="0"/>
        <w:widowControl/>
        <w:kinsoku/>
        <w:wordWrap/>
        <w:overflowPunct/>
        <w:topLinePunct w:val="0"/>
        <w:autoSpaceDE w:val="0"/>
        <w:autoSpaceDN w:val="0"/>
        <w:bidi w:val="0"/>
        <w:adjustRightInd w:val="0"/>
        <w:snapToGrid w:val="0"/>
        <w:spacing w:line="360" w:lineRule="auto"/>
        <w:ind w:left="1256" w:leftChars="542" w:right="0" w:hanging="118" w:hangingChars="52"/>
        <w:jc w:val="right"/>
        <w:textAlignment w:val="baseline"/>
        <w:rPr>
          <w:rFonts w:hint="default" w:ascii="Arial" w:hAnsi="Arial" w:eastAsia="宋体" w:cs="Arial"/>
          <w:spacing w:val="-6"/>
          <w:sz w:val="24"/>
          <w:szCs w:val="24"/>
        </w:rPr>
      </w:pPr>
      <w:r>
        <w:rPr>
          <w:rFonts w:hint="default" w:ascii="Arial" w:hAnsi="Arial" w:eastAsia="宋体" w:cs="Arial"/>
          <w:spacing w:val="-6"/>
          <w:sz w:val="24"/>
          <w:szCs w:val="24"/>
        </w:rPr>
        <w:t>202</w:t>
      </w:r>
      <w:r>
        <w:rPr>
          <w:rFonts w:hint="eastAsia" w:ascii="Arial" w:hAnsi="Arial" w:eastAsia="宋体" w:cs="Arial"/>
          <w:spacing w:val="-6"/>
          <w:sz w:val="24"/>
          <w:szCs w:val="24"/>
          <w:lang w:val="en-US" w:eastAsia="zh-CN"/>
        </w:rPr>
        <w:t>3</w:t>
      </w:r>
      <w:r>
        <w:rPr>
          <w:rFonts w:hint="default" w:ascii="Arial" w:hAnsi="Arial" w:eastAsia="宋体" w:cs="Arial"/>
          <w:spacing w:val="-6"/>
          <w:sz w:val="24"/>
          <w:szCs w:val="24"/>
        </w:rPr>
        <w:t>年</w:t>
      </w:r>
      <w:r>
        <w:rPr>
          <w:rFonts w:hint="eastAsia" w:ascii="Arial" w:hAnsi="Arial" w:eastAsia="宋体" w:cs="Arial"/>
          <w:spacing w:val="-6"/>
          <w:sz w:val="24"/>
          <w:szCs w:val="24"/>
          <w:lang w:val="en-US" w:eastAsia="zh-CN"/>
        </w:rPr>
        <w:t>3</w:t>
      </w:r>
      <w:r>
        <w:rPr>
          <w:rFonts w:hint="default" w:ascii="Arial" w:hAnsi="Arial" w:eastAsia="宋体" w:cs="Arial"/>
          <w:spacing w:val="-6"/>
          <w:sz w:val="24"/>
          <w:szCs w:val="24"/>
        </w:rPr>
        <w:t>月1</w:t>
      </w:r>
      <w:r>
        <w:rPr>
          <w:rFonts w:hint="eastAsia" w:ascii="Arial" w:hAnsi="Arial" w:eastAsia="宋体" w:cs="Arial"/>
          <w:spacing w:val="-6"/>
          <w:sz w:val="24"/>
          <w:szCs w:val="24"/>
          <w:lang w:val="en-US" w:eastAsia="zh-CN"/>
        </w:rPr>
        <w:t>7</w:t>
      </w:r>
      <w:r>
        <w:rPr>
          <w:rFonts w:hint="default" w:ascii="Arial" w:hAnsi="Arial" w:eastAsia="宋体" w:cs="Arial"/>
          <w:spacing w:val="-6"/>
          <w:sz w:val="24"/>
          <w:szCs w:val="24"/>
        </w:rPr>
        <w:t>日</w:t>
      </w:r>
    </w:p>
    <w:sectPr>
      <w:pgSz w:w="11900" w:h="16830"/>
      <w:pgMar w:top="1430" w:right="1775" w:bottom="0" w:left="177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jI0YTgwZWFlNTQxODE0NTkyNTBkYjM5YTFhYzFlZTgifQ=="/>
  </w:docVars>
  <w:rsids>
    <w:rsidRoot w:val="00000000"/>
    <w:rsid w:val="0CC30E24"/>
    <w:rsid w:val="1D09551F"/>
    <w:rsid w:val="32F20175"/>
    <w:rsid w:val="50083C19"/>
    <w:rsid w:val="5D414C2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416</Words>
  <Characters>521</Characters>
  <TotalTime>0</TotalTime>
  <ScaleCrop>false</ScaleCrop>
  <LinksUpToDate>false</LinksUpToDate>
  <CharactersWithSpaces>521</CharactersWithSpaces>
  <Application>WPS Office_11.1.0.13703_F1E327BC-269C-435d-A152-05C5408002CA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2022-12-14T09:47:00Z</dcterms:created>
  <dc:creator>Kingsoft-PDF</dc:creator>
  <cp:lastModifiedBy>俊然</cp:lastModifiedBy>
  <dcterms:modified xsi:type="dcterms:W3CDTF">2023-03-17T07:39:46Z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wqlLaW5nc29mdCBQREYgdG8gV1BTIDg1</vt:lpwstr>
  </property>
  <property fmtid="{D5CDD505-2E9C-101B-9397-08002B2CF9AE}" pid="3" name="Created">
    <vt:filetime>2022-12-14T09:47:47Z</vt:filetime>
  </property>
  <property fmtid="{D5CDD505-2E9C-101B-9397-08002B2CF9AE}" pid="4" name="UsrData">
    <vt:lpwstr>63992b3bdb524f0015e7f94c</vt:lpwstr>
  </property>
  <property fmtid="{D5CDD505-2E9C-101B-9397-08002B2CF9AE}" pid="5" name="KSOProductBuildVer">
    <vt:lpwstr>2052-11.1.0.13703</vt:lpwstr>
  </property>
  <property fmtid="{D5CDD505-2E9C-101B-9397-08002B2CF9AE}" pid="6" name="ICV">
    <vt:lpwstr>5B5ADE80EDB64BE88ADB5B9AE1D5039A</vt:lpwstr>
  </property>
</Properties>
</file>